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江西大余</w:t>
      </w:r>
      <w:r>
        <w:rPr>
          <w:rFonts w:hint="eastAsia" w:ascii="黑体" w:hAnsi="黑体" w:eastAsia="黑体" w:cs="黑体"/>
          <w:sz w:val="32"/>
          <w:szCs w:val="32"/>
        </w:rPr>
        <w:t>农村商业银行股份有限公司202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年下半年度资本管理信息披露报告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根据国家金融监督管理总局发布的《商业银行资本管理办法》(以下简称“办法”)附件23《第三档商业银行资本监管规定》的要求，向投资者和社会公众披露本行资本相关信息。</w:t>
      </w:r>
    </w:p>
    <w:p>
      <w:pPr>
        <w:ind w:firstLine="321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一、制度要求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国家金融监督管理总局对本行各级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资本充足率最低要求如下：（1）核心一级资本充足率不得低于7.5%。（2）资本充足率不得低于8.5%。</w:t>
      </w:r>
    </w:p>
    <w:p>
      <w:pPr>
        <w:ind w:firstLine="321" w:firstLineChars="1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充足率及风险资产情况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商业银行资本管理办法》规定，本行机构划分标准适用于第三档商业银行，其中信用风险采用权重法计量，操作风险采用基本指标法计量。在计量资本充足率时，采用按照第三档商业银行统一的计量方法进行资本计量。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年12月31日，核心一级资本净额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55669.62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万元，资本净额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93077.69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万元，风险加权资产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587853.34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万元，核心一级资本充足率为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9.47</w:t>
      </w:r>
      <w:r>
        <w:rPr>
          <w:rFonts w:hint="eastAsia" w:ascii="仿宋_GB2312" w:hAnsi="仿宋_GB2312" w:eastAsia="仿宋_GB2312" w:cs="仿宋_GB2312"/>
          <w:sz w:val="32"/>
          <w:szCs w:val="32"/>
        </w:rPr>
        <w:t>%，资本充足率为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15.83</w:t>
      </w:r>
      <w:r>
        <w:rPr>
          <w:rFonts w:hint="eastAsia" w:ascii="仿宋_GB2312" w:hAnsi="仿宋_GB2312" w:eastAsia="仿宋_GB2312" w:cs="仿宋_GB2312"/>
          <w:sz w:val="32"/>
          <w:szCs w:val="32"/>
        </w:rPr>
        <w:t>%；调整后表内外资产余额</w:t>
      </w:r>
      <w:r>
        <w:rPr>
          <w:rFonts w:hint="eastAsia" w:ascii="仿宋_GB2312" w:hAnsi="仿宋" w:eastAsia="仿宋_GB2312" w:cs="Arial Unicode MS"/>
          <w:color w:val="000000"/>
          <w:sz w:val="28"/>
          <w:szCs w:val="28"/>
          <w:lang w:val="en-US" w:eastAsia="zh-CN"/>
        </w:rPr>
        <w:t>1006315.69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万元，杠杆率为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5.53</w:t>
      </w:r>
      <w:r>
        <w:rPr>
          <w:rFonts w:hint="eastAsia" w:ascii="仿宋_GB2312" w:hAnsi="仿宋_GB2312" w:eastAsia="仿宋_GB2312" w:cs="仿宋_GB2312"/>
          <w:sz w:val="32"/>
          <w:szCs w:val="32"/>
        </w:rPr>
        <w:t>%。核心一级资本充足率、资本充足率和杠杆率均高于监管部门要求的法定值。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1" w:firstLineChars="1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三、关键审慎监管指标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及资本构成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根据办法规定，本次需披露关键审慎监管指标及资本构成两张报表，具体如下：</w:t>
      </w:r>
    </w:p>
    <w:p>
      <w:pPr>
        <w:jc w:val="center"/>
        <w:rPr>
          <w:rFonts w:hint="eastAsia" w:ascii="楷体_GB2312" w:hAnsi="仿宋_GB2312" w:eastAsia="楷体_GB2312" w:cs="仿宋_GB2312"/>
          <w:b/>
          <w:sz w:val="28"/>
          <w:szCs w:val="28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sz w:val="28"/>
          <w:szCs w:val="28"/>
          <w:lang w:val="en-US" w:eastAsia="zh-CN"/>
        </w:rPr>
        <w:t xml:space="preserve">附表1  </w:t>
      </w:r>
      <w:r>
        <w:rPr>
          <w:rFonts w:ascii="楷体_GB2312" w:hAnsi="仿宋_GB2312" w:eastAsia="楷体_GB2312" w:cs="仿宋_GB2312"/>
          <w:b/>
          <w:sz w:val="28"/>
          <w:szCs w:val="28"/>
        </w:rPr>
        <w:t>关键审慎监管指标</w:t>
      </w:r>
      <w:r>
        <w:rPr>
          <w:rFonts w:hint="eastAsia" w:ascii="楷体_GB2312" w:hAnsi="仿宋_GB2312" w:eastAsia="楷体_GB2312" w:cs="仿宋_GB2312"/>
          <w:b/>
          <w:sz w:val="28"/>
          <w:szCs w:val="28"/>
          <w:lang w:val="en-US" w:eastAsia="zh-CN"/>
        </w:rPr>
        <w:t xml:space="preserve">       </w:t>
      </w:r>
    </w:p>
    <w:p>
      <w:pPr>
        <w:jc w:val="center"/>
        <w:rPr>
          <w:rFonts w:hint="default" w:ascii="楷体_GB2312" w:hAnsi="仿宋_GB2312" w:eastAsia="楷体_GB2312" w:cs="仿宋_GB2312"/>
          <w:b/>
          <w:sz w:val="28"/>
          <w:szCs w:val="28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sz w:val="28"/>
          <w:szCs w:val="28"/>
          <w:lang w:val="en-US" w:eastAsia="zh-CN"/>
        </w:rPr>
        <w:t xml:space="preserve">                                  单位：人民币万元  %</w:t>
      </w:r>
    </w:p>
    <w:tbl>
      <w:tblPr>
        <w:tblStyle w:val="3"/>
        <w:tblW w:w="904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719"/>
        <w:gridCol w:w="1635"/>
        <w:gridCol w:w="187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报告期末（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T</w:t>
            </w: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上一期末（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T-1</w:t>
            </w: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046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jc w:val="lef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color w:val="000000"/>
                <w:sz w:val="28"/>
                <w:szCs w:val="28"/>
              </w:rPr>
              <w:t>可用资本（数额）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核心一级资本净额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55669.62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53152.96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资本净额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93077.69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90066.39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46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jc w:val="lef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color w:val="000000"/>
                <w:sz w:val="28"/>
                <w:szCs w:val="28"/>
              </w:rPr>
              <w:t>风险加权资产（数额）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信用风险加权资产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531403.34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512585.91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操作风险加权资产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56450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52425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5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风险加权资产合计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587853.34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565010.91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046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jc w:val="lef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color w:val="000000"/>
                <w:sz w:val="28"/>
                <w:szCs w:val="28"/>
              </w:rPr>
              <w:t>资本充足率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17" w:type="dxa"/>
            <w:tcBorders>
              <w:left w:val="nil"/>
            </w:tcBorders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6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核心一级资本充足率（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9.47</w:t>
            </w: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9.41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7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资本充足率（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15.83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15.94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9046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jc w:val="lef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color w:val="000000"/>
                <w:sz w:val="28"/>
                <w:szCs w:val="28"/>
              </w:rPr>
              <w:t>杠杆率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8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调整后表内外资产余额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1006315.69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1006202.72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9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杠杆率</w:t>
            </w: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5.53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808080" w:themeColor="text1" w:themeTint="8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 w:cs="Arial Unicode MS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杠杆率a</w:t>
            </w: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5.53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5.28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46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jc w:val="lef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color w:val="000000"/>
                <w:sz w:val="28"/>
                <w:szCs w:val="28"/>
              </w:rPr>
              <w:t>流动性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优质流动性资产充足率（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413.33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311.45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流动性比例（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52.14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56.75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  <w:shd w:val="clear" w:color="auto" w:fill="FFFFFF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719" w:type="dxa"/>
            <w:shd w:val="clear" w:color="auto" w:fill="FFFFFF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流动性匹配率（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149.70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145.18</w:t>
            </w:r>
          </w:p>
        </w:tc>
      </w:tr>
    </w:tbl>
    <w:p>
      <w:pPr>
        <w:snapToGrid w:val="0"/>
        <w:spacing w:line="480" w:lineRule="exact"/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  <w:lang w:val="en-US" w:eastAsia="zh-CN"/>
        </w:rPr>
        <w:t xml:space="preserve">附表2  </w:t>
      </w:r>
      <w:r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</w:rPr>
        <w:t>资本构成</w:t>
      </w:r>
    </w:p>
    <w:p>
      <w:pPr>
        <w:jc w:val="center"/>
        <w:rPr>
          <w:rFonts w:hint="default" w:ascii="楷体_GB2312" w:hAnsi="楷体_GB2312" w:eastAsia="楷体_GB2312" w:cs="楷体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  <w:lang w:val="en-US" w:eastAsia="zh-CN"/>
        </w:rPr>
        <w:t xml:space="preserve">                                 单位：人民币万元   %</w:t>
      </w:r>
    </w:p>
    <w:tbl>
      <w:tblPr>
        <w:tblStyle w:val="3"/>
        <w:tblW w:w="8970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6500"/>
        <w:gridCol w:w="190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6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90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数额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0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实收资本和资本公积可计入部分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28195.77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TW"/>
              </w:rPr>
              <w:t>留存收益</w:t>
            </w:r>
          </w:p>
        </w:tc>
        <w:tc>
          <w:tcPr>
            <w:tcW w:w="1907" w:type="dxa"/>
            <w:vAlign w:val="center"/>
          </w:tcPr>
          <w:p>
            <w:pPr>
              <w:spacing w:line="48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40568.20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2a</w:t>
            </w:r>
          </w:p>
        </w:tc>
        <w:tc>
          <w:tcPr>
            <w:tcW w:w="650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盈余公积</w:t>
            </w:r>
          </w:p>
        </w:tc>
        <w:tc>
          <w:tcPr>
            <w:tcW w:w="19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13331.65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2b</w:t>
            </w:r>
          </w:p>
        </w:tc>
        <w:tc>
          <w:tcPr>
            <w:tcW w:w="650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一般风险准备</w:t>
            </w:r>
          </w:p>
        </w:tc>
        <w:tc>
          <w:tcPr>
            <w:tcW w:w="19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15009.81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2c</w:t>
            </w:r>
          </w:p>
        </w:tc>
        <w:tc>
          <w:tcPr>
            <w:tcW w:w="650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未分配利润</w:t>
            </w:r>
          </w:p>
        </w:tc>
        <w:tc>
          <w:tcPr>
            <w:tcW w:w="19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12226.74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累计其他综合收益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257.68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监管调整前的核心一级资本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69021.65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商誉（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扣除递延税负债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其他无形资产（土地使用权除外）（扣除递延税负债）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285.8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TW"/>
              </w:rPr>
              <w:t>依赖未来盈利的由经营亏损引起的净递延税资产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TW"/>
              </w:rPr>
              <w:t>损失准备缺口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TW"/>
              </w:rPr>
              <w:t>直接或间接持有本银行的普通股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持有的金融机构一级资本工具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6.23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监管规定的其他应从核心一级资本中扣除的项目合计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13352.03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核心一级资本监管调整总和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13352.03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核心一级资本净额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55669.62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监管认可的其他资本工具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TW"/>
              </w:rPr>
              <w:t>超额损失准备可计入部分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37408.07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监管调整前的其他资本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50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持有的金融机构二级资本工具</w:t>
            </w:r>
          </w:p>
        </w:tc>
        <w:tc>
          <w:tcPr>
            <w:tcW w:w="1907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50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持有本银行或第三档商业银行的其他资本工具</w:t>
            </w:r>
          </w:p>
        </w:tc>
        <w:tc>
          <w:tcPr>
            <w:tcW w:w="1907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50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监管规定的其他应从其他资本中扣除的项目合计</w:t>
            </w:r>
          </w:p>
        </w:tc>
        <w:tc>
          <w:tcPr>
            <w:tcW w:w="1907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500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其他资本监管调整总和</w:t>
            </w:r>
          </w:p>
        </w:tc>
        <w:tc>
          <w:tcPr>
            <w:tcW w:w="1907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500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其他资本净额</w:t>
            </w:r>
          </w:p>
        </w:tc>
        <w:tc>
          <w:tcPr>
            <w:tcW w:w="19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TW"/>
              </w:rPr>
              <w:t>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500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总资本净额</w:t>
            </w:r>
          </w:p>
        </w:tc>
        <w:tc>
          <w:tcPr>
            <w:tcW w:w="1907" w:type="dxa"/>
            <w:vAlign w:val="center"/>
          </w:tcPr>
          <w:p>
            <w:pPr>
              <w:spacing w:line="48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93077.69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E7677"/>
    <w:rsid w:val="01FD6DCF"/>
    <w:rsid w:val="03F04891"/>
    <w:rsid w:val="048B5DD7"/>
    <w:rsid w:val="0590412E"/>
    <w:rsid w:val="08565FE5"/>
    <w:rsid w:val="092B097C"/>
    <w:rsid w:val="0A7C1051"/>
    <w:rsid w:val="0CC91453"/>
    <w:rsid w:val="0E9870F3"/>
    <w:rsid w:val="0F27699D"/>
    <w:rsid w:val="0FFA05BC"/>
    <w:rsid w:val="101F22CC"/>
    <w:rsid w:val="126C568D"/>
    <w:rsid w:val="134E4A4D"/>
    <w:rsid w:val="144053D9"/>
    <w:rsid w:val="1EC66A28"/>
    <w:rsid w:val="1F5C561A"/>
    <w:rsid w:val="21CD035B"/>
    <w:rsid w:val="227F0BF5"/>
    <w:rsid w:val="2342327D"/>
    <w:rsid w:val="241862A8"/>
    <w:rsid w:val="24B2373D"/>
    <w:rsid w:val="25092568"/>
    <w:rsid w:val="25BA3F8F"/>
    <w:rsid w:val="26341D7A"/>
    <w:rsid w:val="28CA01E6"/>
    <w:rsid w:val="29F23C23"/>
    <w:rsid w:val="2A667E21"/>
    <w:rsid w:val="32366DE8"/>
    <w:rsid w:val="32BD2C00"/>
    <w:rsid w:val="33852704"/>
    <w:rsid w:val="33B550C6"/>
    <w:rsid w:val="348B4F06"/>
    <w:rsid w:val="34CC0588"/>
    <w:rsid w:val="36975E45"/>
    <w:rsid w:val="377568B2"/>
    <w:rsid w:val="380F48D6"/>
    <w:rsid w:val="39A9502D"/>
    <w:rsid w:val="3A4B1059"/>
    <w:rsid w:val="3CA9501C"/>
    <w:rsid w:val="3E46121F"/>
    <w:rsid w:val="40742779"/>
    <w:rsid w:val="40A85AAA"/>
    <w:rsid w:val="417F5DA7"/>
    <w:rsid w:val="43651725"/>
    <w:rsid w:val="44935C9B"/>
    <w:rsid w:val="44AB144D"/>
    <w:rsid w:val="44EE5C5A"/>
    <w:rsid w:val="45610B5D"/>
    <w:rsid w:val="461B5EF6"/>
    <w:rsid w:val="48D100D8"/>
    <w:rsid w:val="49277494"/>
    <w:rsid w:val="4A4D170E"/>
    <w:rsid w:val="4A9D1E22"/>
    <w:rsid w:val="4AA678E0"/>
    <w:rsid w:val="4AEE51D0"/>
    <w:rsid w:val="510D5E4E"/>
    <w:rsid w:val="5224518F"/>
    <w:rsid w:val="525D7689"/>
    <w:rsid w:val="542055BD"/>
    <w:rsid w:val="55D0629F"/>
    <w:rsid w:val="56DD53F8"/>
    <w:rsid w:val="57EA6989"/>
    <w:rsid w:val="5A9C2C06"/>
    <w:rsid w:val="5BE95F08"/>
    <w:rsid w:val="60614425"/>
    <w:rsid w:val="61F93360"/>
    <w:rsid w:val="629118B4"/>
    <w:rsid w:val="62D245EC"/>
    <w:rsid w:val="634B31A8"/>
    <w:rsid w:val="63F415F7"/>
    <w:rsid w:val="64230421"/>
    <w:rsid w:val="659C0EE5"/>
    <w:rsid w:val="68CE55D7"/>
    <w:rsid w:val="690428EB"/>
    <w:rsid w:val="696E7404"/>
    <w:rsid w:val="6A8450DC"/>
    <w:rsid w:val="6C4E0CA3"/>
    <w:rsid w:val="6E8C6A3A"/>
    <w:rsid w:val="70432487"/>
    <w:rsid w:val="70AB71F9"/>
    <w:rsid w:val="70E80BFB"/>
    <w:rsid w:val="7196129E"/>
    <w:rsid w:val="72075733"/>
    <w:rsid w:val="729B22F6"/>
    <w:rsid w:val="7305742E"/>
    <w:rsid w:val="74202BB5"/>
    <w:rsid w:val="75A96845"/>
    <w:rsid w:val="76B27DC9"/>
    <w:rsid w:val="78EF4740"/>
    <w:rsid w:val="793A1DAD"/>
    <w:rsid w:val="79EF5D58"/>
    <w:rsid w:val="7B382F8A"/>
    <w:rsid w:val="7F4956F8"/>
    <w:rsid w:val="7FD5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匿名用户</cp:lastModifiedBy>
  <dcterms:modified xsi:type="dcterms:W3CDTF">2026-01-16T00:43:24Z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