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00" w:lineRule="exact"/>
        <w:jc w:val="both"/>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附件1：</w:t>
      </w:r>
    </w:p>
    <w:p>
      <w:pPr>
        <w:widowControl/>
        <w:shd w:val="clear" w:color="auto" w:fill="FFFFFF"/>
        <w:spacing w:line="500" w:lineRule="exact"/>
        <w:jc w:val="both"/>
        <w:rPr>
          <w:rFonts w:hint="eastAsia" w:ascii="仿宋_GB2312" w:hAnsi="仿宋_GB2312" w:eastAsia="仿宋_GB2312" w:cs="仿宋_GB2312"/>
          <w:bCs/>
          <w:color w:val="auto"/>
          <w:kern w:val="0"/>
          <w:sz w:val="32"/>
          <w:szCs w:val="32"/>
          <w:lang w:val="en-US" w:eastAsia="zh-CN"/>
        </w:rPr>
      </w:pPr>
    </w:p>
    <w:p>
      <w:pPr>
        <w:widowControl/>
        <w:shd w:val="clear" w:color="auto" w:fill="FFFFFF"/>
        <w:spacing w:line="500" w:lineRule="exact"/>
        <w:jc w:val="center"/>
        <w:rPr>
          <w:rFonts w:ascii="方正大标宋简体" w:eastAsia="方正大标宋简体" w:cs="宋体" w:hAnsiTheme="minorEastAsia"/>
          <w:bCs/>
          <w:color w:val="auto"/>
          <w:kern w:val="0"/>
          <w:sz w:val="44"/>
          <w:szCs w:val="44"/>
        </w:rPr>
      </w:pPr>
      <w:r>
        <w:rPr>
          <w:rFonts w:hint="eastAsia" w:ascii="方正大标宋简体" w:eastAsia="方正大标宋简体" w:cs="宋体" w:hAnsiTheme="minorEastAsia"/>
          <w:bCs/>
          <w:color w:val="auto"/>
          <w:kern w:val="0"/>
          <w:sz w:val="44"/>
          <w:szCs w:val="44"/>
        </w:rPr>
        <w:t>大余农商银行202</w:t>
      </w:r>
      <w:r>
        <w:rPr>
          <w:rFonts w:hint="eastAsia" w:ascii="方正大标宋简体" w:eastAsia="方正大标宋简体" w:cs="宋体" w:hAnsiTheme="minorEastAsia"/>
          <w:bCs/>
          <w:color w:val="auto"/>
          <w:kern w:val="0"/>
          <w:sz w:val="44"/>
          <w:szCs w:val="44"/>
          <w:lang w:val="en-US" w:eastAsia="zh-CN"/>
        </w:rPr>
        <w:t>5</w:t>
      </w:r>
      <w:r>
        <w:rPr>
          <w:rFonts w:hint="eastAsia" w:ascii="方正大标宋简体" w:eastAsia="方正大标宋简体" w:cs="宋体" w:hAnsiTheme="minorEastAsia"/>
          <w:bCs/>
          <w:color w:val="auto"/>
          <w:kern w:val="0"/>
          <w:sz w:val="44"/>
          <w:szCs w:val="44"/>
        </w:rPr>
        <w:t>年度信息披露报告</w:t>
      </w:r>
    </w:p>
    <w:p>
      <w:pPr>
        <w:widowControl/>
        <w:shd w:val="clear" w:color="auto" w:fill="FFFFFF"/>
        <w:spacing w:line="500" w:lineRule="exact"/>
        <w:ind w:firstLine="640" w:firstLineChars="200"/>
        <w:jc w:val="left"/>
        <w:rPr>
          <w:rFonts w:hint="eastAsia" w:ascii="仿宋_GB2312" w:eastAsia="仿宋_GB2312" w:cs="宋体" w:hAnsiTheme="minorEastAsia"/>
          <w:color w:val="auto"/>
          <w:kern w:val="0"/>
          <w:sz w:val="32"/>
          <w:szCs w:val="32"/>
        </w:rPr>
      </w:pPr>
    </w:p>
    <w:p>
      <w:pPr>
        <w:widowControl/>
        <w:shd w:val="clear" w:color="auto" w:fill="FFFFFF"/>
        <w:spacing w:line="500" w:lineRule="exact"/>
        <w:ind w:firstLine="640" w:firstLineChars="200"/>
        <w:jc w:val="left"/>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重要提示</w:t>
      </w:r>
    </w:p>
    <w:p>
      <w:pPr>
        <w:widowControl/>
        <w:shd w:val="clear" w:color="auto" w:fill="FFFFFF"/>
        <w:spacing w:line="500" w:lineRule="exact"/>
        <w:ind w:firstLine="640" w:firstLineChars="200"/>
        <w:jc w:val="left"/>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江西大余农村商业银行股份有限公司（以下简称“本行”）董事会及董事保证本报告所载资料不存在任何虚假记载、误导性陈述或者重大遗漏，并对其内容的真实性、准确性和完整性承担个别及连带责任。</w:t>
      </w:r>
    </w:p>
    <w:p>
      <w:pPr>
        <w:widowControl/>
        <w:shd w:val="clear" w:color="auto" w:fill="FFFFFF"/>
        <w:spacing w:line="500" w:lineRule="exact"/>
        <w:ind w:firstLine="640" w:firstLineChars="200"/>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本行202</w:t>
      </w:r>
      <w:r>
        <w:rPr>
          <w:rFonts w:hint="eastAsia" w:ascii="仿宋_GB2312" w:eastAsia="仿宋_GB2312" w:cs="宋体" w:hAnsiTheme="minorEastAsia"/>
          <w:color w:val="auto"/>
          <w:kern w:val="0"/>
          <w:sz w:val="32"/>
          <w:szCs w:val="32"/>
          <w:lang w:val="en-US" w:eastAsia="zh-CN"/>
        </w:rPr>
        <w:t>5</w:t>
      </w:r>
      <w:r>
        <w:rPr>
          <w:rFonts w:hint="eastAsia" w:ascii="仿宋_GB2312" w:eastAsia="仿宋_GB2312" w:cs="宋体" w:hAnsiTheme="minorEastAsia"/>
          <w:color w:val="auto"/>
          <w:kern w:val="0"/>
          <w:sz w:val="32"/>
          <w:szCs w:val="32"/>
        </w:rPr>
        <w:t>年度财务决算报告经赣州</w:t>
      </w:r>
      <w:r>
        <w:rPr>
          <w:rFonts w:hint="eastAsia" w:ascii="仿宋_GB2312" w:eastAsia="仿宋_GB2312" w:cs="宋体" w:hAnsiTheme="minorEastAsia"/>
          <w:color w:val="auto"/>
          <w:kern w:val="0"/>
          <w:sz w:val="32"/>
          <w:szCs w:val="32"/>
          <w:lang w:eastAsia="zh-CN"/>
        </w:rPr>
        <w:t>建诚天安联合</w:t>
      </w:r>
      <w:r>
        <w:rPr>
          <w:rFonts w:hint="eastAsia" w:ascii="仿宋_GB2312" w:eastAsia="仿宋_GB2312" w:cs="宋体" w:hAnsiTheme="minorEastAsia"/>
          <w:color w:val="auto"/>
          <w:kern w:val="0"/>
          <w:sz w:val="32"/>
          <w:szCs w:val="32"/>
        </w:rPr>
        <w:t>会计师事务所根据国内审计准则审计，并出具了标准无保留意见的审计报告。</w:t>
      </w:r>
    </w:p>
    <w:p>
      <w:pPr>
        <w:widowControl/>
        <w:shd w:val="clear" w:color="auto" w:fill="FFFFFF"/>
        <w:spacing w:line="500" w:lineRule="exact"/>
        <w:ind w:firstLine="640" w:firstLineChars="200"/>
        <w:rPr>
          <w:rFonts w:hint="eastAsia" w:ascii="黑体" w:hAnsi="黑体" w:eastAsia="黑体" w:cs="黑体"/>
          <w:b w:val="0"/>
          <w:bCs/>
          <w:color w:val="auto"/>
          <w:kern w:val="0"/>
          <w:sz w:val="32"/>
          <w:szCs w:val="32"/>
          <w:lang w:eastAsia="zh-CN"/>
        </w:rPr>
      </w:pPr>
      <w:r>
        <w:rPr>
          <w:rFonts w:hint="eastAsia" w:ascii="黑体" w:hAnsi="黑体" w:eastAsia="黑体" w:cs="黑体"/>
          <w:b w:val="0"/>
          <w:bCs/>
          <w:color w:val="auto"/>
          <w:kern w:val="0"/>
          <w:sz w:val="32"/>
          <w:szCs w:val="32"/>
        </w:rPr>
        <w:t>一、基本情况简介</w:t>
      </w:r>
    </w:p>
    <w:p>
      <w:pPr>
        <w:widowControl/>
        <w:shd w:val="clear" w:color="auto" w:fill="FFFFFF"/>
        <w:tabs>
          <w:tab w:val="left" w:pos="630"/>
        </w:tabs>
        <w:spacing w:line="500" w:lineRule="exact"/>
        <w:ind w:firstLine="643" w:firstLineChars="200"/>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1.1法定中文名称：</w:t>
      </w:r>
      <w:r>
        <w:rPr>
          <w:rFonts w:hint="eastAsia" w:ascii="仿宋_GB2312" w:eastAsia="仿宋_GB2312" w:cs="宋体" w:hAnsiTheme="minorEastAsia"/>
          <w:color w:val="auto"/>
          <w:kern w:val="0"/>
          <w:sz w:val="32"/>
          <w:szCs w:val="32"/>
        </w:rPr>
        <w:t>江西大余农村商业银行股份有限公司，简称：大余农商银行</w:t>
      </w:r>
    </w:p>
    <w:p>
      <w:pPr>
        <w:widowControl/>
        <w:shd w:val="clear" w:color="auto" w:fill="FFFFFF"/>
        <w:tabs>
          <w:tab w:val="left" w:pos="630"/>
        </w:tabs>
        <w:spacing w:line="500" w:lineRule="exact"/>
        <w:ind w:firstLine="1282" w:firstLineChars="399"/>
        <w:rPr>
          <w:rFonts w:ascii="仿宋_GB2312" w:eastAsia="仿宋_GB2312" w:cs="宋体" w:hAnsiTheme="minorEastAsia"/>
          <w:b/>
          <w:bCs/>
          <w:color w:val="auto"/>
          <w:kern w:val="0"/>
          <w:sz w:val="32"/>
          <w:szCs w:val="32"/>
        </w:rPr>
      </w:pPr>
      <w:r>
        <w:rPr>
          <w:rFonts w:hint="eastAsia" w:ascii="仿宋_GB2312" w:eastAsia="仿宋_GB2312" w:cs="宋体" w:hAnsiTheme="minorEastAsia"/>
          <w:b/>
          <w:bCs/>
          <w:color w:val="auto"/>
          <w:kern w:val="0"/>
          <w:sz w:val="32"/>
          <w:szCs w:val="32"/>
        </w:rPr>
        <w:t>法定英文名称：</w:t>
      </w:r>
      <w:r>
        <w:rPr>
          <w:rFonts w:hint="eastAsia" w:ascii="仿宋_GB2312" w:eastAsia="仿宋_GB2312" w:cs="宋体" w:hAnsiTheme="minorEastAsia"/>
          <w:color w:val="auto"/>
          <w:kern w:val="0"/>
          <w:sz w:val="32"/>
          <w:szCs w:val="32"/>
        </w:rPr>
        <w:t>Jiangxi Dayu Rural Commercial Bank Co.，Ltd</w:t>
      </w:r>
    </w:p>
    <w:p>
      <w:pPr>
        <w:widowControl/>
        <w:shd w:val="clear" w:color="auto" w:fill="FFFFFF"/>
        <w:tabs>
          <w:tab w:val="left" w:pos="630"/>
        </w:tabs>
        <w:spacing w:line="500" w:lineRule="exact"/>
        <w:ind w:firstLine="643" w:firstLineChars="200"/>
        <w:rPr>
          <w:rFonts w:hint="eastAsia" w:ascii="仿宋_GB2312" w:eastAsia="仿宋_GB2312" w:cs="宋体" w:hAnsiTheme="minorEastAsia"/>
          <w:color w:val="auto"/>
          <w:kern w:val="0"/>
          <w:sz w:val="32"/>
          <w:szCs w:val="32"/>
          <w:lang w:eastAsia="zh-CN"/>
        </w:rPr>
      </w:pPr>
      <w:r>
        <w:rPr>
          <w:rFonts w:hint="eastAsia" w:ascii="仿宋_GB2312" w:eastAsia="仿宋_GB2312" w:cs="宋体" w:hAnsiTheme="minorEastAsia"/>
          <w:b/>
          <w:bCs/>
          <w:color w:val="auto"/>
          <w:kern w:val="0"/>
          <w:sz w:val="32"/>
          <w:szCs w:val="32"/>
        </w:rPr>
        <w:t>1.2法定代表人：</w:t>
      </w:r>
      <w:r>
        <w:rPr>
          <w:rFonts w:hint="eastAsia" w:ascii="仿宋_GB2312" w:eastAsia="仿宋_GB2312" w:cs="宋体" w:hAnsiTheme="minorEastAsia"/>
          <w:color w:val="auto"/>
          <w:kern w:val="0"/>
          <w:sz w:val="32"/>
          <w:szCs w:val="32"/>
          <w:lang w:eastAsia="zh-CN"/>
        </w:rPr>
        <w:t>潘志方</w:t>
      </w:r>
    </w:p>
    <w:p>
      <w:pPr>
        <w:widowControl/>
        <w:shd w:val="clear" w:color="auto" w:fill="FFFFFF"/>
        <w:spacing w:line="500" w:lineRule="exact"/>
        <w:ind w:firstLine="643" w:firstLineChars="200"/>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1.3注册及办公地址：</w:t>
      </w:r>
      <w:r>
        <w:rPr>
          <w:rFonts w:hint="eastAsia" w:ascii="仿宋_GB2312" w:eastAsia="仿宋_GB2312" w:cs="宋体" w:hAnsiTheme="minorEastAsia"/>
          <w:color w:val="auto"/>
          <w:kern w:val="0"/>
          <w:sz w:val="32"/>
          <w:szCs w:val="32"/>
        </w:rPr>
        <w:t>江西省赣州市大余县南安镇南安大道中段</w:t>
      </w:r>
    </w:p>
    <w:p>
      <w:pPr>
        <w:widowControl/>
        <w:shd w:val="clear" w:color="auto" w:fill="FFFFFF"/>
        <w:spacing w:line="500" w:lineRule="exact"/>
        <w:ind w:firstLine="640" w:firstLineChars="200"/>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注册资本</w:t>
      </w:r>
      <w:r>
        <w:rPr>
          <w:rFonts w:hint="eastAsia" w:ascii="仿宋_GB2312" w:eastAsia="仿宋_GB2312" w:cs="宋体" w:hAnsiTheme="minorEastAsia"/>
          <w:color w:val="auto"/>
          <w:kern w:val="0"/>
          <w:sz w:val="32"/>
          <w:szCs w:val="32"/>
          <w:highlight w:val="none"/>
        </w:rPr>
        <w:t>2.</w:t>
      </w:r>
      <w:r>
        <w:rPr>
          <w:rFonts w:hint="eastAsia" w:ascii="仿宋_GB2312" w:eastAsia="仿宋_GB2312" w:cs="宋体" w:hAnsiTheme="minorEastAsia"/>
          <w:color w:val="auto"/>
          <w:kern w:val="0"/>
          <w:sz w:val="32"/>
          <w:szCs w:val="32"/>
          <w:highlight w:val="none"/>
          <w:lang w:val="en-US" w:eastAsia="zh-CN"/>
        </w:rPr>
        <w:t>41852908</w:t>
      </w:r>
      <w:r>
        <w:rPr>
          <w:rFonts w:hint="eastAsia" w:ascii="仿宋_GB2312" w:eastAsia="仿宋_GB2312" w:cs="宋体" w:hAnsiTheme="minorEastAsia"/>
          <w:color w:val="auto"/>
          <w:kern w:val="0"/>
          <w:sz w:val="32"/>
          <w:szCs w:val="32"/>
        </w:rPr>
        <w:t>亿元人民币</w:t>
      </w:r>
    </w:p>
    <w:p>
      <w:pPr>
        <w:widowControl/>
        <w:shd w:val="clear" w:color="auto" w:fill="FFFFFF"/>
        <w:spacing w:line="500" w:lineRule="exact"/>
        <w:ind w:firstLine="640" w:firstLineChars="200"/>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首次注册登记日期：2013年7月3日</w:t>
      </w:r>
    </w:p>
    <w:p>
      <w:pPr>
        <w:widowControl/>
        <w:shd w:val="clear" w:color="auto" w:fill="FFFFFF"/>
        <w:spacing w:line="500" w:lineRule="exact"/>
        <w:ind w:firstLine="640" w:firstLineChars="200"/>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邮政编码：341500</w:t>
      </w:r>
    </w:p>
    <w:p>
      <w:pPr>
        <w:widowControl/>
        <w:shd w:val="clear" w:color="auto" w:fill="FFFFFF"/>
        <w:spacing w:line="500" w:lineRule="exact"/>
        <w:ind w:firstLine="643" w:firstLineChars="200"/>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1.4其他有关资料：</w:t>
      </w:r>
      <w:r>
        <w:rPr>
          <w:rFonts w:hint="eastAsia" w:ascii="仿宋_GB2312" w:eastAsia="仿宋_GB2312" w:cs="宋体" w:hAnsiTheme="minorEastAsia"/>
          <w:color w:val="auto"/>
          <w:kern w:val="0"/>
          <w:sz w:val="32"/>
          <w:szCs w:val="32"/>
        </w:rPr>
        <w:t>企业法人营业执照统一社会信用代码：</w:t>
      </w:r>
      <w:r>
        <w:rPr>
          <w:rFonts w:hint="eastAsia" w:ascii="仿宋_GB2312" w:eastAsia="仿宋_GB2312" w:cs="宋体" w:hAnsiTheme="minorEastAsia"/>
          <w:color w:val="auto"/>
          <w:spacing w:val="-6"/>
          <w:kern w:val="0"/>
          <w:sz w:val="32"/>
          <w:szCs w:val="32"/>
        </w:rPr>
        <w:t>913607000718391615；</w:t>
      </w:r>
      <w:r>
        <w:rPr>
          <w:rFonts w:hint="eastAsia" w:ascii="仿宋_GB2312" w:eastAsia="仿宋_GB2312" w:cs="宋体" w:hAnsiTheme="minorEastAsia"/>
          <w:color w:val="auto"/>
          <w:spacing w:val="-10"/>
          <w:kern w:val="0"/>
          <w:sz w:val="32"/>
          <w:szCs w:val="32"/>
        </w:rPr>
        <w:t>金融许可证号：B0216H236070001</w:t>
      </w:r>
    </w:p>
    <w:p>
      <w:pPr>
        <w:widowControl/>
        <w:shd w:val="clear" w:color="auto" w:fill="FFFFFF"/>
        <w:adjustRightInd w:val="0"/>
        <w:spacing w:line="500" w:lineRule="exact"/>
        <w:ind w:firstLine="643" w:firstLineChars="200"/>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1.5经营范围：</w:t>
      </w:r>
      <w:r>
        <w:rPr>
          <w:rFonts w:hint="eastAsia" w:ascii="仿宋_GB2312" w:eastAsia="仿宋_GB2312" w:cs="宋体" w:hAnsiTheme="minorEastAsia"/>
          <w:color w:val="auto"/>
          <w:kern w:val="0"/>
          <w:sz w:val="32"/>
          <w:szCs w:val="32"/>
        </w:rPr>
        <w:t>吸收公众存款；发放短期、中期和长期贷款；办理国内结算；办理票据承兑与贴现；代理收付款项及代理保险业务；买卖政府债券、金融债券；从事同业拆借；提供保管箱服务；经银行业监督管理机构批准的其他业务。</w:t>
      </w:r>
    </w:p>
    <w:p>
      <w:pPr>
        <w:widowControl/>
        <w:shd w:val="clear" w:color="auto" w:fill="FFFFFF"/>
        <w:adjustRightInd w:val="0"/>
        <w:spacing w:line="500" w:lineRule="exact"/>
        <w:ind w:firstLine="643" w:firstLineChars="200"/>
        <w:rPr>
          <w:rFonts w:ascii="仿宋_GB2312" w:eastAsia="仿宋_GB2312" w:cs="宋体" w:hAnsiTheme="minorEastAsia"/>
          <w:b/>
          <w:color w:val="auto"/>
          <w:kern w:val="0"/>
          <w:sz w:val="32"/>
          <w:szCs w:val="32"/>
        </w:rPr>
      </w:pPr>
      <w:r>
        <w:rPr>
          <w:rFonts w:hint="eastAsia" w:ascii="仿宋_GB2312" w:eastAsia="仿宋_GB2312" w:cs="宋体" w:hAnsiTheme="minorEastAsia"/>
          <w:b/>
          <w:color w:val="auto"/>
          <w:kern w:val="0"/>
          <w:sz w:val="32"/>
          <w:szCs w:val="32"/>
        </w:rPr>
        <w:t>1.6 各分支机构营业场所</w:t>
      </w:r>
    </w:p>
    <w:tbl>
      <w:tblPr>
        <w:tblStyle w:val="8"/>
        <w:tblW w:w="8431" w:type="dxa"/>
        <w:tblInd w:w="93" w:type="dxa"/>
        <w:tblLayout w:type="fixed"/>
        <w:tblCellMar>
          <w:top w:w="0" w:type="dxa"/>
          <w:left w:w="108" w:type="dxa"/>
          <w:bottom w:w="0" w:type="dxa"/>
          <w:right w:w="108" w:type="dxa"/>
        </w:tblCellMar>
      </w:tblPr>
      <w:tblGrid>
        <w:gridCol w:w="780"/>
        <w:gridCol w:w="5223"/>
        <w:gridCol w:w="2428"/>
      </w:tblGrid>
      <w:tr>
        <w:tblPrEx>
          <w:tblLayout w:type="fixed"/>
          <w:tblCellMar>
            <w:top w:w="0" w:type="dxa"/>
            <w:left w:w="108" w:type="dxa"/>
            <w:bottom w:w="0" w:type="dxa"/>
            <w:right w:w="108"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4"/>
                <w:szCs w:val="24"/>
                <w:lang w:eastAsia="zh-CN"/>
              </w:rPr>
            </w:pPr>
            <w:r>
              <w:rPr>
                <w:rFonts w:hint="eastAsia" w:ascii="仿宋_GB2312" w:hAnsi="宋体" w:eastAsia="仿宋_GB2312" w:cs="宋体"/>
                <w:color w:val="auto"/>
                <w:kern w:val="0"/>
                <w:sz w:val="24"/>
                <w:szCs w:val="24"/>
                <w:lang w:eastAsia="zh-CN"/>
              </w:rPr>
              <w:t>序号</w:t>
            </w:r>
          </w:p>
        </w:tc>
        <w:tc>
          <w:tcPr>
            <w:tcW w:w="52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分支机构全称</w:t>
            </w:r>
          </w:p>
        </w:tc>
        <w:tc>
          <w:tcPr>
            <w:tcW w:w="24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营业地址</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1</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江西大余农村商业银行股份有限公司营业部</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大余县南安镇南安大道中段</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2</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江西大余农村商业银行股份有限公司新城支行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大余县新城镇北门街1号</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3</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江西大余农村商业银行股份有限公司池江支行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大余县池江镇街上323国道旁</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4</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江西大余农村商业银行股份有限公司樟斗支行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大余县樟斗镇街上镇政府对面</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5</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江西大余农村商业银行股份有限公司青龙支行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大余县青龙镇街上323国道旁</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6</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江西大余农村商业银行股份有限公司左拔支行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大余县左拔镇左拔街上</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7</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江西大余农村商业银行股份有限公司黄龙支行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大余县黄龙镇街上323国道旁</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8</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江西大余农村商业银行股份有限公司南安支行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大余县南安镇建桂街解放路8号</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9</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江西大余农村商业银行股份有限公司浮江支行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大余县浮江乡余崇路交警支队旁</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10</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江西大余农村商业银行股份有限公司吉村支行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大余县吉村镇吉村街上</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11</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江西大余农村商业银行股份有限公司河洞支行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大余县河洞乡圩上</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12</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江西大余农村商业银行股份有限公司内良支行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大余县内良乡圩上</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13</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江西大余农村商业银行股份有限公司南门支行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大余县南安镇余西街建设路100号</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14</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江西大余农村商业银行股份有限公司西门支行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大余县南安镇梅国北路新平苑一楼</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15</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江西大余农村商业银行股份有限公司东门支行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highlight w:val="none"/>
              </w:rPr>
              <w:t>大余县南安镇陶园路</w:t>
            </w:r>
            <w:r>
              <w:rPr>
                <w:rFonts w:hint="eastAsia" w:ascii="仿宋_GB2312" w:hAnsi="宋体" w:eastAsia="仿宋_GB2312" w:cs="宋体"/>
                <w:color w:val="auto"/>
                <w:kern w:val="0"/>
                <w:sz w:val="24"/>
                <w:szCs w:val="24"/>
                <w:highlight w:val="none"/>
                <w:lang w:eastAsia="zh-CN"/>
              </w:rPr>
              <w:t>裕淇楼</w:t>
            </w:r>
            <w:r>
              <w:rPr>
                <w:rFonts w:hint="eastAsia" w:ascii="仿宋_GB2312" w:hAnsi="宋体" w:eastAsia="仿宋_GB2312" w:cs="宋体"/>
                <w:color w:val="auto"/>
                <w:kern w:val="0"/>
                <w:sz w:val="24"/>
                <w:szCs w:val="24"/>
                <w:highlight w:val="none"/>
                <w:lang w:val="en-US" w:eastAsia="zh-CN"/>
              </w:rPr>
              <w:t>07-09商铺</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16</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江西大余农村商业银行股份有限公司梅关支行</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大余县南安镇荡坪北路环卫所门口</w:t>
            </w:r>
          </w:p>
        </w:tc>
      </w:tr>
      <w:tr>
        <w:tblPrEx>
          <w:tblLayout w:type="fixed"/>
          <w:tblCellMar>
            <w:top w:w="0" w:type="dxa"/>
            <w:left w:w="108" w:type="dxa"/>
            <w:bottom w:w="0" w:type="dxa"/>
            <w:right w:w="108" w:type="dxa"/>
          </w:tblCellMar>
        </w:tblPrEx>
        <w:trPr>
          <w:trHeight w:val="375" w:hRule="atLeast"/>
        </w:trPr>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auto"/>
                <w:kern w:val="0"/>
                <w:sz w:val="24"/>
                <w:szCs w:val="24"/>
                <w:lang w:val="en-US" w:eastAsia="zh-CN"/>
              </w:rPr>
            </w:pPr>
            <w:r>
              <w:rPr>
                <w:rFonts w:hint="eastAsia" w:ascii="仿宋_GB2312" w:hAnsi="宋体" w:eastAsia="仿宋_GB2312" w:cs="宋体"/>
                <w:color w:val="auto"/>
                <w:kern w:val="0"/>
                <w:sz w:val="24"/>
                <w:szCs w:val="24"/>
                <w:lang w:val="en-US" w:eastAsia="zh-CN"/>
              </w:rPr>
              <w:t>17</w:t>
            </w:r>
          </w:p>
        </w:tc>
        <w:tc>
          <w:tcPr>
            <w:tcW w:w="522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江西大余农村商业银行股份有限公司池江老街分理处</w:t>
            </w:r>
          </w:p>
        </w:tc>
        <w:tc>
          <w:tcPr>
            <w:tcW w:w="242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大余县池江镇池江老街圩上</w:t>
            </w:r>
          </w:p>
        </w:tc>
      </w:tr>
      <w:tr>
        <w:tblPrEx>
          <w:tblLayout w:type="fixed"/>
          <w:tblCellMar>
            <w:top w:w="0" w:type="dxa"/>
            <w:left w:w="108" w:type="dxa"/>
            <w:bottom w:w="0" w:type="dxa"/>
            <w:right w:w="108"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auto"/>
                <w:kern w:val="0"/>
                <w:sz w:val="24"/>
                <w:szCs w:val="24"/>
                <w:highlight w:val="none"/>
                <w:lang w:val="en-US" w:eastAsia="zh-CN"/>
              </w:rPr>
            </w:pPr>
            <w:r>
              <w:rPr>
                <w:rFonts w:hint="eastAsia" w:ascii="仿宋_GB2312" w:hAnsi="宋体" w:eastAsia="仿宋_GB2312" w:cs="宋体"/>
                <w:color w:val="auto"/>
                <w:kern w:val="0"/>
                <w:sz w:val="24"/>
                <w:szCs w:val="24"/>
                <w:highlight w:val="none"/>
                <w:lang w:val="en-US" w:eastAsia="zh-CN"/>
              </w:rPr>
              <w:t>18</w:t>
            </w:r>
          </w:p>
        </w:tc>
        <w:tc>
          <w:tcPr>
            <w:tcW w:w="52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江西大余农村商业银行股份有限公司新城街分理处</w:t>
            </w:r>
          </w:p>
        </w:tc>
        <w:tc>
          <w:tcPr>
            <w:tcW w:w="24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rPr>
              <w:t>大余县新城镇</w:t>
            </w:r>
            <w:r>
              <w:rPr>
                <w:rFonts w:hint="eastAsia" w:ascii="仿宋_GB2312" w:hAnsi="宋体" w:eastAsia="仿宋_GB2312" w:cs="宋体"/>
                <w:color w:val="auto"/>
                <w:kern w:val="0"/>
                <w:sz w:val="24"/>
                <w:szCs w:val="24"/>
                <w:lang w:val="zh-CN"/>
              </w:rPr>
              <w:t>小康新村北侧万鑫丽城06号店面</w:t>
            </w:r>
          </w:p>
        </w:tc>
      </w:tr>
      <w:tr>
        <w:tblPrEx>
          <w:tblLayout w:type="fixed"/>
          <w:tblCellMar>
            <w:top w:w="0" w:type="dxa"/>
            <w:left w:w="108" w:type="dxa"/>
            <w:bottom w:w="0" w:type="dxa"/>
            <w:right w:w="108"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auto"/>
                <w:kern w:val="0"/>
                <w:sz w:val="24"/>
                <w:szCs w:val="24"/>
                <w:highlight w:val="none"/>
                <w:lang w:val="en-US" w:eastAsia="zh-CN"/>
              </w:rPr>
            </w:pPr>
            <w:r>
              <w:rPr>
                <w:rFonts w:hint="eastAsia" w:ascii="仿宋_GB2312" w:hAnsi="宋体" w:eastAsia="仿宋_GB2312" w:cs="宋体"/>
                <w:color w:val="auto"/>
                <w:kern w:val="0"/>
                <w:sz w:val="24"/>
                <w:szCs w:val="24"/>
                <w:highlight w:val="none"/>
                <w:lang w:val="en-US" w:eastAsia="zh-CN"/>
              </w:rPr>
              <w:t>19</w:t>
            </w:r>
          </w:p>
        </w:tc>
        <w:tc>
          <w:tcPr>
            <w:tcW w:w="52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江西大余农村商业银行股份有限公司</w:t>
            </w:r>
            <w:r>
              <w:rPr>
                <w:rFonts w:hint="eastAsia" w:ascii="仿宋_GB2312" w:hAnsi="宋体" w:eastAsia="仿宋_GB2312" w:cs="宋体"/>
                <w:color w:val="auto"/>
                <w:kern w:val="0"/>
                <w:sz w:val="24"/>
                <w:szCs w:val="24"/>
                <w:highlight w:val="none"/>
                <w:lang w:eastAsia="zh-CN"/>
              </w:rPr>
              <w:t>游仙</w:t>
            </w:r>
            <w:r>
              <w:rPr>
                <w:rFonts w:hint="eastAsia" w:ascii="仿宋_GB2312" w:hAnsi="宋体" w:eastAsia="仿宋_GB2312" w:cs="宋体"/>
                <w:color w:val="auto"/>
                <w:kern w:val="0"/>
                <w:sz w:val="24"/>
                <w:szCs w:val="24"/>
                <w:highlight w:val="none"/>
              </w:rPr>
              <w:t>分理处</w:t>
            </w:r>
          </w:p>
        </w:tc>
        <w:tc>
          <w:tcPr>
            <w:tcW w:w="24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大余县吉村镇游仙村街上</w:t>
            </w:r>
          </w:p>
        </w:tc>
      </w:tr>
    </w:tbl>
    <w:p>
      <w:pPr>
        <w:widowControl/>
        <w:shd w:val="clear" w:color="auto" w:fill="FFFFFF"/>
        <w:adjustRightInd w:val="0"/>
        <w:spacing w:line="500" w:lineRule="exact"/>
        <w:ind w:firstLine="643" w:firstLineChars="200"/>
        <w:rPr>
          <w:rFonts w:ascii="仿宋_GB2312" w:eastAsia="仿宋_GB2312" w:cs="宋体" w:hAnsiTheme="minorEastAsia"/>
          <w:b/>
          <w:color w:val="auto"/>
          <w:kern w:val="0"/>
          <w:sz w:val="32"/>
          <w:szCs w:val="32"/>
          <w:highlight w:val="none"/>
        </w:rPr>
      </w:pPr>
      <w:r>
        <w:rPr>
          <w:rFonts w:hint="eastAsia" w:ascii="仿宋_GB2312" w:eastAsia="仿宋_GB2312" w:cs="宋体" w:hAnsiTheme="minorEastAsia"/>
          <w:b/>
          <w:color w:val="auto"/>
          <w:kern w:val="0"/>
          <w:sz w:val="32"/>
          <w:szCs w:val="32"/>
          <w:highlight w:val="none"/>
        </w:rPr>
        <w:t>1.7 客服和</w:t>
      </w:r>
      <w:r>
        <w:rPr>
          <w:rFonts w:hint="eastAsia" w:ascii="仿宋_GB2312" w:eastAsia="仿宋_GB2312" w:cs="宋体" w:hAnsiTheme="minorEastAsia"/>
          <w:b/>
          <w:color w:val="auto"/>
          <w:kern w:val="0"/>
          <w:sz w:val="32"/>
          <w:szCs w:val="32"/>
          <w:highlight w:val="none"/>
          <w:lang w:eastAsia="zh-CN"/>
        </w:rPr>
        <w:t>本行</w:t>
      </w:r>
      <w:r>
        <w:rPr>
          <w:rFonts w:hint="eastAsia" w:ascii="仿宋_GB2312" w:eastAsia="仿宋_GB2312" w:cs="宋体" w:hAnsiTheme="minorEastAsia"/>
          <w:b/>
          <w:color w:val="auto"/>
          <w:kern w:val="0"/>
          <w:sz w:val="32"/>
          <w:szCs w:val="32"/>
          <w:highlight w:val="none"/>
        </w:rPr>
        <w:t>投诉电话</w:t>
      </w:r>
    </w:p>
    <w:p>
      <w:pPr>
        <w:widowControl/>
        <w:shd w:val="clear" w:color="auto" w:fill="FFFFFF"/>
        <w:adjustRightInd w:val="0"/>
        <w:spacing w:line="500" w:lineRule="exact"/>
        <w:ind w:firstLine="640" w:firstLineChars="200"/>
        <w:rPr>
          <w:rFonts w:hint="default" w:ascii="仿宋_GB2312" w:eastAsia="仿宋_GB2312" w:cs="宋体" w:hAnsiTheme="minorEastAsia"/>
          <w:color w:val="auto"/>
          <w:kern w:val="0"/>
          <w:sz w:val="32"/>
          <w:szCs w:val="32"/>
          <w:highlight w:val="none"/>
          <w:lang w:val="en-US" w:eastAsia="zh-CN"/>
        </w:rPr>
      </w:pPr>
      <w:r>
        <w:rPr>
          <w:rFonts w:hint="eastAsia" w:ascii="仿宋_GB2312" w:eastAsia="仿宋_GB2312" w:cs="宋体" w:hAnsiTheme="minorEastAsia"/>
          <w:color w:val="auto"/>
          <w:kern w:val="0"/>
          <w:sz w:val="32"/>
          <w:szCs w:val="32"/>
          <w:highlight w:val="none"/>
        </w:rPr>
        <w:t>0791-96268</w:t>
      </w:r>
      <w:r>
        <w:rPr>
          <w:rFonts w:hint="eastAsia" w:ascii="仿宋_GB2312" w:eastAsia="仿宋_GB2312" w:cs="宋体" w:hAnsiTheme="minorEastAsia"/>
          <w:color w:val="auto"/>
          <w:kern w:val="0"/>
          <w:sz w:val="32"/>
          <w:szCs w:val="32"/>
          <w:highlight w:val="none"/>
          <w:lang w:eastAsia="zh-CN"/>
        </w:rPr>
        <w:t>、</w:t>
      </w:r>
      <w:r>
        <w:rPr>
          <w:rFonts w:hint="eastAsia" w:ascii="仿宋_GB2312" w:eastAsia="仿宋_GB2312" w:cs="宋体" w:hAnsiTheme="minorEastAsia"/>
          <w:color w:val="auto"/>
          <w:kern w:val="0"/>
          <w:sz w:val="32"/>
          <w:szCs w:val="32"/>
          <w:highlight w:val="none"/>
          <w:lang w:val="en-US" w:eastAsia="zh-CN"/>
        </w:rPr>
        <w:t>0797-8727556</w:t>
      </w:r>
    </w:p>
    <w:p>
      <w:pPr>
        <w:widowControl/>
        <w:shd w:val="clear" w:color="auto" w:fill="FFFFFF"/>
        <w:adjustRightInd w:val="0"/>
        <w:spacing w:line="500" w:lineRule="exact"/>
        <w:ind w:firstLine="643" w:firstLineChars="200"/>
        <w:rPr>
          <w:rFonts w:ascii="仿宋_GB2312" w:eastAsia="仿宋_GB2312" w:cs="宋体" w:hAnsiTheme="minorEastAsia"/>
          <w:b/>
          <w:color w:val="auto"/>
          <w:kern w:val="0"/>
          <w:sz w:val="32"/>
          <w:szCs w:val="32"/>
        </w:rPr>
      </w:pPr>
      <w:r>
        <w:rPr>
          <w:rFonts w:hint="eastAsia" w:ascii="仿宋_GB2312" w:eastAsia="仿宋_GB2312" w:cs="宋体" w:hAnsiTheme="minorEastAsia"/>
          <w:b/>
          <w:color w:val="auto"/>
          <w:kern w:val="0"/>
          <w:sz w:val="32"/>
          <w:szCs w:val="32"/>
        </w:rPr>
        <w:t>1.8 披露渠道和查询途径</w:t>
      </w:r>
    </w:p>
    <w:p>
      <w:pPr>
        <w:widowControl/>
        <w:shd w:val="clear" w:color="auto" w:fill="FFFFFF"/>
        <w:adjustRightInd w:val="0"/>
        <w:spacing w:line="500" w:lineRule="exact"/>
        <w:ind w:firstLine="640" w:firstLineChars="200"/>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大余农商银行营业部，地址：大余县南安大道中段</w:t>
      </w:r>
    </w:p>
    <w:p>
      <w:pPr>
        <w:widowControl/>
        <w:shd w:val="clear" w:color="auto" w:fill="FFFFFF"/>
        <w:wordWrap w:val="0"/>
        <w:adjustRightInd w:val="0"/>
        <w:spacing w:line="500" w:lineRule="exact"/>
        <w:ind w:firstLine="640" w:firstLineChars="200"/>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大余农商银行官方网站网址：www.jxnxs.com/dynsyh/index.html</w:t>
      </w:r>
    </w:p>
    <w:p>
      <w:pPr>
        <w:widowControl/>
        <w:shd w:val="clear" w:color="auto" w:fill="FFFFFF"/>
        <w:spacing w:line="500" w:lineRule="exact"/>
        <w:ind w:firstLine="640" w:firstLineChars="200"/>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二、主要业务数据</w:t>
      </w:r>
    </w:p>
    <w:p>
      <w:pPr>
        <w:widowControl/>
        <w:shd w:val="clear" w:color="auto" w:fill="FFFFFF"/>
        <w:spacing w:line="500" w:lineRule="exact"/>
        <w:ind w:firstLine="640" w:firstLineChars="200"/>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highlight w:val="none"/>
        </w:rPr>
        <w:t>202</w:t>
      </w:r>
      <w:r>
        <w:rPr>
          <w:rFonts w:hint="eastAsia" w:ascii="仿宋_GB2312" w:eastAsia="仿宋_GB2312" w:cs="宋体" w:hAnsiTheme="minorEastAsia"/>
          <w:color w:val="auto"/>
          <w:kern w:val="0"/>
          <w:sz w:val="32"/>
          <w:szCs w:val="32"/>
          <w:highlight w:val="none"/>
          <w:lang w:val="en-US" w:eastAsia="zh-CN"/>
        </w:rPr>
        <w:t>5</w:t>
      </w:r>
      <w:r>
        <w:rPr>
          <w:rFonts w:hint="eastAsia" w:ascii="仿宋_GB2312" w:eastAsia="仿宋_GB2312" w:cs="宋体" w:hAnsiTheme="minorEastAsia"/>
          <w:color w:val="auto"/>
          <w:kern w:val="0"/>
          <w:sz w:val="32"/>
          <w:szCs w:val="32"/>
          <w:highlight w:val="none"/>
        </w:rPr>
        <w:t>年，</w:t>
      </w:r>
      <w:r>
        <w:rPr>
          <w:rFonts w:hint="eastAsia" w:ascii="仿宋_GB2312" w:eastAsia="仿宋_GB2312" w:cs="宋体" w:hAnsiTheme="minorEastAsia"/>
          <w:color w:val="auto"/>
          <w:kern w:val="0"/>
          <w:sz w:val="32"/>
          <w:szCs w:val="32"/>
        </w:rPr>
        <w:t>面对错综复杂的经济形势和持续加大的经济下行压力，本行坚持稳中求进的工作总基调，</w:t>
      </w:r>
      <w:r>
        <w:rPr>
          <w:rFonts w:hint="eastAsia" w:ascii="仿宋_GB2312" w:eastAsia="仿宋_GB2312" w:cs="宋体" w:hAnsiTheme="minorEastAsia"/>
          <w:color w:val="auto"/>
          <w:kern w:val="0"/>
          <w:sz w:val="32"/>
          <w:szCs w:val="32"/>
          <w:lang w:eastAsia="zh-CN"/>
        </w:rPr>
        <w:t>积极践行“八行战略”</w:t>
      </w:r>
      <w:r>
        <w:rPr>
          <w:rFonts w:hint="eastAsia" w:ascii="仿宋_GB2312" w:eastAsia="仿宋_GB2312" w:cs="宋体" w:hAnsiTheme="minorEastAsia"/>
          <w:color w:val="auto"/>
          <w:kern w:val="0"/>
          <w:sz w:val="32"/>
          <w:szCs w:val="32"/>
        </w:rPr>
        <w:t>，始终坚持“立足本土、服务社区、支农支小”的市场定位，紧紧围绕年度经营计划，以存贷业务为重点，加大资金营运、中间业务拓展力度，在严格防范风险的前提下，各项业务取得了较好的发展。202</w:t>
      </w:r>
      <w:r>
        <w:rPr>
          <w:rFonts w:hint="eastAsia" w:ascii="仿宋_GB2312" w:eastAsia="仿宋_GB2312" w:cs="宋体" w:hAnsiTheme="minorEastAsia"/>
          <w:color w:val="auto"/>
          <w:kern w:val="0"/>
          <w:sz w:val="32"/>
          <w:szCs w:val="32"/>
          <w:lang w:val="en-US" w:eastAsia="zh-CN"/>
        </w:rPr>
        <w:t>5</w:t>
      </w:r>
      <w:r>
        <w:rPr>
          <w:rFonts w:hint="eastAsia" w:ascii="仿宋_GB2312" w:eastAsia="仿宋_GB2312" w:cs="宋体" w:hAnsiTheme="minorEastAsia"/>
          <w:color w:val="auto"/>
          <w:kern w:val="0"/>
          <w:sz w:val="32"/>
          <w:szCs w:val="32"/>
        </w:rPr>
        <w:t>年末，各项资产总计</w:t>
      </w:r>
      <w:r>
        <w:rPr>
          <w:rFonts w:hint="eastAsia" w:ascii="仿宋_GB2312" w:eastAsia="仿宋_GB2312" w:cs="宋体" w:hAnsiTheme="minorEastAsia"/>
          <w:color w:val="auto"/>
          <w:kern w:val="0"/>
          <w:sz w:val="32"/>
          <w:szCs w:val="32"/>
          <w:lang w:val="en-US" w:eastAsia="zh-CN"/>
        </w:rPr>
        <w:t>1015562</w:t>
      </w:r>
      <w:r>
        <w:rPr>
          <w:rFonts w:hint="eastAsia" w:ascii="仿宋_GB2312" w:eastAsia="仿宋_GB2312" w:cs="宋体" w:hAnsiTheme="minorEastAsia"/>
          <w:color w:val="auto"/>
          <w:kern w:val="0"/>
          <w:sz w:val="32"/>
          <w:szCs w:val="32"/>
        </w:rPr>
        <w:t>万元，负债总计</w:t>
      </w:r>
      <w:r>
        <w:rPr>
          <w:rFonts w:hint="eastAsia" w:ascii="仿宋_GB2312" w:eastAsia="仿宋_GB2312" w:cs="宋体" w:hAnsiTheme="minorEastAsia"/>
          <w:color w:val="auto"/>
          <w:kern w:val="0"/>
          <w:sz w:val="32"/>
          <w:szCs w:val="32"/>
          <w:lang w:val="en-US" w:eastAsia="zh-CN"/>
        </w:rPr>
        <w:t>946540</w:t>
      </w:r>
      <w:r>
        <w:rPr>
          <w:rFonts w:hint="eastAsia" w:ascii="仿宋_GB2312" w:eastAsia="仿宋_GB2312" w:cs="宋体" w:hAnsiTheme="minorEastAsia"/>
          <w:color w:val="auto"/>
          <w:kern w:val="0"/>
          <w:sz w:val="32"/>
          <w:szCs w:val="32"/>
        </w:rPr>
        <w:t>万元，所有者权益</w:t>
      </w:r>
      <w:r>
        <w:rPr>
          <w:rFonts w:hint="eastAsia" w:ascii="仿宋_GB2312" w:eastAsia="仿宋_GB2312" w:cs="宋体" w:hAnsiTheme="minorEastAsia"/>
          <w:color w:val="auto"/>
          <w:kern w:val="0"/>
          <w:sz w:val="32"/>
          <w:szCs w:val="32"/>
          <w:lang w:val="en-US" w:eastAsia="zh-CN"/>
        </w:rPr>
        <w:t>69022</w:t>
      </w:r>
      <w:r>
        <w:rPr>
          <w:rFonts w:hint="eastAsia" w:ascii="仿宋_GB2312" w:eastAsia="仿宋_GB2312" w:cs="宋体" w:hAnsiTheme="minorEastAsia"/>
          <w:color w:val="auto"/>
          <w:kern w:val="0"/>
          <w:sz w:val="32"/>
          <w:szCs w:val="32"/>
        </w:rPr>
        <w:t>万元。202</w:t>
      </w:r>
      <w:r>
        <w:rPr>
          <w:rFonts w:hint="eastAsia" w:ascii="仿宋_GB2312" w:eastAsia="仿宋_GB2312" w:cs="宋体" w:hAnsiTheme="minorEastAsia"/>
          <w:color w:val="auto"/>
          <w:kern w:val="0"/>
          <w:sz w:val="32"/>
          <w:szCs w:val="32"/>
          <w:lang w:val="en-US" w:eastAsia="zh-CN"/>
        </w:rPr>
        <w:t>5</w:t>
      </w:r>
      <w:r>
        <w:rPr>
          <w:rFonts w:hint="eastAsia" w:ascii="仿宋_GB2312" w:eastAsia="仿宋_GB2312" w:cs="宋体" w:hAnsiTheme="minorEastAsia"/>
          <w:color w:val="auto"/>
          <w:kern w:val="0"/>
          <w:sz w:val="32"/>
          <w:szCs w:val="32"/>
        </w:rPr>
        <w:t>年实现各项收入</w:t>
      </w:r>
      <w:r>
        <w:rPr>
          <w:rFonts w:hint="eastAsia" w:ascii="仿宋_GB2312" w:eastAsia="仿宋_GB2312" w:cs="宋体" w:hAnsiTheme="minorEastAsia"/>
          <w:color w:val="auto"/>
          <w:kern w:val="0"/>
          <w:sz w:val="32"/>
          <w:szCs w:val="32"/>
          <w:lang w:val="en-US" w:eastAsia="zh-CN"/>
        </w:rPr>
        <w:t>44622</w:t>
      </w:r>
      <w:r>
        <w:rPr>
          <w:rFonts w:hint="eastAsia" w:ascii="仿宋_GB2312" w:eastAsia="仿宋_GB2312" w:cs="宋体" w:hAnsiTheme="minorEastAsia"/>
          <w:color w:val="auto"/>
          <w:kern w:val="0"/>
          <w:sz w:val="32"/>
          <w:szCs w:val="32"/>
        </w:rPr>
        <w:t>万元。</w:t>
      </w:r>
    </w:p>
    <w:p>
      <w:pPr>
        <w:widowControl/>
        <w:shd w:val="clear" w:color="auto" w:fill="FFFFFF"/>
        <w:tabs>
          <w:tab w:val="left" w:pos="630"/>
        </w:tabs>
        <w:spacing w:line="500" w:lineRule="exact"/>
        <w:ind w:firstLine="790" w:firstLineChars="246"/>
        <w:jc w:val="left"/>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2.1报告期主要利润指标情况</w:t>
      </w:r>
    </w:p>
    <w:p>
      <w:pPr>
        <w:widowControl/>
        <w:shd w:val="clear" w:color="auto" w:fill="FFFFFF"/>
        <w:spacing w:line="500" w:lineRule="exact"/>
        <w:ind w:firstLine="640" w:firstLineChars="200"/>
        <w:jc w:val="left"/>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 xml:space="preserve">                              单位：人民币  万元</w:t>
      </w:r>
    </w:p>
    <w:tbl>
      <w:tblPr>
        <w:tblStyle w:val="8"/>
        <w:tblW w:w="8522" w:type="dxa"/>
        <w:jc w:val="center"/>
        <w:tblInd w:w="0" w:type="dxa"/>
        <w:tblLayout w:type="fixed"/>
        <w:tblCellMar>
          <w:top w:w="0" w:type="dxa"/>
          <w:left w:w="108" w:type="dxa"/>
          <w:bottom w:w="0" w:type="dxa"/>
          <w:right w:w="108" w:type="dxa"/>
        </w:tblCellMar>
      </w:tblPr>
      <w:tblGrid>
        <w:gridCol w:w="4343"/>
        <w:gridCol w:w="4179"/>
      </w:tblGrid>
      <w:tr>
        <w:tblPrEx>
          <w:tblLayout w:type="fixed"/>
          <w:tblCellMar>
            <w:top w:w="0" w:type="dxa"/>
            <w:left w:w="108" w:type="dxa"/>
            <w:bottom w:w="0" w:type="dxa"/>
            <w:right w:w="108" w:type="dxa"/>
          </w:tblCellMar>
        </w:tblPrEx>
        <w:trPr>
          <w:trHeight w:val="500" w:hRule="atLeast"/>
          <w:jc w:val="center"/>
        </w:trPr>
        <w:tc>
          <w:tcPr>
            <w:tcW w:w="434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项目</w:t>
            </w:r>
          </w:p>
        </w:tc>
        <w:tc>
          <w:tcPr>
            <w:tcW w:w="4179"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202</w:t>
            </w:r>
            <w:r>
              <w:rPr>
                <w:rFonts w:hint="eastAsia" w:cs="宋体" w:asciiTheme="minorEastAsia" w:hAnsiTheme="minorEastAsia"/>
                <w:color w:val="auto"/>
                <w:kern w:val="0"/>
                <w:sz w:val="24"/>
                <w:szCs w:val="24"/>
                <w:lang w:val="en-US" w:eastAsia="zh-CN"/>
              </w:rPr>
              <w:t>5</w:t>
            </w:r>
            <w:r>
              <w:rPr>
                <w:rFonts w:hint="eastAsia" w:cs="宋体" w:asciiTheme="minorEastAsia" w:hAnsiTheme="minorEastAsia"/>
                <w:color w:val="auto"/>
                <w:kern w:val="0"/>
                <w:sz w:val="24"/>
                <w:szCs w:val="24"/>
              </w:rPr>
              <w:t>年</w:t>
            </w:r>
          </w:p>
        </w:tc>
      </w:tr>
      <w:tr>
        <w:tblPrEx>
          <w:tblLayout w:type="fixed"/>
          <w:tblCellMar>
            <w:top w:w="0" w:type="dxa"/>
            <w:left w:w="108" w:type="dxa"/>
            <w:bottom w:w="0" w:type="dxa"/>
            <w:right w:w="108" w:type="dxa"/>
          </w:tblCellMar>
        </w:tblPrEx>
        <w:trPr>
          <w:trHeight w:val="500" w:hRule="atLeast"/>
          <w:jc w:val="center"/>
        </w:trPr>
        <w:tc>
          <w:tcPr>
            <w:tcW w:w="4343"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利润总额</w:t>
            </w:r>
          </w:p>
        </w:tc>
        <w:tc>
          <w:tcPr>
            <w:tcW w:w="4179" w:type="dxa"/>
            <w:tcBorders>
              <w:top w:val="nil"/>
              <w:left w:val="nil"/>
              <w:bottom w:val="single" w:color="auto" w:sz="4" w:space="0"/>
              <w:right w:val="single" w:color="auto" w:sz="4" w:space="0"/>
            </w:tcBorders>
            <w:vAlign w:val="center"/>
          </w:tcPr>
          <w:p>
            <w:pPr>
              <w:spacing w:line="500" w:lineRule="exact"/>
              <w:jc w:val="center"/>
              <w:rPr>
                <w:rFonts w:hint="default" w:cs="Times New Roman" w:asciiTheme="minorEastAsia" w:hAnsiTheme="minorEastAsia" w:eastAsiaTheme="minorEastAsia"/>
                <w:color w:val="auto"/>
                <w:sz w:val="24"/>
                <w:szCs w:val="24"/>
                <w:lang w:val="en-US" w:eastAsia="zh-CN"/>
              </w:rPr>
            </w:pPr>
            <w:r>
              <w:rPr>
                <w:rFonts w:hint="eastAsia" w:cs="宋体" w:asciiTheme="minorEastAsia" w:hAnsiTheme="minorEastAsia"/>
                <w:color w:val="auto"/>
                <w:kern w:val="10"/>
                <w:sz w:val="24"/>
                <w:szCs w:val="24"/>
                <w:lang w:val="en-US" w:eastAsia="zh-CN"/>
              </w:rPr>
              <w:t>9153.73</w:t>
            </w:r>
          </w:p>
        </w:tc>
      </w:tr>
      <w:tr>
        <w:tblPrEx>
          <w:tblLayout w:type="fixed"/>
          <w:tblCellMar>
            <w:top w:w="0" w:type="dxa"/>
            <w:left w:w="108" w:type="dxa"/>
            <w:bottom w:w="0" w:type="dxa"/>
            <w:right w:w="108" w:type="dxa"/>
          </w:tblCellMar>
        </w:tblPrEx>
        <w:trPr>
          <w:trHeight w:val="500" w:hRule="atLeast"/>
          <w:jc w:val="center"/>
        </w:trPr>
        <w:tc>
          <w:tcPr>
            <w:tcW w:w="434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净利润</w:t>
            </w:r>
          </w:p>
        </w:tc>
        <w:tc>
          <w:tcPr>
            <w:tcW w:w="4179"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10"/>
                <w:sz w:val="24"/>
                <w:szCs w:val="24"/>
                <w:lang w:val="en-US" w:eastAsia="zh-CN"/>
              </w:rPr>
              <w:t>7310.99</w:t>
            </w:r>
          </w:p>
        </w:tc>
      </w:tr>
      <w:tr>
        <w:tblPrEx>
          <w:tblLayout w:type="fixed"/>
          <w:tblCellMar>
            <w:top w:w="0" w:type="dxa"/>
            <w:left w:w="108" w:type="dxa"/>
            <w:bottom w:w="0" w:type="dxa"/>
            <w:right w:w="108" w:type="dxa"/>
          </w:tblCellMar>
        </w:tblPrEx>
        <w:trPr>
          <w:trHeight w:val="500" w:hRule="atLeast"/>
          <w:jc w:val="center"/>
        </w:trPr>
        <w:tc>
          <w:tcPr>
            <w:tcW w:w="434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投资收益</w:t>
            </w:r>
          </w:p>
        </w:tc>
        <w:tc>
          <w:tcPr>
            <w:tcW w:w="4179"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4712.80</w:t>
            </w:r>
          </w:p>
        </w:tc>
      </w:tr>
      <w:tr>
        <w:tblPrEx>
          <w:tblLayout w:type="fixed"/>
          <w:tblCellMar>
            <w:top w:w="0" w:type="dxa"/>
            <w:left w:w="108" w:type="dxa"/>
            <w:bottom w:w="0" w:type="dxa"/>
            <w:right w:w="108" w:type="dxa"/>
          </w:tblCellMar>
        </w:tblPrEx>
        <w:trPr>
          <w:trHeight w:val="500" w:hRule="atLeast"/>
          <w:jc w:val="center"/>
        </w:trPr>
        <w:tc>
          <w:tcPr>
            <w:tcW w:w="434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营业利润</w:t>
            </w:r>
          </w:p>
        </w:tc>
        <w:tc>
          <w:tcPr>
            <w:tcW w:w="4179"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9218.82</w:t>
            </w:r>
          </w:p>
        </w:tc>
      </w:tr>
      <w:tr>
        <w:tblPrEx>
          <w:tblLayout w:type="fixed"/>
          <w:tblCellMar>
            <w:top w:w="0" w:type="dxa"/>
            <w:left w:w="108" w:type="dxa"/>
            <w:bottom w:w="0" w:type="dxa"/>
            <w:right w:w="108" w:type="dxa"/>
          </w:tblCellMar>
        </w:tblPrEx>
        <w:trPr>
          <w:trHeight w:val="500" w:hRule="atLeast"/>
          <w:jc w:val="center"/>
        </w:trPr>
        <w:tc>
          <w:tcPr>
            <w:tcW w:w="434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营业外收支净额</w:t>
            </w:r>
          </w:p>
        </w:tc>
        <w:tc>
          <w:tcPr>
            <w:tcW w:w="4179"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-65.09</w:t>
            </w:r>
          </w:p>
        </w:tc>
      </w:tr>
    </w:tbl>
    <w:p>
      <w:pPr>
        <w:widowControl/>
        <w:shd w:val="clear" w:color="auto" w:fill="FFFFFF"/>
        <w:tabs>
          <w:tab w:val="left" w:pos="630"/>
        </w:tabs>
        <w:spacing w:line="500" w:lineRule="exact"/>
        <w:ind w:firstLine="630" w:firstLineChars="196"/>
        <w:jc w:val="left"/>
        <w:rPr>
          <w:rFonts w:ascii="仿宋_GB2312" w:eastAsia="仿宋_GB2312" w:cs="宋体" w:hAnsiTheme="minorEastAsia"/>
          <w:b/>
          <w:bCs/>
          <w:color w:val="auto"/>
          <w:kern w:val="0"/>
          <w:sz w:val="32"/>
          <w:szCs w:val="32"/>
        </w:rPr>
      </w:pPr>
      <w:r>
        <w:rPr>
          <w:rFonts w:hint="eastAsia" w:ascii="仿宋_GB2312" w:eastAsia="仿宋_GB2312" w:cs="宋体" w:hAnsiTheme="minorEastAsia"/>
          <w:b/>
          <w:bCs/>
          <w:color w:val="auto"/>
          <w:kern w:val="0"/>
          <w:sz w:val="32"/>
          <w:szCs w:val="32"/>
        </w:rPr>
        <w:t>2.2截止报告期末的主要会计财务数据和财务指标</w:t>
      </w:r>
    </w:p>
    <w:p>
      <w:pPr>
        <w:widowControl/>
        <w:shd w:val="clear" w:color="auto" w:fill="FFFFFF"/>
        <w:tabs>
          <w:tab w:val="left" w:pos="630"/>
        </w:tabs>
        <w:spacing w:line="500" w:lineRule="exact"/>
        <w:ind w:firstLine="4800" w:firstLineChars="1500"/>
        <w:jc w:val="left"/>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单位：人民币  万元</w:t>
      </w:r>
    </w:p>
    <w:tbl>
      <w:tblPr>
        <w:tblStyle w:val="8"/>
        <w:tblW w:w="8522" w:type="dxa"/>
        <w:jc w:val="center"/>
        <w:tblInd w:w="0" w:type="dxa"/>
        <w:tblLayout w:type="fixed"/>
        <w:tblCellMar>
          <w:top w:w="0" w:type="dxa"/>
          <w:left w:w="108" w:type="dxa"/>
          <w:bottom w:w="0" w:type="dxa"/>
          <w:right w:w="108" w:type="dxa"/>
        </w:tblCellMar>
      </w:tblPr>
      <w:tblGrid>
        <w:gridCol w:w="4377"/>
        <w:gridCol w:w="4145"/>
      </w:tblGrid>
      <w:tr>
        <w:tblPrEx>
          <w:tblLayout w:type="fixed"/>
          <w:tblCellMar>
            <w:top w:w="0" w:type="dxa"/>
            <w:left w:w="108" w:type="dxa"/>
            <w:bottom w:w="0" w:type="dxa"/>
            <w:right w:w="108" w:type="dxa"/>
          </w:tblCellMar>
        </w:tblPrEx>
        <w:trPr>
          <w:trHeight w:val="247" w:hRule="atLeast"/>
          <w:jc w:val="center"/>
        </w:trPr>
        <w:tc>
          <w:tcPr>
            <w:tcW w:w="4377"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项目</w:t>
            </w:r>
          </w:p>
        </w:tc>
        <w:tc>
          <w:tcPr>
            <w:tcW w:w="4145"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202</w:t>
            </w:r>
            <w:r>
              <w:rPr>
                <w:rFonts w:hint="eastAsia" w:cs="宋体" w:asciiTheme="minorEastAsia" w:hAnsiTheme="minorEastAsia"/>
                <w:color w:val="auto"/>
                <w:kern w:val="0"/>
                <w:sz w:val="24"/>
                <w:szCs w:val="24"/>
                <w:lang w:val="en-US" w:eastAsia="zh-CN"/>
              </w:rPr>
              <w:t>5</w:t>
            </w:r>
            <w:r>
              <w:rPr>
                <w:rFonts w:hint="eastAsia" w:cs="宋体" w:asciiTheme="minorEastAsia" w:hAnsiTheme="minorEastAsia"/>
                <w:color w:val="auto"/>
                <w:kern w:val="0"/>
                <w:sz w:val="24"/>
                <w:szCs w:val="24"/>
              </w:rPr>
              <w:t>年</w:t>
            </w:r>
          </w:p>
        </w:tc>
      </w:tr>
      <w:tr>
        <w:tblPrEx>
          <w:tblLayout w:type="fixed"/>
          <w:tblCellMar>
            <w:top w:w="0" w:type="dxa"/>
            <w:left w:w="108" w:type="dxa"/>
            <w:bottom w:w="0" w:type="dxa"/>
            <w:right w:w="108" w:type="dxa"/>
          </w:tblCellMar>
        </w:tblPrEx>
        <w:trPr>
          <w:trHeight w:val="285" w:hRule="atLeast"/>
          <w:jc w:val="center"/>
        </w:trPr>
        <w:tc>
          <w:tcPr>
            <w:tcW w:w="4377"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营业收入</w:t>
            </w:r>
          </w:p>
        </w:tc>
        <w:tc>
          <w:tcPr>
            <w:tcW w:w="4145"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46542.90</w:t>
            </w:r>
          </w:p>
        </w:tc>
      </w:tr>
      <w:tr>
        <w:tblPrEx>
          <w:tblLayout w:type="fixed"/>
          <w:tblCellMar>
            <w:top w:w="0" w:type="dxa"/>
            <w:left w:w="108" w:type="dxa"/>
            <w:bottom w:w="0" w:type="dxa"/>
            <w:right w:w="108" w:type="dxa"/>
          </w:tblCellMar>
        </w:tblPrEx>
        <w:trPr>
          <w:trHeight w:val="285" w:hRule="atLeast"/>
          <w:jc w:val="center"/>
        </w:trPr>
        <w:tc>
          <w:tcPr>
            <w:tcW w:w="4377"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年末总资产</w:t>
            </w:r>
          </w:p>
        </w:tc>
        <w:tc>
          <w:tcPr>
            <w:tcW w:w="4145"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1015561.76</w:t>
            </w:r>
          </w:p>
        </w:tc>
      </w:tr>
      <w:tr>
        <w:tblPrEx>
          <w:tblLayout w:type="fixed"/>
          <w:tblCellMar>
            <w:top w:w="0" w:type="dxa"/>
            <w:left w:w="108" w:type="dxa"/>
            <w:bottom w:w="0" w:type="dxa"/>
            <w:right w:w="108" w:type="dxa"/>
          </w:tblCellMar>
        </w:tblPrEx>
        <w:trPr>
          <w:trHeight w:val="285" w:hRule="atLeast"/>
          <w:jc w:val="center"/>
        </w:trPr>
        <w:tc>
          <w:tcPr>
            <w:tcW w:w="4377"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年末存款余额</w:t>
            </w:r>
          </w:p>
        </w:tc>
        <w:tc>
          <w:tcPr>
            <w:tcW w:w="4145"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831214.26</w:t>
            </w:r>
          </w:p>
        </w:tc>
      </w:tr>
      <w:tr>
        <w:tblPrEx>
          <w:tblLayout w:type="fixed"/>
          <w:tblCellMar>
            <w:top w:w="0" w:type="dxa"/>
            <w:left w:w="108" w:type="dxa"/>
            <w:bottom w:w="0" w:type="dxa"/>
            <w:right w:w="108" w:type="dxa"/>
          </w:tblCellMar>
        </w:tblPrEx>
        <w:trPr>
          <w:trHeight w:val="243" w:hRule="atLeast"/>
          <w:jc w:val="center"/>
        </w:trPr>
        <w:tc>
          <w:tcPr>
            <w:tcW w:w="4377"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年末贷款余额</w:t>
            </w:r>
          </w:p>
        </w:tc>
        <w:tc>
          <w:tcPr>
            <w:tcW w:w="4145"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715310.71</w:t>
            </w:r>
          </w:p>
        </w:tc>
      </w:tr>
      <w:tr>
        <w:tblPrEx>
          <w:tblLayout w:type="fixed"/>
          <w:tblCellMar>
            <w:top w:w="0" w:type="dxa"/>
            <w:left w:w="108" w:type="dxa"/>
            <w:bottom w:w="0" w:type="dxa"/>
            <w:right w:w="108" w:type="dxa"/>
          </w:tblCellMar>
        </w:tblPrEx>
        <w:trPr>
          <w:trHeight w:val="285" w:hRule="atLeast"/>
          <w:jc w:val="center"/>
        </w:trPr>
        <w:tc>
          <w:tcPr>
            <w:tcW w:w="4377"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年末所有者权益</w:t>
            </w:r>
          </w:p>
        </w:tc>
        <w:tc>
          <w:tcPr>
            <w:tcW w:w="4145"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69021.65</w:t>
            </w:r>
          </w:p>
        </w:tc>
      </w:tr>
      <w:tr>
        <w:tblPrEx>
          <w:tblLayout w:type="fixed"/>
          <w:tblCellMar>
            <w:top w:w="0" w:type="dxa"/>
            <w:left w:w="108" w:type="dxa"/>
            <w:bottom w:w="0" w:type="dxa"/>
            <w:right w:w="108" w:type="dxa"/>
          </w:tblCellMar>
        </w:tblPrEx>
        <w:trPr>
          <w:trHeight w:val="285" w:hRule="atLeast"/>
          <w:jc w:val="center"/>
        </w:trPr>
        <w:tc>
          <w:tcPr>
            <w:tcW w:w="4377"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每股收益(元/股)</w:t>
            </w:r>
          </w:p>
        </w:tc>
        <w:tc>
          <w:tcPr>
            <w:tcW w:w="4145"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color w:val="auto"/>
                <w:kern w:val="0"/>
                <w:sz w:val="24"/>
                <w:szCs w:val="24"/>
                <w:highlight w:val="none"/>
                <w:lang w:val="en-US"/>
              </w:rPr>
            </w:pPr>
            <w:r>
              <w:rPr>
                <w:rFonts w:hint="eastAsia" w:cs="宋体" w:asciiTheme="minorEastAsia" w:hAnsiTheme="minorEastAsia"/>
                <w:color w:val="auto"/>
                <w:kern w:val="0"/>
                <w:sz w:val="24"/>
                <w:szCs w:val="24"/>
                <w:highlight w:val="none"/>
                <w:lang w:val="en-US" w:eastAsia="zh-CN"/>
              </w:rPr>
              <w:t>0.30</w:t>
            </w:r>
          </w:p>
        </w:tc>
      </w:tr>
      <w:tr>
        <w:tblPrEx>
          <w:tblLayout w:type="fixed"/>
          <w:tblCellMar>
            <w:top w:w="0" w:type="dxa"/>
            <w:left w:w="108" w:type="dxa"/>
            <w:bottom w:w="0" w:type="dxa"/>
            <w:right w:w="108" w:type="dxa"/>
          </w:tblCellMar>
        </w:tblPrEx>
        <w:trPr>
          <w:trHeight w:val="285" w:hRule="atLeast"/>
          <w:jc w:val="center"/>
        </w:trPr>
        <w:tc>
          <w:tcPr>
            <w:tcW w:w="4377"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净资产收益率</w:t>
            </w:r>
          </w:p>
        </w:tc>
        <w:tc>
          <w:tcPr>
            <w:tcW w:w="4145"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11.02</w:t>
            </w:r>
            <w:r>
              <w:rPr>
                <w:rFonts w:hint="eastAsia" w:cs="宋体" w:asciiTheme="minorEastAsia" w:hAnsiTheme="minorEastAsia"/>
                <w:color w:val="auto"/>
                <w:kern w:val="0"/>
                <w:sz w:val="24"/>
                <w:szCs w:val="24"/>
                <w:highlight w:val="none"/>
              </w:rPr>
              <w:t>%</w:t>
            </w:r>
          </w:p>
        </w:tc>
      </w:tr>
    </w:tbl>
    <w:p>
      <w:pPr>
        <w:widowControl/>
        <w:shd w:val="clear" w:color="auto" w:fill="FFFFFF"/>
        <w:tabs>
          <w:tab w:val="left" w:pos="630"/>
        </w:tabs>
        <w:spacing w:line="500" w:lineRule="exact"/>
        <w:ind w:firstLine="636" w:firstLineChars="198"/>
        <w:jc w:val="left"/>
        <w:rPr>
          <w:rFonts w:hint="eastAsia" w:ascii="仿宋_GB2312" w:eastAsia="仿宋_GB2312" w:cs="宋体" w:hAnsiTheme="minorEastAsia"/>
          <w:color w:val="auto"/>
          <w:kern w:val="0"/>
          <w:sz w:val="32"/>
          <w:szCs w:val="32"/>
          <w:lang w:eastAsia="zh-CN"/>
        </w:rPr>
      </w:pPr>
      <w:r>
        <w:rPr>
          <w:rFonts w:hint="eastAsia" w:ascii="仿宋_GB2312" w:eastAsia="仿宋_GB2312" w:cs="宋体" w:hAnsiTheme="minorEastAsia"/>
          <w:b/>
          <w:bCs/>
          <w:color w:val="auto"/>
          <w:kern w:val="0"/>
          <w:sz w:val="32"/>
          <w:szCs w:val="32"/>
        </w:rPr>
        <w:t>2.3报告期内资本构成情况</w:t>
      </w:r>
    </w:p>
    <w:p>
      <w:pPr>
        <w:widowControl/>
        <w:shd w:val="clear" w:color="auto" w:fill="FFFFFF"/>
        <w:tabs>
          <w:tab w:val="left" w:pos="630"/>
        </w:tabs>
        <w:spacing w:line="500" w:lineRule="exact"/>
        <w:ind w:firstLine="4800" w:firstLineChars="1500"/>
        <w:jc w:val="left"/>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单位：人民币 万元</w:t>
      </w:r>
    </w:p>
    <w:tbl>
      <w:tblPr>
        <w:tblStyle w:val="8"/>
        <w:tblW w:w="8522" w:type="dxa"/>
        <w:jc w:val="center"/>
        <w:tblInd w:w="0" w:type="dxa"/>
        <w:tblLayout w:type="fixed"/>
        <w:tblCellMar>
          <w:top w:w="0" w:type="dxa"/>
          <w:left w:w="108" w:type="dxa"/>
          <w:bottom w:w="0" w:type="dxa"/>
          <w:right w:w="108" w:type="dxa"/>
        </w:tblCellMar>
      </w:tblPr>
      <w:tblGrid>
        <w:gridCol w:w="4532"/>
        <w:gridCol w:w="3990"/>
      </w:tblGrid>
      <w:tr>
        <w:tblPrEx>
          <w:tblLayout w:type="fixed"/>
          <w:tblCellMar>
            <w:top w:w="0" w:type="dxa"/>
            <w:left w:w="108" w:type="dxa"/>
            <w:bottom w:w="0" w:type="dxa"/>
            <w:right w:w="108" w:type="dxa"/>
          </w:tblCellMar>
        </w:tblPrEx>
        <w:trPr>
          <w:trHeight w:val="550" w:hRule="atLeast"/>
          <w:jc w:val="center"/>
        </w:trPr>
        <w:tc>
          <w:tcPr>
            <w:tcW w:w="4532"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项目</w:t>
            </w:r>
          </w:p>
        </w:tc>
        <w:tc>
          <w:tcPr>
            <w:tcW w:w="399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余额</w:t>
            </w:r>
          </w:p>
        </w:tc>
      </w:tr>
      <w:tr>
        <w:tblPrEx>
          <w:tblLayout w:type="fixed"/>
          <w:tblCellMar>
            <w:top w:w="0" w:type="dxa"/>
            <w:left w:w="108" w:type="dxa"/>
            <w:bottom w:w="0" w:type="dxa"/>
            <w:right w:w="108" w:type="dxa"/>
          </w:tblCellMar>
        </w:tblPrEx>
        <w:trPr>
          <w:trHeight w:val="482" w:hRule="atLeast"/>
          <w:jc w:val="center"/>
        </w:trPr>
        <w:tc>
          <w:tcPr>
            <w:tcW w:w="4532" w:type="dxa"/>
            <w:tcBorders>
              <w:top w:val="nil"/>
              <w:left w:val="single" w:color="auto" w:sz="4" w:space="0"/>
              <w:bottom w:val="single" w:color="auto" w:sz="4" w:space="0"/>
              <w:right w:val="single" w:color="auto" w:sz="4" w:space="0"/>
            </w:tcBorders>
            <w:vAlign w:val="center"/>
          </w:tcPr>
          <w:p>
            <w:pPr>
              <w:widowControl/>
              <w:spacing w:line="500" w:lineRule="exact"/>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1.核心一级资本净额</w:t>
            </w:r>
          </w:p>
        </w:tc>
        <w:tc>
          <w:tcPr>
            <w:tcW w:w="3990" w:type="dxa"/>
            <w:tcBorders>
              <w:top w:val="nil"/>
              <w:left w:val="nil"/>
              <w:bottom w:val="single" w:color="auto" w:sz="4" w:space="0"/>
              <w:right w:val="single" w:color="auto" w:sz="4" w:space="0"/>
            </w:tcBorders>
            <w:vAlign w:val="center"/>
          </w:tcPr>
          <w:p>
            <w:pPr>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55669.62</w:t>
            </w:r>
          </w:p>
        </w:tc>
      </w:tr>
      <w:tr>
        <w:tblPrEx>
          <w:tblLayout w:type="fixed"/>
          <w:tblCellMar>
            <w:top w:w="0" w:type="dxa"/>
            <w:left w:w="108" w:type="dxa"/>
            <w:bottom w:w="0" w:type="dxa"/>
            <w:right w:w="108" w:type="dxa"/>
          </w:tblCellMar>
        </w:tblPrEx>
        <w:trPr>
          <w:trHeight w:val="391" w:hRule="atLeast"/>
          <w:jc w:val="center"/>
        </w:trPr>
        <w:tc>
          <w:tcPr>
            <w:tcW w:w="4532"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2.一级资本净额</w:t>
            </w:r>
          </w:p>
        </w:tc>
        <w:tc>
          <w:tcPr>
            <w:tcW w:w="3990" w:type="dxa"/>
            <w:tcBorders>
              <w:top w:val="single" w:color="auto" w:sz="4" w:space="0"/>
              <w:left w:val="nil"/>
              <w:bottom w:val="single" w:color="auto" w:sz="4" w:space="0"/>
              <w:right w:val="single" w:color="auto" w:sz="4" w:space="0"/>
            </w:tcBorders>
            <w:vAlign w:val="center"/>
          </w:tcPr>
          <w:p>
            <w:pPr>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55669.62</w:t>
            </w:r>
          </w:p>
        </w:tc>
      </w:tr>
      <w:tr>
        <w:tblPrEx>
          <w:tblLayout w:type="fixed"/>
          <w:tblCellMar>
            <w:top w:w="0" w:type="dxa"/>
            <w:left w:w="108" w:type="dxa"/>
            <w:bottom w:w="0" w:type="dxa"/>
            <w:right w:w="108" w:type="dxa"/>
          </w:tblCellMar>
        </w:tblPrEx>
        <w:trPr>
          <w:trHeight w:val="522" w:hRule="atLeast"/>
          <w:jc w:val="center"/>
        </w:trPr>
        <w:tc>
          <w:tcPr>
            <w:tcW w:w="4532" w:type="dxa"/>
            <w:tcBorders>
              <w:top w:val="nil"/>
              <w:left w:val="single" w:color="auto" w:sz="4" w:space="0"/>
              <w:bottom w:val="single" w:color="auto" w:sz="4" w:space="0"/>
              <w:right w:val="single" w:color="auto" w:sz="4" w:space="0"/>
            </w:tcBorders>
            <w:vAlign w:val="center"/>
          </w:tcPr>
          <w:p>
            <w:pPr>
              <w:widowControl/>
              <w:spacing w:line="500" w:lineRule="exact"/>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3.资本净额</w:t>
            </w:r>
          </w:p>
        </w:tc>
        <w:tc>
          <w:tcPr>
            <w:tcW w:w="3990" w:type="dxa"/>
            <w:tcBorders>
              <w:top w:val="nil"/>
              <w:left w:val="nil"/>
              <w:bottom w:val="single" w:color="auto" w:sz="4" w:space="0"/>
              <w:right w:val="single" w:color="auto" w:sz="4" w:space="0"/>
            </w:tcBorders>
            <w:vAlign w:val="center"/>
          </w:tcPr>
          <w:p>
            <w:pPr>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93077.69</w:t>
            </w:r>
          </w:p>
        </w:tc>
      </w:tr>
      <w:tr>
        <w:tblPrEx>
          <w:tblLayout w:type="fixed"/>
          <w:tblCellMar>
            <w:top w:w="0" w:type="dxa"/>
            <w:left w:w="108" w:type="dxa"/>
            <w:bottom w:w="0" w:type="dxa"/>
            <w:right w:w="108" w:type="dxa"/>
          </w:tblCellMar>
        </w:tblPrEx>
        <w:trPr>
          <w:trHeight w:val="416" w:hRule="atLeast"/>
          <w:jc w:val="center"/>
        </w:trPr>
        <w:tc>
          <w:tcPr>
            <w:tcW w:w="4532" w:type="dxa"/>
            <w:tcBorders>
              <w:top w:val="nil"/>
              <w:left w:val="single" w:color="auto" w:sz="4" w:space="0"/>
              <w:bottom w:val="single" w:color="auto" w:sz="4" w:space="0"/>
              <w:right w:val="single" w:color="auto" w:sz="4" w:space="0"/>
            </w:tcBorders>
            <w:vAlign w:val="center"/>
          </w:tcPr>
          <w:p>
            <w:pPr>
              <w:widowControl/>
              <w:spacing w:line="500" w:lineRule="exact"/>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4.信用风险加权资产</w:t>
            </w:r>
          </w:p>
        </w:tc>
        <w:tc>
          <w:tcPr>
            <w:tcW w:w="3990" w:type="dxa"/>
            <w:tcBorders>
              <w:top w:val="nil"/>
              <w:left w:val="nil"/>
              <w:bottom w:val="single" w:color="auto" w:sz="4" w:space="0"/>
              <w:right w:val="single" w:color="auto" w:sz="4" w:space="0"/>
            </w:tcBorders>
            <w:vAlign w:val="center"/>
          </w:tcPr>
          <w:p>
            <w:pPr>
              <w:spacing w:line="500" w:lineRule="exact"/>
              <w:jc w:val="center"/>
              <w:rPr>
                <w:rFonts w:hint="default" w:cs="宋体" w:asciiTheme="minorEastAsia" w:hAnsiTheme="minorEastAsia" w:eastAsiaTheme="minorEastAsia"/>
                <w:color w:val="auto"/>
                <w:kern w:val="0"/>
                <w:sz w:val="24"/>
                <w:szCs w:val="24"/>
                <w:highlight w:val="yellow"/>
                <w:lang w:val="en-US" w:eastAsia="zh-CN"/>
              </w:rPr>
            </w:pPr>
            <w:r>
              <w:rPr>
                <w:rFonts w:hint="eastAsia" w:cs="宋体" w:asciiTheme="minorEastAsia" w:hAnsiTheme="minorEastAsia"/>
                <w:color w:val="auto"/>
                <w:kern w:val="0"/>
                <w:sz w:val="24"/>
                <w:szCs w:val="24"/>
                <w:lang w:val="en-US" w:eastAsia="zh-CN"/>
              </w:rPr>
              <w:t>587853.34</w:t>
            </w:r>
          </w:p>
        </w:tc>
      </w:tr>
      <w:tr>
        <w:tblPrEx>
          <w:tblLayout w:type="fixed"/>
          <w:tblCellMar>
            <w:top w:w="0" w:type="dxa"/>
            <w:left w:w="108" w:type="dxa"/>
            <w:bottom w:w="0" w:type="dxa"/>
            <w:right w:w="108" w:type="dxa"/>
          </w:tblCellMar>
        </w:tblPrEx>
        <w:trPr>
          <w:trHeight w:val="511" w:hRule="atLeast"/>
          <w:jc w:val="center"/>
        </w:trPr>
        <w:tc>
          <w:tcPr>
            <w:tcW w:w="4532"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其中：表内风险加权资产</w:t>
            </w:r>
          </w:p>
        </w:tc>
        <w:tc>
          <w:tcPr>
            <w:tcW w:w="3990" w:type="dxa"/>
            <w:tcBorders>
              <w:top w:val="single" w:color="auto" w:sz="4" w:space="0"/>
              <w:left w:val="nil"/>
              <w:bottom w:val="single" w:color="auto" w:sz="4" w:space="0"/>
              <w:right w:val="single" w:color="auto" w:sz="4" w:space="0"/>
            </w:tcBorders>
            <w:vAlign w:val="center"/>
          </w:tcPr>
          <w:p>
            <w:pPr>
              <w:spacing w:line="500" w:lineRule="exact"/>
              <w:jc w:val="center"/>
              <w:rPr>
                <w:rFonts w:hint="default" w:cs="宋体" w:asciiTheme="minorEastAsia" w:hAnsiTheme="minorEastAsia" w:eastAsiaTheme="minorEastAsia"/>
                <w:color w:val="auto"/>
                <w:kern w:val="0"/>
                <w:sz w:val="24"/>
                <w:szCs w:val="24"/>
                <w:highlight w:val="yellow"/>
                <w:lang w:val="en-US" w:eastAsia="zh-CN"/>
              </w:rPr>
            </w:pPr>
            <w:r>
              <w:rPr>
                <w:rFonts w:hint="eastAsia" w:cs="宋体" w:asciiTheme="minorEastAsia" w:hAnsiTheme="minorEastAsia"/>
                <w:color w:val="auto"/>
                <w:kern w:val="0"/>
                <w:sz w:val="24"/>
                <w:szCs w:val="24"/>
                <w:lang w:val="en-US" w:eastAsia="zh-CN"/>
              </w:rPr>
              <w:t>528937.65</w:t>
            </w:r>
          </w:p>
        </w:tc>
      </w:tr>
      <w:tr>
        <w:tblPrEx>
          <w:tblLayout w:type="fixed"/>
          <w:tblCellMar>
            <w:top w:w="0" w:type="dxa"/>
            <w:left w:w="108" w:type="dxa"/>
            <w:bottom w:w="0" w:type="dxa"/>
            <w:right w:w="108" w:type="dxa"/>
          </w:tblCellMar>
        </w:tblPrEx>
        <w:trPr>
          <w:trHeight w:val="549" w:hRule="atLeast"/>
          <w:jc w:val="center"/>
        </w:trPr>
        <w:tc>
          <w:tcPr>
            <w:tcW w:w="4532" w:type="dxa"/>
            <w:tcBorders>
              <w:top w:val="nil"/>
              <w:left w:val="single" w:color="auto" w:sz="4" w:space="0"/>
              <w:bottom w:val="single" w:color="auto" w:sz="4" w:space="0"/>
              <w:right w:val="single" w:color="auto" w:sz="4" w:space="0"/>
            </w:tcBorders>
            <w:vAlign w:val="center"/>
          </w:tcPr>
          <w:p>
            <w:pPr>
              <w:widowControl/>
              <w:spacing w:line="500" w:lineRule="exact"/>
              <w:ind w:firstLine="720" w:firstLineChars="3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表外风险加权资产</w:t>
            </w:r>
          </w:p>
        </w:tc>
        <w:tc>
          <w:tcPr>
            <w:tcW w:w="3990" w:type="dxa"/>
            <w:tcBorders>
              <w:top w:val="nil"/>
              <w:left w:val="nil"/>
              <w:bottom w:val="single" w:color="auto" w:sz="4" w:space="0"/>
              <w:right w:val="single" w:color="auto" w:sz="4" w:space="0"/>
            </w:tcBorders>
            <w:vAlign w:val="center"/>
          </w:tcPr>
          <w:p>
            <w:pPr>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2465.69</w:t>
            </w:r>
          </w:p>
        </w:tc>
      </w:tr>
      <w:tr>
        <w:tblPrEx>
          <w:tblLayout w:type="fixed"/>
          <w:tblCellMar>
            <w:top w:w="0" w:type="dxa"/>
            <w:left w:w="108" w:type="dxa"/>
            <w:bottom w:w="0" w:type="dxa"/>
            <w:right w:w="108" w:type="dxa"/>
          </w:tblCellMar>
        </w:tblPrEx>
        <w:trPr>
          <w:trHeight w:val="579" w:hRule="atLeast"/>
          <w:jc w:val="center"/>
        </w:trPr>
        <w:tc>
          <w:tcPr>
            <w:tcW w:w="4532" w:type="dxa"/>
            <w:tcBorders>
              <w:top w:val="nil"/>
              <w:left w:val="single" w:color="auto" w:sz="4" w:space="0"/>
              <w:bottom w:val="single" w:color="auto" w:sz="4" w:space="0"/>
              <w:right w:val="single" w:color="auto" w:sz="4" w:space="0"/>
            </w:tcBorders>
            <w:vAlign w:val="center"/>
          </w:tcPr>
          <w:p>
            <w:pPr>
              <w:widowControl/>
              <w:spacing w:line="500" w:lineRule="exact"/>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5．市场风险加权资产</w:t>
            </w:r>
          </w:p>
        </w:tc>
        <w:tc>
          <w:tcPr>
            <w:tcW w:w="3990" w:type="dxa"/>
            <w:tcBorders>
              <w:top w:val="nil"/>
              <w:left w:val="nil"/>
              <w:bottom w:val="single" w:color="auto" w:sz="4" w:space="0"/>
              <w:right w:val="single" w:color="auto" w:sz="4" w:space="0"/>
            </w:tcBorders>
            <w:vAlign w:val="center"/>
          </w:tcPr>
          <w:p>
            <w:pPr>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0</w:t>
            </w:r>
          </w:p>
        </w:tc>
      </w:tr>
      <w:tr>
        <w:tblPrEx>
          <w:tblLayout w:type="fixed"/>
          <w:tblCellMar>
            <w:top w:w="0" w:type="dxa"/>
            <w:left w:w="108" w:type="dxa"/>
            <w:bottom w:w="0" w:type="dxa"/>
            <w:right w:w="108" w:type="dxa"/>
          </w:tblCellMar>
        </w:tblPrEx>
        <w:trPr>
          <w:trHeight w:val="762" w:hRule="atLeast"/>
          <w:jc w:val="center"/>
        </w:trPr>
        <w:tc>
          <w:tcPr>
            <w:tcW w:w="4532" w:type="dxa"/>
            <w:tcBorders>
              <w:top w:val="nil"/>
              <w:left w:val="single" w:color="auto" w:sz="4" w:space="0"/>
              <w:bottom w:val="single" w:color="auto" w:sz="4" w:space="0"/>
              <w:right w:val="single" w:color="auto" w:sz="4" w:space="0"/>
            </w:tcBorders>
            <w:vAlign w:val="center"/>
          </w:tcPr>
          <w:p>
            <w:pPr>
              <w:widowControl/>
              <w:spacing w:line="500" w:lineRule="exact"/>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6．操作风险加权资产</w:t>
            </w:r>
          </w:p>
        </w:tc>
        <w:tc>
          <w:tcPr>
            <w:tcW w:w="3990" w:type="dxa"/>
            <w:tcBorders>
              <w:top w:val="nil"/>
              <w:left w:val="nil"/>
              <w:bottom w:val="single" w:color="auto" w:sz="4" w:space="0"/>
              <w:right w:val="single" w:color="auto" w:sz="4" w:space="0"/>
            </w:tcBorders>
            <w:vAlign w:val="center"/>
          </w:tcPr>
          <w:p>
            <w:pPr>
              <w:spacing w:line="500" w:lineRule="exact"/>
              <w:jc w:val="center"/>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56450.00</w:t>
            </w:r>
          </w:p>
        </w:tc>
      </w:tr>
      <w:tr>
        <w:tblPrEx>
          <w:tblLayout w:type="fixed"/>
          <w:tblCellMar>
            <w:top w:w="0" w:type="dxa"/>
            <w:left w:w="108" w:type="dxa"/>
            <w:bottom w:w="0" w:type="dxa"/>
            <w:right w:w="108" w:type="dxa"/>
          </w:tblCellMar>
        </w:tblPrEx>
        <w:trPr>
          <w:trHeight w:val="633" w:hRule="atLeast"/>
          <w:jc w:val="center"/>
        </w:trPr>
        <w:tc>
          <w:tcPr>
            <w:tcW w:w="4532" w:type="dxa"/>
            <w:tcBorders>
              <w:top w:val="nil"/>
              <w:left w:val="single" w:color="auto" w:sz="4" w:space="0"/>
              <w:bottom w:val="single" w:color="auto" w:sz="4" w:space="0"/>
              <w:right w:val="single" w:color="auto" w:sz="4" w:space="0"/>
            </w:tcBorders>
            <w:vAlign w:val="center"/>
          </w:tcPr>
          <w:p>
            <w:pPr>
              <w:widowControl/>
              <w:spacing w:line="500" w:lineRule="exact"/>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7．风险加权资产合计</w:t>
            </w:r>
          </w:p>
        </w:tc>
        <w:tc>
          <w:tcPr>
            <w:tcW w:w="3990" w:type="dxa"/>
            <w:tcBorders>
              <w:top w:val="nil"/>
              <w:left w:val="nil"/>
              <w:bottom w:val="single" w:color="auto" w:sz="4" w:space="0"/>
              <w:right w:val="single" w:color="auto" w:sz="4" w:space="0"/>
            </w:tcBorders>
            <w:vAlign w:val="center"/>
          </w:tcPr>
          <w:p>
            <w:pPr>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587853.34</w:t>
            </w:r>
          </w:p>
        </w:tc>
      </w:tr>
      <w:tr>
        <w:tblPrEx>
          <w:tblLayout w:type="fixed"/>
          <w:tblCellMar>
            <w:top w:w="0" w:type="dxa"/>
            <w:left w:w="108" w:type="dxa"/>
            <w:bottom w:w="0" w:type="dxa"/>
            <w:right w:w="108" w:type="dxa"/>
          </w:tblCellMar>
        </w:tblPrEx>
        <w:trPr>
          <w:trHeight w:val="618" w:hRule="atLeast"/>
          <w:jc w:val="center"/>
        </w:trPr>
        <w:tc>
          <w:tcPr>
            <w:tcW w:w="4532" w:type="dxa"/>
            <w:tcBorders>
              <w:top w:val="nil"/>
              <w:left w:val="single" w:color="auto" w:sz="4" w:space="0"/>
              <w:bottom w:val="single" w:color="auto" w:sz="4" w:space="0"/>
              <w:right w:val="single" w:color="auto" w:sz="4" w:space="0"/>
            </w:tcBorders>
            <w:vAlign w:val="center"/>
          </w:tcPr>
          <w:p>
            <w:pPr>
              <w:widowControl/>
              <w:spacing w:line="500" w:lineRule="exact"/>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8．核心一级资本充足率</w:t>
            </w:r>
          </w:p>
        </w:tc>
        <w:tc>
          <w:tcPr>
            <w:tcW w:w="3990" w:type="dxa"/>
            <w:tcBorders>
              <w:top w:val="nil"/>
              <w:left w:val="nil"/>
              <w:bottom w:val="single" w:color="auto" w:sz="4" w:space="0"/>
              <w:right w:val="single" w:color="auto" w:sz="4" w:space="0"/>
            </w:tcBorders>
            <w:vAlign w:val="center"/>
          </w:tcPr>
          <w:p>
            <w:pPr>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9.47</w:t>
            </w:r>
            <w:r>
              <w:rPr>
                <w:rFonts w:hint="eastAsia" w:cs="宋体" w:asciiTheme="minorEastAsia" w:hAnsiTheme="minorEastAsia"/>
                <w:color w:val="auto"/>
                <w:kern w:val="0"/>
                <w:sz w:val="24"/>
                <w:szCs w:val="24"/>
              </w:rPr>
              <w:t>%</w:t>
            </w:r>
          </w:p>
        </w:tc>
      </w:tr>
      <w:tr>
        <w:tblPrEx>
          <w:tblLayout w:type="fixed"/>
          <w:tblCellMar>
            <w:top w:w="0" w:type="dxa"/>
            <w:left w:w="108" w:type="dxa"/>
            <w:bottom w:w="0" w:type="dxa"/>
            <w:right w:w="108" w:type="dxa"/>
          </w:tblCellMar>
        </w:tblPrEx>
        <w:trPr>
          <w:trHeight w:val="465" w:hRule="atLeast"/>
          <w:jc w:val="center"/>
        </w:trPr>
        <w:tc>
          <w:tcPr>
            <w:tcW w:w="4532" w:type="dxa"/>
            <w:tcBorders>
              <w:top w:val="nil"/>
              <w:left w:val="single" w:color="auto" w:sz="4" w:space="0"/>
              <w:bottom w:val="single" w:color="auto" w:sz="4" w:space="0"/>
              <w:right w:val="single" w:color="auto" w:sz="4" w:space="0"/>
            </w:tcBorders>
            <w:vAlign w:val="center"/>
          </w:tcPr>
          <w:p>
            <w:pPr>
              <w:widowControl/>
              <w:spacing w:line="500" w:lineRule="exact"/>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9．一级资本充足率</w:t>
            </w:r>
          </w:p>
        </w:tc>
        <w:tc>
          <w:tcPr>
            <w:tcW w:w="3990" w:type="dxa"/>
            <w:tcBorders>
              <w:top w:val="nil"/>
              <w:left w:val="nil"/>
              <w:bottom w:val="single" w:color="auto" w:sz="4" w:space="0"/>
              <w:right w:val="single" w:color="auto" w:sz="4" w:space="0"/>
            </w:tcBorders>
            <w:vAlign w:val="center"/>
          </w:tcPr>
          <w:p>
            <w:pPr>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9.47</w:t>
            </w:r>
            <w:r>
              <w:rPr>
                <w:rFonts w:hint="eastAsia" w:cs="宋体" w:asciiTheme="minorEastAsia" w:hAnsiTheme="minorEastAsia"/>
                <w:color w:val="auto"/>
                <w:kern w:val="0"/>
                <w:sz w:val="24"/>
                <w:szCs w:val="24"/>
              </w:rPr>
              <w:t>%</w:t>
            </w:r>
          </w:p>
        </w:tc>
      </w:tr>
      <w:tr>
        <w:tblPrEx>
          <w:tblLayout w:type="fixed"/>
          <w:tblCellMar>
            <w:top w:w="0" w:type="dxa"/>
            <w:left w:w="108" w:type="dxa"/>
            <w:bottom w:w="0" w:type="dxa"/>
            <w:right w:w="108" w:type="dxa"/>
          </w:tblCellMar>
        </w:tblPrEx>
        <w:trPr>
          <w:trHeight w:val="514" w:hRule="atLeast"/>
          <w:jc w:val="center"/>
        </w:trPr>
        <w:tc>
          <w:tcPr>
            <w:tcW w:w="4532" w:type="dxa"/>
            <w:tcBorders>
              <w:top w:val="nil"/>
              <w:left w:val="single" w:color="auto" w:sz="4" w:space="0"/>
              <w:bottom w:val="single" w:color="auto" w:sz="4" w:space="0"/>
              <w:right w:val="single" w:color="auto" w:sz="4" w:space="0"/>
            </w:tcBorders>
            <w:vAlign w:val="center"/>
          </w:tcPr>
          <w:p>
            <w:pPr>
              <w:widowControl/>
              <w:spacing w:line="500" w:lineRule="exact"/>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10．资本充足率</w:t>
            </w:r>
          </w:p>
        </w:tc>
        <w:tc>
          <w:tcPr>
            <w:tcW w:w="3990" w:type="dxa"/>
            <w:tcBorders>
              <w:top w:val="nil"/>
              <w:left w:val="nil"/>
              <w:bottom w:val="single" w:color="auto" w:sz="4" w:space="0"/>
              <w:right w:val="single" w:color="auto" w:sz="4" w:space="0"/>
            </w:tcBorders>
            <w:vAlign w:val="center"/>
          </w:tcPr>
          <w:p>
            <w:pPr>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1</w:t>
            </w:r>
            <w:r>
              <w:rPr>
                <w:rFonts w:hint="eastAsia" w:cs="宋体" w:asciiTheme="minorEastAsia" w:hAnsiTheme="minorEastAsia"/>
                <w:color w:val="auto"/>
                <w:kern w:val="0"/>
                <w:sz w:val="24"/>
                <w:szCs w:val="24"/>
                <w:lang w:val="en-US" w:eastAsia="zh-CN"/>
              </w:rPr>
              <w:t>5.83</w:t>
            </w:r>
            <w:r>
              <w:rPr>
                <w:rFonts w:hint="eastAsia" w:cs="宋体" w:asciiTheme="minorEastAsia" w:hAnsiTheme="minorEastAsia"/>
                <w:color w:val="auto"/>
                <w:kern w:val="0"/>
                <w:sz w:val="24"/>
                <w:szCs w:val="24"/>
              </w:rPr>
              <w:t>%</w:t>
            </w:r>
          </w:p>
        </w:tc>
      </w:tr>
    </w:tbl>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30" w:firstLineChars="196"/>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2.4利润实现情况</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24"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spacing w:val="-4"/>
          <w:kern w:val="0"/>
          <w:sz w:val="32"/>
          <w:szCs w:val="32"/>
        </w:rPr>
        <w:t>本行202</w:t>
      </w:r>
      <w:r>
        <w:rPr>
          <w:rFonts w:hint="eastAsia" w:ascii="仿宋_GB2312" w:eastAsia="仿宋_GB2312" w:cs="宋体" w:hAnsiTheme="minorEastAsia"/>
          <w:color w:val="auto"/>
          <w:spacing w:val="-4"/>
          <w:kern w:val="0"/>
          <w:sz w:val="32"/>
          <w:szCs w:val="32"/>
          <w:lang w:val="en-US" w:eastAsia="zh-CN"/>
        </w:rPr>
        <w:t>5</w:t>
      </w:r>
      <w:r>
        <w:rPr>
          <w:rFonts w:hint="eastAsia" w:ascii="仿宋_GB2312" w:eastAsia="仿宋_GB2312" w:cs="宋体" w:hAnsiTheme="minorEastAsia"/>
          <w:color w:val="auto"/>
          <w:spacing w:val="-4"/>
          <w:kern w:val="0"/>
          <w:sz w:val="32"/>
          <w:szCs w:val="32"/>
        </w:rPr>
        <w:t>年实现利润总额</w:t>
      </w:r>
      <w:r>
        <w:rPr>
          <w:rFonts w:hint="eastAsia" w:ascii="仿宋_GB2312" w:eastAsia="仿宋_GB2312" w:cs="宋体" w:hAnsiTheme="minorEastAsia"/>
          <w:color w:val="auto"/>
          <w:kern w:val="10"/>
          <w:sz w:val="32"/>
          <w:szCs w:val="32"/>
          <w:lang w:val="en-US" w:eastAsia="zh-CN"/>
        </w:rPr>
        <w:t>9153.73</w:t>
      </w:r>
      <w:r>
        <w:rPr>
          <w:rFonts w:hint="eastAsia" w:ascii="仿宋_GB2312" w:eastAsia="仿宋_GB2312" w:cs="宋体" w:hAnsiTheme="minorEastAsia"/>
          <w:color w:val="auto"/>
          <w:spacing w:val="-4"/>
          <w:kern w:val="0"/>
          <w:sz w:val="32"/>
          <w:szCs w:val="32"/>
        </w:rPr>
        <w:t>万元，计提预缴当期所得税</w:t>
      </w:r>
      <w:r>
        <w:rPr>
          <w:rFonts w:hint="eastAsia" w:ascii="仿宋_GB2312" w:eastAsia="仿宋_GB2312" w:cs="宋体" w:hAnsiTheme="minorEastAsia"/>
          <w:color w:val="auto"/>
          <w:spacing w:val="-4"/>
          <w:kern w:val="0"/>
          <w:sz w:val="32"/>
          <w:szCs w:val="32"/>
          <w:lang w:val="en-US" w:eastAsia="zh-CN"/>
        </w:rPr>
        <w:t>1842.74</w:t>
      </w:r>
      <w:r>
        <w:rPr>
          <w:rFonts w:hint="eastAsia" w:ascii="仿宋_GB2312" w:eastAsia="仿宋_GB2312" w:cs="宋体" w:hAnsiTheme="minorEastAsia"/>
          <w:color w:val="auto"/>
          <w:spacing w:val="-4"/>
          <w:kern w:val="0"/>
          <w:sz w:val="32"/>
          <w:szCs w:val="32"/>
        </w:rPr>
        <w:t>万元；实现净利润</w:t>
      </w:r>
      <w:r>
        <w:rPr>
          <w:rFonts w:hint="eastAsia" w:ascii="仿宋_GB2312" w:eastAsia="仿宋_GB2312" w:cs="宋体" w:hAnsiTheme="minorEastAsia"/>
          <w:color w:val="auto"/>
          <w:spacing w:val="-4"/>
          <w:kern w:val="0"/>
          <w:sz w:val="32"/>
          <w:szCs w:val="32"/>
          <w:lang w:val="en-US" w:eastAsia="zh-CN"/>
        </w:rPr>
        <w:t>7310.99</w:t>
      </w:r>
      <w:r>
        <w:rPr>
          <w:rFonts w:hint="eastAsia" w:ascii="仿宋_GB2312" w:eastAsia="仿宋_GB2312" w:cs="宋体" w:hAnsiTheme="minorEastAsia"/>
          <w:color w:val="auto"/>
          <w:spacing w:val="-4"/>
          <w:kern w:val="0"/>
          <w:sz w:val="32"/>
          <w:szCs w:val="32"/>
        </w:rPr>
        <w:t>万元。</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2.5利润分配情况</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9"/>
        <w:rPr>
          <w:rFonts w:ascii="仿宋_GB2312" w:hAnsi="仿宋" w:eastAsia="仿宋_GB2312"/>
          <w:color w:val="auto"/>
          <w:sz w:val="32"/>
          <w:szCs w:val="32"/>
          <w:highlight w:val="none"/>
        </w:rPr>
      </w:pPr>
      <w:r>
        <w:rPr>
          <w:rFonts w:hint="eastAsia" w:ascii="仿宋_GB2312" w:eastAsia="仿宋_GB2312" w:cs="宋体" w:hAnsiTheme="minorEastAsia"/>
          <w:color w:val="auto"/>
          <w:kern w:val="10"/>
          <w:sz w:val="32"/>
          <w:szCs w:val="32"/>
        </w:rPr>
        <w:t>202</w:t>
      </w:r>
      <w:r>
        <w:rPr>
          <w:rFonts w:hint="eastAsia" w:ascii="仿宋_GB2312" w:eastAsia="仿宋_GB2312" w:cs="宋体" w:hAnsiTheme="minorEastAsia"/>
          <w:color w:val="auto"/>
          <w:kern w:val="10"/>
          <w:sz w:val="32"/>
          <w:szCs w:val="32"/>
          <w:lang w:val="en-US" w:eastAsia="zh-CN"/>
        </w:rPr>
        <w:t>5</w:t>
      </w:r>
      <w:r>
        <w:rPr>
          <w:rFonts w:hint="eastAsia" w:ascii="仿宋_GB2312" w:eastAsia="仿宋_GB2312" w:cs="宋体" w:hAnsiTheme="minorEastAsia"/>
          <w:color w:val="auto"/>
          <w:kern w:val="10"/>
          <w:sz w:val="32"/>
          <w:szCs w:val="32"/>
        </w:rPr>
        <w:t>年度实现净利润</w:t>
      </w:r>
      <w:r>
        <w:rPr>
          <w:rFonts w:hint="eastAsia" w:ascii="仿宋_GB2312" w:eastAsia="仿宋_GB2312" w:cs="宋体" w:hAnsiTheme="minorEastAsia"/>
          <w:color w:val="auto"/>
          <w:spacing w:val="-4"/>
          <w:kern w:val="0"/>
          <w:sz w:val="32"/>
          <w:szCs w:val="32"/>
          <w:lang w:val="en-US" w:eastAsia="zh-CN"/>
        </w:rPr>
        <w:t>7310.99</w:t>
      </w:r>
      <w:r>
        <w:rPr>
          <w:rFonts w:hint="eastAsia" w:ascii="仿宋_GB2312" w:eastAsia="仿宋_GB2312" w:cs="宋体" w:hAnsiTheme="minorEastAsia"/>
          <w:color w:val="auto"/>
          <w:kern w:val="10"/>
          <w:sz w:val="32"/>
          <w:szCs w:val="32"/>
        </w:rPr>
        <w:t>万元，以前年度未分配利润</w:t>
      </w:r>
      <w:r>
        <w:rPr>
          <w:rFonts w:hint="eastAsia" w:ascii="仿宋_GB2312" w:eastAsia="仿宋_GB2312" w:cs="宋体" w:hAnsiTheme="minorEastAsia"/>
          <w:color w:val="auto"/>
          <w:kern w:val="10"/>
          <w:sz w:val="32"/>
          <w:szCs w:val="32"/>
          <w:lang w:eastAsia="zh-CN"/>
        </w:rPr>
        <w:t>结余</w:t>
      </w:r>
      <w:r>
        <w:rPr>
          <w:rFonts w:hint="eastAsia" w:ascii="仿宋_GB2312" w:hAnsi="宋体" w:eastAsia="仿宋_GB2312"/>
          <w:color w:val="auto"/>
          <w:sz w:val="32"/>
          <w:szCs w:val="32"/>
          <w:highlight w:val="none"/>
          <w:lang w:val="en-US" w:eastAsia="zh-CN"/>
        </w:rPr>
        <w:t>5646.85</w:t>
      </w:r>
      <w:r>
        <w:rPr>
          <w:rFonts w:hint="eastAsia" w:ascii="仿宋_GB2312" w:eastAsia="仿宋_GB2312" w:cs="宋体" w:hAnsiTheme="minorEastAsia"/>
          <w:color w:val="auto"/>
          <w:kern w:val="10"/>
          <w:sz w:val="32"/>
          <w:szCs w:val="32"/>
          <w:highlight w:val="none"/>
          <w:lang w:eastAsia="zh-CN"/>
        </w:rPr>
        <w:t>万元</w:t>
      </w:r>
      <w:r>
        <w:rPr>
          <w:rFonts w:hint="eastAsia" w:ascii="仿宋_GB2312" w:eastAsia="仿宋_GB2312" w:cs="宋体" w:hAnsiTheme="minorEastAsia"/>
          <w:color w:val="auto"/>
          <w:kern w:val="10"/>
          <w:sz w:val="32"/>
          <w:szCs w:val="32"/>
        </w:rPr>
        <w:t>，根据有关财税文件精神，按净利润的10%的比例提取法定盈余公积</w:t>
      </w:r>
      <w:r>
        <w:rPr>
          <w:rFonts w:hint="eastAsia" w:ascii="仿宋_GB2312" w:eastAsia="仿宋_GB2312" w:cs="宋体" w:hAnsiTheme="minorEastAsia"/>
          <w:color w:val="auto"/>
          <w:kern w:val="10"/>
          <w:sz w:val="32"/>
          <w:szCs w:val="32"/>
          <w:lang w:val="en-US" w:eastAsia="zh-CN"/>
        </w:rPr>
        <w:t>731.10</w:t>
      </w:r>
      <w:r>
        <w:rPr>
          <w:rFonts w:hint="eastAsia" w:ascii="仿宋_GB2312" w:eastAsia="仿宋_GB2312" w:cs="宋体" w:hAnsiTheme="minorEastAsia"/>
          <w:color w:val="auto"/>
          <w:kern w:val="10"/>
          <w:sz w:val="32"/>
          <w:szCs w:val="32"/>
        </w:rPr>
        <w:t>万元，</w:t>
      </w:r>
      <w:r>
        <w:rPr>
          <w:rFonts w:hint="eastAsia" w:ascii="仿宋_GB2312" w:hAnsi="宋体" w:eastAsia="仿宋_GB2312"/>
          <w:color w:val="auto"/>
          <w:sz w:val="32"/>
          <w:szCs w:val="32"/>
        </w:rPr>
        <w:t>剩余可分配利润</w:t>
      </w:r>
      <w:r>
        <w:rPr>
          <w:rFonts w:hint="eastAsia" w:ascii="仿宋_GB2312" w:hAnsi="宋体" w:eastAsia="仿宋_GB2312"/>
          <w:color w:val="auto"/>
          <w:sz w:val="32"/>
          <w:szCs w:val="32"/>
          <w:lang w:val="en-US" w:eastAsia="zh-CN"/>
        </w:rPr>
        <w:t>12226.74</w:t>
      </w:r>
      <w:r>
        <w:rPr>
          <w:rFonts w:hint="eastAsia" w:ascii="仿宋_GB2312" w:hAnsi="宋体" w:eastAsia="仿宋_GB2312"/>
          <w:color w:val="auto"/>
          <w:sz w:val="32"/>
          <w:szCs w:val="32"/>
        </w:rPr>
        <w:t>万元，</w:t>
      </w:r>
      <w:r>
        <w:rPr>
          <w:rFonts w:hint="eastAsia" w:ascii="仿宋_GB2312" w:hAnsi="仿宋" w:eastAsia="仿宋_GB2312"/>
          <w:color w:val="auto"/>
          <w:sz w:val="32"/>
          <w:szCs w:val="32"/>
        </w:rPr>
        <w:t>按202</w:t>
      </w:r>
      <w:r>
        <w:rPr>
          <w:rFonts w:hint="eastAsia" w:ascii="仿宋_GB2312" w:hAnsi="仿宋" w:eastAsia="仿宋_GB2312"/>
          <w:color w:val="auto"/>
          <w:sz w:val="32"/>
          <w:szCs w:val="32"/>
          <w:lang w:val="en-US" w:eastAsia="zh-CN"/>
        </w:rPr>
        <w:t>5</w:t>
      </w:r>
      <w:r>
        <w:rPr>
          <w:rFonts w:hint="eastAsia" w:ascii="仿宋_GB2312" w:hAnsi="仿宋" w:eastAsia="仿宋_GB2312"/>
          <w:color w:val="auto"/>
          <w:sz w:val="32"/>
          <w:szCs w:val="32"/>
        </w:rPr>
        <w:t>年末股金余额2</w:t>
      </w:r>
      <w:r>
        <w:rPr>
          <w:rFonts w:hint="eastAsia" w:ascii="仿宋_GB2312" w:hAnsi="仿宋" w:eastAsia="仿宋_GB2312"/>
          <w:color w:val="auto"/>
          <w:sz w:val="32"/>
          <w:szCs w:val="32"/>
          <w:lang w:val="en-US" w:eastAsia="zh-CN"/>
        </w:rPr>
        <w:t>4185.29</w:t>
      </w:r>
      <w:r>
        <w:rPr>
          <w:rFonts w:hint="eastAsia" w:ascii="仿宋_GB2312" w:hAnsi="仿宋" w:eastAsia="仿宋_GB2312"/>
          <w:color w:val="auto"/>
          <w:sz w:val="32"/>
          <w:szCs w:val="32"/>
        </w:rPr>
        <w:t>万元的</w:t>
      </w:r>
      <w:r>
        <w:rPr>
          <w:rFonts w:hint="eastAsia" w:ascii="仿宋_GB2312" w:hAnsi="仿宋" w:eastAsia="仿宋_GB2312"/>
          <w:color w:val="auto"/>
          <w:sz w:val="32"/>
          <w:szCs w:val="32"/>
          <w:highlight w:val="none"/>
          <w:lang w:val="en-US" w:eastAsia="zh-CN"/>
        </w:rPr>
        <w:t>5</w:t>
      </w:r>
      <w:r>
        <w:rPr>
          <w:rFonts w:hint="eastAsia" w:ascii="仿宋_GB2312" w:hAnsi="仿宋" w:eastAsia="仿宋_GB2312"/>
          <w:color w:val="auto"/>
          <w:sz w:val="32"/>
          <w:szCs w:val="32"/>
          <w:highlight w:val="none"/>
        </w:rPr>
        <w:t>%分配</w:t>
      </w:r>
      <w:r>
        <w:rPr>
          <w:rFonts w:hint="eastAsia" w:ascii="仿宋_GB2312" w:hAnsi="仿宋" w:eastAsia="仿宋_GB2312"/>
          <w:color w:val="auto"/>
          <w:sz w:val="32"/>
          <w:szCs w:val="32"/>
          <w:highlight w:val="none"/>
          <w:lang w:eastAsia="zh-CN"/>
        </w:rPr>
        <w:t>现金</w:t>
      </w:r>
      <w:r>
        <w:rPr>
          <w:rFonts w:hint="eastAsia" w:ascii="仿宋_GB2312" w:hAnsi="仿宋" w:eastAsia="仿宋_GB2312"/>
          <w:color w:val="auto"/>
          <w:sz w:val="32"/>
          <w:szCs w:val="32"/>
          <w:highlight w:val="none"/>
        </w:rPr>
        <w:t>股</w:t>
      </w:r>
      <w:r>
        <w:rPr>
          <w:rFonts w:hint="eastAsia" w:ascii="仿宋_GB2312" w:hAnsi="仿宋" w:eastAsia="仿宋_GB2312"/>
          <w:color w:val="auto"/>
          <w:sz w:val="32"/>
          <w:szCs w:val="32"/>
          <w:highlight w:val="none"/>
          <w:lang w:eastAsia="zh-CN"/>
        </w:rPr>
        <w:t>利</w:t>
      </w:r>
      <w:r>
        <w:rPr>
          <w:rFonts w:hint="eastAsia" w:ascii="仿宋_GB2312" w:hAnsi="仿宋" w:eastAsia="仿宋_GB2312"/>
          <w:color w:val="auto"/>
          <w:sz w:val="32"/>
          <w:szCs w:val="32"/>
          <w:highlight w:val="none"/>
        </w:rPr>
        <w:t>，扣除</w:t>
      </w:r>
      <w:r>
        <w:rPr>
          <w:rFonts w:hint="eastAsia" w:ascii="仿宋_GB2312" w:hAnsi="仿宋" w:eastAsia="仿宋_GB2312"/>
          <w:color w:val="auto"/>
          <w:sz w:val="32"/>
          <w:szCs w:val="32"/>
          <w:highlight w:val="none"/>
          <w:lang w:eastAsia="zh-CN"/>
        </w:rPr>
        <w:t>个人</w:t>
      </w:r>
      <w:r>
        <w:rPr>
          <w:rFonts w:hint="eastAsia" w:ascii="仿宋_GB2312" w:hAnsi="仿宋" w:eastAsia="仿宋_GB2312"/>
          <w:color w:val="auto"/>
          <w:sz w:val="32"/>
          <w:szCs w:val="32"/>
          <w:highlight w:val="none"/>
        </w:rPr>
        <w:t>所得税后以转账方式转入持股人指定的银行结算账户，剩余未分配利润待以后年度进行分配。</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三、董事、监事、高级管理层人员和员工情况</w:t>
      </w:r>
    </w:p>
    <w:p>
      <w:pPr>
        <w:widowControl/>
        <w:shd w:val="clear" w:color="auto" w:fill="FFFFFF"/>
        <w:tabs>
          <w:tab w:val="left" w:pos="630"/>
        </w:tabs>
        <w:spacing w:line="500" w:lineRule="exact"/>
        <w:ind w:firstLine="643" w:firstLineChars="200"/>
        <w:jc w:val="left"/>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3.1董事</w:t>
      </w:r>
    </w:p>
    <w:tbl>
      <w:tblPr>
        <w:tblStyle w:val="8"/>
        <w:tblW w:w="8522" w:type="dxa"/>
        <w:jc w:val="center"/>
        <w:tblInd w:w="0" w:type="dxa"/>
        <w:tblLayout w:type="fixed"/>
        <w:tblCellMar>
          <w:top w:w="0" w:type="dxa"/>
          <w:left w:w="108" w:type="dxa"/>
          <w:bottom w:w="0" w:type="dxa"/>
          <w:right w:w="108" w:type="dxa"/>
        </w:tblCellMar>
      </w:tblPr>
      <w:tblGrid>
        <w:gridCol w:w="2130"/>
        <w:gridCol w:w="2130"/>
        <w:gridCol w:w="2130"/>
        <w:gridCol w:w="2132"/>
      </w:tblGrid>
      <w:tr>
        <w:tblPrEx>
          <w:tblLayout w:type="fixed"/>
          <w:tblCellMar>
            <w:top w:w="0" w:type="dxa"/>
            <w:left w:w="108" w:type="dxa"/>
            <w:bottom w:w="0" w:type="dxa"/>
            <w:right w:w="108" w:type="dxa"/>
          </w:tblCellMar>
        </w:tblPrEx>
        <w:trPr>
          <w:trHeight w:val="528"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序号</w:t>
            </w:r>
          </w:p>
        </w:tc>
        <w:tc>
          <w:tcPr>
            <w:tcW w:w="213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姓名</w:t>
            </w:r>
          </w:p>
        </w:tc>
        <w:tc>
          <w:tcPr>
            <w:tcW w:w="213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性别</w:t>
            </w:r>
          </w:p>
        </w:tc>
        <w:tc>
          <w:tcPr>
            <w:tcW w:w="2132"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职务</w:t>
            </w:r>
          </w:p>
        </w:tc>
      </w:tr>
      <w:tr>
        <w:tblPrEx>
          <w:tblLayout w:type="fixed"/>
          <w:tblCellMar>
            <w:top w:w="0" w:type="dxa"/>
            <w:left w:w="108" w:type="dxa"/>
            <w:bottom w:w="0" w:type="dxa"/>
            <w:right w:w="108" w:type="dxa"/>
          </w:tblCellMar>
        </w:tblPrEx>
        <w:trPr>
          <w:trHeight w:val="594" w:hRule="atLeast"/>
          <w:jc w:val="center"/>
        </w:trPr>
        <w:tc>
          <w:tcPr>
            <w:tcW w:w="213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1</w:t>
            </w:r>
          </w:p>
        </w:tc>
        <w:tc>
          <w:tcPr>
            <w:tcW w:w="2130" w:type="dxa"/>
            <w:tcBorders>
              <w:top w:val="nil"/>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潘志方</w:t>
            </w:r>
          </w:p>
        </w:tc>
        <w:tc>
          <w:tcPr>
            <w:tcW w:w="2130"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男</w:t>
            </w:r>
          </w:p>
        </w:tc>
        <w:tc>
          <w:tcPr>
            <w:tcW w:w="2132"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董事长</w:t>
            </w:r>
          </w:p>
        </w:tc>
      </w:tr>
      <w:tr>
        <w:tblPrEx>
          <w:tblLayout w:type="fixed"/>
          <w:tblCellMar>
            <w:top w:w="0" w:type="dxa"/>
            <w:left w:w="108" w:type="dxa"/>
            <w:bottom w:w="0" w:type="dxa"/>
            <w:right w:w="108" w:type="dxa"/>
          </w:tblCellMar>
        </w:tblPrEx>
        <w:trPr>
          <w:trHeight w:val="594" w:hRule="atLeast"/>
          <w:jc w:val="center"/>
        </w:trPr>
        <w:tc>
          <w:tcPr>
            <w:tcW w:w="213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2</w:t>
            </w:r>
          </w:p>
        </w:tc>
        <w:tc>
          <w:tcPr>
            <w:tcW w:w="2130"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彭余国</w:t>
            </w:r>
          </w:p>
        </w:tc>
        <w:tc>
          <w:tcPr>
            <w:tcW w:w="2130"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男</w:t>
            </w:r>
          </w:p>
        </w:tc>
        <w:tc>
          <w:tcPr>
            <w:tcW w:w="2132"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董事</w:t>
            </w:r>
          </w:p>
        </w:tc>
      </w:tr>
      <w:tr>
        <w:tblPrEx>
          <w:tblLayout w:type="fixed"/>
          <w:tblCellMar>
            <w:top w:w="0" w:type="dxa"/>
            <w:left w:w="108" w:type="dxa"/>
            <w:bottom w:w="0" w:type="dxa"/>
            <w:right w:w="108" w:type="dxa"/>
          </w:tblCellMar>
        </w:tblPrEx>
        <w:trPr>
          <w:trHeight w:val="594" w:hRule="atLeast"/>
          <w:jc w:val="center"/>
        </w:trPr>
        <w:tc>
          <w:tcPr>
            <w:tcW w:w="213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3</w:t>
            </w:r>
          </w:p>
        </w:tc>
        <w:tc>
          <w:tcPr>
            <w:tcW w:w="2130"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张长征</w:t>
            </w:r>
          </w:p>
        </w:tc>
        <w:tc>
          <w:tcPr>
            <w:tcW w:w="2130"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男</w:t>
            </w:r>
          </w:p>
        </w:tc>
        <w:tc>
          <w:tcPr>
            <w:tcW w:w="2132"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独立董事</w:t>
            </w:r>
          </w:p>
        </w:tc>
      </w:tr>
      <w:tr>
        <w:tblPrEx>
          <w:tblLayout w:type="fixed"/>
          <w:tblCellMar>
            <w:top w:w="0" w:type="dxa"/>
            <w:left w:w="108" w:type="dxa"/>
            <w:bottom w:w="0" w:type="dxa"/>
            <w:right w:w="108" w:type="dxa"/>
          </w:tblCellMar>
        </w:tblPrEx>
        <w:trPr>
          <w:trHeight w:val="594" w:hRule="atLeast"/>
          <w:jc w:val="center"/>
        </w:trPr>
        <w:tc>
          <w:tcPr>
            <w:tcW w:w="213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4</w:t>
            </w:r>
          </w:p>
        </w:tc>
        <w:tc>
          <w:tcPr>
            <w:tcW w:w="2130"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李连生</w:t>
            </w:r>
          </w:p>
        </w:tc>
        <w:tc>
          <w:tcPr>
            <w:tcW w:w="2130"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男</w:t>
            </w:r>
          </w:p>
        </w:tc>
        <w:tc>
          <w:tcPr>
            <w:tcW w:w="2132" w:type="dxa"/>
            <w:tcBorders>
              <w:top w:val="nil"/>
              <w:left w:val="nil"/>
              <w:bottom w:val="single" w:color="auto" w:sz="4" w:space="0"/>
              <w:right w:val="single" w:color="auto" w:sz="4" w:space="0"/>
            </w:tcBorders>
            <w:vAlign w:val="top"/>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董事</w:t>
            </w:r>
          </w:p>
        </w:tc>
      </w:tr>
      <w:tr>
        <w:tblPrEx>
          <w:tblLayout w:type="fixed"/>
          <w:tblCellMar>
            <w:top w:w="0" w:type="dxa"/>
            <w:left w:w="108" w:type="dxa"/>
            <w:bottom w:w="0" w:type="dxa"/>
            <w:right w:w="108" w:type="dxa"/>
          </w:tblCellMar>
        </w:tblPrEx>
        <w:trPr>
          <w:trHeight w:val="594"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5</w:t>
            </w:r>
          </w:p>
        </w:tc>
        <w:tc>
          <w:tcPr>
            <w:tcW w:w="213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廖波</w:t>
            </w:r>
          </w:p>
        </w:tc>
        <w:tc>
          <w:tcPr>
            <w:tcW w:w="213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男</w:t>
            </w:r>
          </w:p>
        </w:tc>
        <w:tc>
          <w:tcPr>
            <w:tcW w:w="2132"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独立董事</w:t>
            </w:r>
          </w:p>
        </w:tc>
      </w:tr>
      <w:tr>
        <w:tblPrEx>
          <w:tblLayout w:type="fixed"/>
          <w:tblCellMar>
            <w:top w:w="0" w:type="dxa"/>
            <w:left w:w="108" w:type="dxa"/>
            <w:bottom w:w="0" w:type="dxa"/>
            <w:right w:w="108" w:type="dxa"/>
          </w:tblCellMar>
        </w:tblPrEx>
        <w:trPr>
          <w:trHeight w:val="594"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6</w:t>
            </w:r>
          </w:p>
        </w:tc>
        <w:tc>
          <w:tcPr>
            <w:tcW w:w="213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宋发龙</w:t>
            </w:r>
          </w:p>
        </w:tc>
        <w:tc>
          <w:tcPr>
            <w:tcW w:w="213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男</w:t>
            </w:r>
          </w:p>
        </w:tc>
        <w:tc>
          <w:tcPr>
            <w:tcW w:w="2132"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独立董事</w:t>
            </w:r>
          </w:p>
        </w:tc>
      </w:tr>
    </w:tbl>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jc w:val="left"/>
        <w:textAlignment w:val="auto"/>
        <w:outlineLvl w:val="9"/>
        <w:rPr>
          <w:rFonts w:hint="default" w:ascii="仿宋_GB2312" w:eastAsia="仿宋_GB2312" w:cs="宋体" w:hAnsiTheme="minorEastAsia"/>
          <w:b/>
          <w:bCs/>
          <w:color w:val="auto"/>
          <w:kern w:val="0"/>
          <w:sz w:val="32"/>
          <w:szCs w:val="32"/>
          <w:lang w:val="en-US" w:eastAsia="zh-CN"/>
        </w:rPr>
      </w:pPr>
      <w:r>
        <w:rPr>
          <w:rFonts w:hint="eastAsia" w:ascii="仿宋_GB2312" w:eastAsia="仿宋_GB2312" w:cs="宋体" w:hAnsiTheme="minorEastAsia"/>
          <w:b/>
          <w:bCs/>
          <w:color w:val="auto"/>
          <w:kern w:val="0"/>
          <w:sz w:val="32"/>
          <w:szCs w:val="32"/>
          <w:lang w:val="en-US" w:eastAsia="zh-CN"/>
        </w:rPr>
        <w:t>董事简历：</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eastAsia="zh-CN"/>
        </w:rPr>
        <w:t>（</w:t>
      </w:r>
      <w:r>
        <w:rPr>
          <w:rFonts w:hint="eastAsia" w:ascii="仿宋_GB2312" w:eastAsia="仿宋_GB2312" w:cs="宋体" w:hAnsiTheme="minorEastAsia"/>
          <w:b w:val="0"/>
          <w:bCs w:val="0"/>
          <w:color w:val="auto"/>
          <w:kern w:val="0"/>
          <w:sz w:val="32"/>
          <w:szCs w:val="32"/>
          <w:lang w:val="en-US" w:eastAsia="zh-CN"/>
        </w:rPr>
        <w:t>1）潘志方，男，1984年2月出生，江西石城人，中共党员，2007年2月参加工作，现任大余农商银行党委书记、董事长。</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（2）彭余国，男，1977年5月出生，江西大余人，中共党员，2005年4月参加工作，现任大余农商银行党委委员、行长、董事。</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（3）张长征，男，1966年12月出生，江西大余人，大余农商银行独立董事，现为江西海春律师事务所专职律师。</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eastAsia="zh-CN"/>
        </w:rPr>
        <w:t>（</w:t>
      </w:r>
      <w:r>
        <w:rPr>
          <w:rFonts w:hint="eastAsia" w:ascii="仿宋_GB2312" w:eastAsia="仿宋_GB2312" w:cs="宋体" w:hAnsiTheme="minorEastAsia"/>
          <w:b w:val="0"/>
          <w:bCs w:val="0"/>
          <w:color w:val="auto"/>
          <w:kern w:val="0"/>
          <w:sz w:val="32"/>
          <w:szCs w:val="32"/>
          <w:lang w:val="en-US" w:eastAsia="zh-CN"/>
        </w:rPr>
        <w:t>4）李连生，男，1967年10月出生，江西大余人，中共党员，大余农商银行董事，现为赣州万鑫房地产开发有限公司董事长。</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eastAsia="仿宋_GB2312" w:cs="宋体" w:hAnsiTheme="minorEastAsia"/>
          <w:b w:val="0"/>
          <w:bCs w:val="0"/>
          <w:color w:val="auto"/>
          <w:kern w:val="0"/>
          <w:sz w:val="32"/>
          <w:szCs w:val="32"/>
          <w:lang w:eastAsia="zh-CN"/>
        </w:rPr>
      </w:pPr>
      <w:r>
        <w:rPr>
          <w:rFonts w:hint="eastAsia" w:ascii="仿宋_GB2312" w:eastAsia="仿宋_GB2312" w:cs="宋体" w:hAnsiTheme="minorEastAsia"/>
          <w:b w:val="0"/>
          <w:bCs w:val="0"/>
          <w:color w:val="auto"/>
          <w:kern w:val="0"/>
          <w:sz w:val="32"/>
          <w:szCs w:val="32"/>
          <w:lang w:val="en-US" w:eastAsia="zh-CN"/>
        </w:rPr>
        <w:t>（5</w:t>
      </w:r>
      <w:r>
        <w:rPr>
          <w:rFonts w:hint="eastAsia" w:ascii="仿宋_GB2312" w:eastAsia="仿宋_GB2312" w:cs="宋体" w:hAnsiTheme="minorEastAsia"/>
          <w:b w:val="0"/>
          <w:bCs w:val="0"/>
          <w:color w:val="auto"/>
          <w:kern w:val="0"/>
          <w:sz w:val="32"/>
          <w:szCs w:val="32"/>
          <w:lang w:eastAsia="zh-CN"/>
        </w:rPr>
        <w:t>）廖波</w:t>
      </w:r>
      <w:r>
        <w:rPr>
          <w:rFonts w:hint="eastAsia" w:ascii="仿宋_GB2312" w:eastAsia="仿宋_GB2312" w:cs="宋体" w:hAnsiTheme="minorEastAsia"/>
          <w:b w:val="0"/>
          <w:bCs w:val="0"/>
          <w:color w:val="auto"/>
          <w:kern w:val="0"/>
          <w:sz w:val="32"/>
          <w:szCs w:val="32"/>
          <w:lang w:val="en-US" w:eastAsia="zh-CN"/>
        </w:rPr>
        <w:t>，男，1964年3月出生，江西大余人，大余农商银行独立董事，现为赣州中关联合会计师事务所所长。</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eastAsia="zh-CN"/>
        </w:rPr>
        <w:t>（</w:t>
      </w:r>
      <w:r>
        <w:rPr>
          <w:rFonts w:hint="eastAsia" w:ascii="仿宋_GB2312" w:eastAsia="仿宋_GB2312" w:cs="宋体" w:hAnsiTheme="minorEastAsia"/>
          <w:b w:val="0"/>
          <w:bCs w:val="0"/>
          <w:color w:val="auto"/>
          <w:kern w:val="0"/>
          <w:sz w:val="32"/>
          <w:szCs w:val="32"/>
          <w:lang w:val="en-US" w:eastAsia="zh-CN"/>
        </w:rPr>
        <w:t>6）宋发龙，男，</w:t>
      </w:r>
      <w:r>
        <w:rPr>
          <w:rFonts w:hint="eastAsia" w:ascii="仿宋_GB2312" w:eastAsia="仿宋_GB2312" w:cs="宋体" w:hAnsiTheme="minorEastAsia"/>
          <w:b w:val="0"/>
          <w:bCs w:val="0"/>
          <w:color w:val="auto"/>
          <w:kern w:val="0"/>
          <w:sz w:val="32"/>
          <w:szCs w:val="32"/>
          <w:highlight w:val="none"/>
          <w:lang w:val="en-US" w:eastAsia="zh-CN"/>
        </w:rPr>
        <w:t>1971年8月出生，江西赣州市人，大余农商银行独立董事，现为赣州华昇税务师事务所法人代表。</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jc w:val="left"/>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3.2监事</w:t>
      </w:r>
    </w:p>
    <w:tbl>
      <w:tblPr>
        <w:tblStyle w:val="8"/>
        <w:tblW w:w="8522" w:type="dxa"/>
        <w:tblInd w:w="0" w:type="dxa"/>
        <w:tblLayout w:type="fixed"/>
        <w:tblCellMar>
          <w:top w:w="0" w:type="dxa"/>
          <w:left w:w="108" w:type="dxa"/>
          <w:bottom w:w="0" w:type="dxa"/>
          <w:right w:w="108" w:type="dxa"/>
        </w:tblCellMar>
      </w:tblPr>
      <w:tblGrid>
        <w:gridCol w:w="2130"/>
        <w:gridCol w:w="2130"/>
        <w:gridCol w:w="2130"/>
        <w:gridCol w:w="2132"/>
      </w:tblGrid>
      <w:tr>
        <w:tblPrEx>
          <w:tblLayout w:type="fixed"/>
          <w:tblCellMar>
            <w:top w:w="0" w:type="dxa"/>
            <w:left w:w="108" w:type="dxa"/>
            <w:bottom w:w="0" w:type="dxa"/>
            <w:right w:w="108" w:type="dxa"/>
          </w:tblCellMar>
        </w:tblPrEx>
        <w:trPr>
          <w:trHeight w:val="483" w:hRule="atLeast"/>
        </w:trPr>
        <w:tc>
          <w:tcPr>
            <w:tcW w:w="213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序号</w:t>
            </w:r>
          </w:p>
        </w:tc>
        <w:tc>
          <w:tcPr>
            <w:tcW w:w="213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姓名</w:t>
            </w:r>
          </w:p>
        </w:tc>
        <w:tc>
          <w:tcPr>
            <w:tcW w:w="2130" w:type="dxa"/>
            <w:tcBorders>
              <w:top w:val="single" w:color="auto" w:sz="4" w:space="0"/>
              <w:left w:val="nil"/>
              <w:bottom w:val="single" w:color="auto" w:sz="4" w:space="0"/>
              <w:right w:val="single" w:color="auto" w:sz="4" w:space="0"/>
            </w:tcBorders>
            <w:vAlign w:val="center"/>
          </w:tcPr>
          <w:p>
            <w:pPr>
              <w:widowControl/>
              <w:spacing w:line="500" w:lineRule="exact"/>
              <w:ind w:firstLine="240" w:firstLineChars="100"/>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性别</w:t>
            </w:r>
          </w:p>
        </w:tc>
        <w:tc>
          <w:tcPr>
            <w:tcW w:w="2132"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职务</w:t>
            </w:r>
          </w:p>
        </w:tc>
      </w:tr>
      <w:tr>
        <w:tblPrEx>
          <w:tblLayout w:type="fixed"/>
          <w:tblCellMar>
            <w:top w:w="0" w:type="dxa"/>
            <w:left w:w="108" w:type="dxa"/>
            <w:bottom w:w="0" w:type="dxa"/>
            <w:right w:w="108" w:type="dxa"/>
          </w:tblCellMar>
        </w:tblPrEx>
        <w:trPr>
          <w:trHeight w:val="90" w:hRule="atLeast"/>
        </w:trPr>
        <w:tc>
          <w:tcPr>
            <w:tcW w:w="213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1</w:t>
            </w:r>
          </w:p>
        </w:tc>
        <w:tc>
          <w:tcPr>
            <w:tcW w:w="2130"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赖学文</w:t>
            </w:r>
          </w:p>
        </w:tc>
        <w:tc>
          <w:tcPr>
            <w:tcW w:w="2130"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男</w:t>
            </w:r>
          </w:p>
        </w:tc>
        <w:tc>
          <w:tcPr>
            <w:tcW w:w="2132"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监事长</w:t>
            </w:r>
          </w:p>
        </w:tc>
      </w:tr>
      <w:tr>
        <w:tblPrEx>
          <w:tblLayout w:type="fixed"/>
          <w:tblCellMar>
            <w:top w:w="0" w:type="dxa"/>
            <w:left w:w="108" w:type="dxa"/>
            <w:bottom w:w="0" w:type="dxa"/>
            <w:right w:w="108" w:type="dxa"/>
          </w:tblCellMar>
        </w:tblPrEx>
        <w:trPr>
          <w:trHeight w:val="560" w:hRule="atLeast"/>
        </w:trPr>
        <w:tc>
          <w:tcPr>
            <w:tcW w:w="213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2</w:t>
            </w:r>
          </w:p>
        </w:tc>
        <w:tc>
          <w:tcPr>
            <w:tcW w:w="213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胡涛</w:t>
            </w:r>
          </w:p>
        </w:tc>
        <w:tc>
          <w:tcPr>
            <w:tcW w:w="213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男</w:t>
            </w:r>
          </w:p>
        </w:tc>
        <w:tc>
          <w:tcPr>
            <w:tcW w:w="2132"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监事</w:t>
            </w:r>
          </w:p>
        </w:tc>
      </w:tr>
      <w:tr>
        <w:tblPrEx>
          <w:tblLayout w:type="fixed"/>
          <w:tblCellMar>
            <w:top w:w="0" w:type="dxa"/>
            <w:left w:w="108" w:type="dxa"/>
            <w:bottom w:w="0" w:type="dxa"/>
            <w:right w:w="108" w:type="dxa"/>
          </w:tblCellMar>
        </w:tblPrEx>
        <w:trPr>
          <w:trHeight w:val="545" w:hRule="atLeast"/>
        </w:trPr>
        <w:tc>
          <w:tcPr>
            <w:tcW w:w="213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3</w:t>
            </w:r>
          </w:p>
        </w:tc>
        <w:tc>
          <w:tcPr>
            <w:tcW w:w="213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魏溢璇</w:t>
            </w:r>
          </w:p>
        </w:tc>
        <w:tc>
          <w:tcPr>
            <w:tcW w:w="213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男</w:t>
            </w:r>
          </w:p>
        </w:tc>
        <w:tc>
          <w:tcPr>
            <w:tcW w:w="2132"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监事</w:t>
            </w:r>
          </w:p>
        </w:tc>
      </w:tr>
      <w:tr>
        <w:tblPrEx>
          <w:tblLayout w:type="fixed"/>
          <w:tblCellMar>
            <w:top w:w="0" w:type="dxa"/>
            <w:left w:w="108" w:type="dxa"/>
            <w:bottom w:w="0" w:type="dxa"/>
            <w:right w:w="108" w:type="dxa"/>
          </w:tblCellMar>
        </w:tblPrEx>
        <w:trPr>
          <w:trHeight w:val="522" w:hRule="atLeast"/>
        </w:trPr>
        <w:tc>
          <w:tcPr>
            <w:tcW w:w="213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4</w:t>
            </w:r>
          </w:p>
        </w:tc>
        <w:tc>
          <w:tcPr>
            <w:tcW w:w="2130"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董晨光</w:t>
            </w:r>
          </w:p>
        </w:tc>
        <w:tc>
          <w:tcPr>
            <w:tcW w:w="2130"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男</w:t>
            </w:r>
          </w:p>
        </w:tc>
        <w:tc>
          <w:tcPr>
            <w:tcW w:w="2132"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监事</w:t>
            </w:r>
          </w:p>
        </w:tc>
      </w:tr>
      <w:tr>
        <w:tblPrEx>
          <w:tblLayout w:type="fixed"/>
          <w:tblCellMar>
            <w:top w:w="0" w:type="dxa"/>
            <w:left w:w="108" w:type="dxa"/>
            <w:bottom w:w="0" w:type="dxa"/>
            <w:right w:w="108" w:type="dxa"/>
          </w:tblCellMar>
        </w:tblPrEx>
        <w:trPr>
          <w:trHeight w:val="567" w:hRule="atLeast"/>
        </w:trPr>
        <w:tc>
          <w:tcPr>
            <w:tcW w:w="213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5</w:t>
            </w:r>
          </w:p>
        </w:tc>
        <w:tc>
          <w:tcPr>
            <w:tcW w:w="2130" w:type="dxa"/>
            <w:tcBorders>
              <w:top w:val="nil"/>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陈周建</w:t>
            </w:r>
          </w:p>
        </w:tc>
        <w:tc>
          <w:tcPr>
            <w:tcW w:w="2130" w:type="dxa"/>
            <w:tcBorders>
              <w:top w:val="nil"/>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男</w:t>
            </w:r>
          </w:p>
        </w:tc>
        <w:tc>
          <w:tcPr>
            <w:tcW w:w="2132" w:type="dxa"/>
            <w:tcBorders>
              <w:top w:val="nil"/>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监事</w:t>
            </w:r>
          </w:p>
        </w:tc>
      </w:tr>
    </w:tbl>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jc w:val="left"/>
        <w:textAlignment w:val="auto"/>
        <w:outlineLvl w:val="9"/>
        <w:rPr>
          <w:rFonts w:hint="eastAsia" w:ascii="仿宋_GB2312" w:eastAsia="仿宋_GB2312" w:cs="宋体" w:hAnsiTheme="minorEastAsia"/>
          <w:b/>
          <w:bCs/>
          <w:color w:val="auto"/>
          <w:kern w:val="0"/>
          <w:sz w:val="32"/>
          <w:szCs w:val="32"/>
          <w:lang w:eastAsia="zh-CN"/>
        </w:rPr>
      </w:pPr>
      <w:r>
        <w:rPr>
          <w:rFonts w:hint="eastAsia" w:ascii="仿宋_GB2312" w:eastAsia="仿宋_GB2312" w:cs="宋体" w:hAnsiTheme="minorEastAsia"/>
          <w:b/>
          <w:bCs/>
          <w:color w:val="auto"/>
          <w:kern w:val="0"/>
          <w:sz w:val="32"/>
          <w:szCs w:val="32"/>
          <w:lang w:eastAsia="zh-CN"/>
        </w:rPr>
        <w:t>监事简历：</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eastAsia="zh-CN"/>
        </w:rPr>
        <w:t>（</w:t>
      </w:r>
      <w:r>
        <w:rPr>
          <w:rFonts w:hint="eastAsia" w:ascii="仿宋_GB2312" w:eastAsia="仿宋_GB2312" w:cs="宋体" w:hAnsiTheme="minorEastAsia"/>
          <w:b w:val="0"/>
          <w:bCs w:val="0"/>
          <w:color w:val="auto"/>
          <w:kern w:val="0"/>
          <w:sz w:val="32"/>
          <w:szCs w:val="32"/>
          <w:lang w:val="en-US" w:eastAsia="zh-CN"/>
        </w:rPr>
        <w:t>1）赖学文，男，1986年8月出生，江西崇义人，中共党员，2010年4月参加工作，现任大余农商银行党委委员、纪委书记、监事长。</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_GB2312" w:eastAsia="仿宋_GB2312" w:cs="宋体" w:hAnsiTheme="minorEastAsia"/>
          <w:b w:val="0"/>
          <w:bCs w:val="0"/>
          <w:color w:val="auto"/>
          <w:kern w:val="0"/>
          <w:sz w:val="32"/>
          <w:szCs w:val="32"/>
          <w:highlight w:val="none"/>
          <w:lang w:val="en-US" w:eastAsia="zh-CN"/>
        </w:rPr>
      </w:pPr>
      <w:r>
        <w:rPr>
          <w:rFonts w:hint="eastAsia" w:ascii="仿宋_GB2312" w:eastAsia="仿宋_GB2312" w:cs="宋体" w:hAnsiTheme="minorEastAsia"/>
          <w:b w:val="0"/>
          <w:bCs w:val="0"/>
          <w:color w:val="auto"/>
          <w:kern w:val="0"/>
          <w:sz w:val="32"/>
          <w:szCs w:val="32"/>
          <w:highlight w:val="none"/>
          <w:lang w:val="en-US" w:eastAsia="zh-CN"/>
        </w:rPr>
        <w:t>（2）胡涛，男，1988年01月出生，江西吉安人，中共党员，2014年2月参加工作，大余农商银行职工监事，现任大余农商银行资金营运事业部总经理。</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_GB2312" w:eastAsia="仿宋_GB2312" w:cs="宋体" w:hAnsiTheme="minorEastAsia"/>
          <w:b w:val="0"/>
          <w:bCs w:val="0"/>
          <w:color w:val="auto"/>
          <w:kern w:val="0"/>
          <w:sz w:val="32"/>
          <w:szCs w:val="32"/>
          <w:highlight w:val="none"/>
          <w:lang w:val="en-US" w:eastAsia="zh-CN"/>
        </w:rPr>
      </w:pPr>
      <w:r>
        <w:rPr>
          <w:rFonts w:hint="eastAsia" w:ascii="仿宋_GB2312" w:eastAsia="仿宋_GB2312" w:cs="宋体" w:hAnsiTheme="minorEastAsia"/>
          <w:b w:val="0"/>
          <w:bCs w:val="0"/>
          <w:color w:val="auto"/>
          <w:kern w:val="0"/>
          <w:sz w:val="32"/>
          <w:szCs w:val="32"/>
          <w:highlight w:val="none"/>
          <w:lang w:val="en-US" w:eastAsia="zh-CN"/>
        </w:rPr>
        <w:t>（3）魏溢璇，男，1998年9月出生，江西大余人，中共党员，2020年9月参加工作，大余农商银行职工监事，现任大余农商银行授信评审部总经理。</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（4）董晨光，男，1973年11月出生，江西大余人，大余农商银行股东监事，现为大余县新城镇店孜里村村支书。</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（5）陈周建，男，1975年5月出生，江西大余人，大余农商银行外部监事，现为江西省赣州昌顺工程建设监理有限公司总监理工程师。</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jc w:val="left"/>
        <w:textAlignment w:val="auto"/>
        <w:outlineLvl w:val="9"/>
        <w:rPr>
          <w:rFonts w:hint="eastAsia" w:ascii="仿宋_GB2312" w:eastAsia="仿宋_GB2312" w:cs="宋体" w:hAnsiTheme="minorEastAsia"/>
          <w:b/>
          <w:bCs/>
          <w:color w:val="auto"/>
          <w:kern w:val="0"/>
          <w:sz w:val="32"/>
          <w:szCs w:val="32"/>
          <w:lang w:eastAsia="zh-CN"/>
        </w:rPr>
      </w:pPr>
      <w:r>
        <w:rPr>
          <w:rFonts w:hint="eastAsia" w:ascii="仿宋_GB2312" w:eastAsia="仿宋_GB2312" w:cs="宋体" w:hAnsiTheme="minorEastAsia"/>
          <w:b/>
          <w:bCs/>
          <w:color w:val="auto"/>
          <w:kern w:val="0"/>
          <w:sz w:val="32"/>
          <w:szCs w:val="32"/>
        </w:rPr>
        <w:t>3.3</w:t>
      </w:r>
      <w:r>
        <w:rPr>
          <w:rFonts w:hint="eastAsia" w:ascii="仿宋_GB2312" w:eastAsia="仿宋_GB2312" w:cs="宋体" w:hAnsiTheme="minorEastAsia"/>
          <w:b/>
          <w:bCs/>
          <w:color w:val="auto"/>
          <w:kern w:val="0"/>
          <w:sz w:val="32"/>
          <w:szCs w:val="32"/>
          <w:lang w:eastAsia="zh-CN"/>
        </w:rPr>
        <w:t>董事、监事变动情况</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eastAsia="仿宋_GB2312" w:cs="宋体" w:hAnsiTheme="minorEastAsia"/>
          <w:b w:val="0"/>
          <w:bCs w:val="0"/>
          <w:color w:val="auto"/>
          <w:kern w:val="0"/>
          <w:sz w:val="32"/>
          <w:szCs w:val="32"/>
          <w:lang w:eastAsia="zh-CN"/>
        </w:rPr>
      </w:pPr>
      <w:r>
        <w:rPr>
          <w:rFonts w:hint="eastAsia" w:ascii="仿宋_GB2312" w:eastAsia="仿宋_GB2312" w:cs="宋体" w:hAnsiTheme="minorEastAsia"/>
          <w:b w:val="0"/>
          <w:bCs w:val="0"/>
          <w:color w:val="auto"/>
          <w:kern w:val="0"/>
          <w:sz w:val="32"/>
          <w:szCs w:val="32"/>
          <w:lang w:eastAsia="zh-CN"/>
        </w:rPr>
        <w:t>报告期内，</w:t>
      </w:r>
      <w:r>
        <w:rPr>
          <w:rFonts w:hint="eastAsia" w:ascii="仿宋_GB2312" w:eastAsia="仿宋_GB2312" w:cs="宋体" w:hAnsiTheme="minorEastAsia"/>
          <w:b w:val="0"/>
          <w:bCs w:val="0"/>
          <w:color w:val="auto"/>
          <w:kern w:val="0"/>
          <w:sz w:val="32"/>
          <w:szCs w:val="32"/>
          <w:lang w:val="en-US" w:eastAsia="zh-CN"/>
        </w:rPr>
        <w:t>董事变动情况：潘志方、彭余国辞去职工董事，经选举成为本行执行董事；新增1名独立董事宋发龙；其他董事无变化</w:t>
      </w:r>
      <w:r>
        <w:rPr>
          <w:rFonts w:hint="eastAsia" w:ascii="仿宋_GB2312" w:eastAsia="仿宋_GB2312" w:cs="宋体" w:hAnsiTheme="minorEastAsia"/>
          <w:b w:val="0"/>
          <w:bCs w:val="0"/>
          <w:color w:val="auto"/>
          <w:kern w:val="0"/>
          <w:sz w:val="32"/>
          <w:szCs w:val="32"/>
          <w:lang w:eastAsia="zh-CN"/>
        </w:rPr>
        <w:t>。</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eastAsia="仿宋_GB2312" w:cs="宋体" w:hAnsiTheme="minorEastAsia"/>
          <w:b w:val="0"/>
          <w:bCs w:val="0"/>
          <w:color w:val="auto"/>
          <w:kern w:val="0"/>
          <w:sz w:val="32"/>
          <w:szCs w:val="32"/>
          <w:lang w:eastAsia="zh-CN"/>
        </w:rPr>
      </w:pPr>
      <w:r>
        <w:rPr>
          <w:rFonts w:hint="eastAsia" w:ascii="仿宋_GB2312" w:eastAsia="仿宋_GB2312" w:cs="宋体" w:hAnsiTheme="minorEastAsia"/>
          <w:b w:val="0"/>
          <w:bCs w:val="0"/>
          <w:color w:val="auto"/>
          <w:kern w:val="0"/>
          <w:sz w:val="32"/>
          <w:szCs w:val="32"/>
          <w:lang w:eastAsia="zh-CN"/>
        </w:rPr>
        <w:t>报告期内，</w:t>
      </w:r>
      <w:r>
        <w:rPr>
          <w:rFonts w:hint="eastAsia" w:ascii="仿宋_GB2312" w:eastAsia="仿宋_GB2312" w:cs="宋体" w:hAnsiTheme="minorEastAsia"/>
          <w:b w:val="0"/>
          <w:bCs w:val="0"/>
          <w:color w:val="auto"/>
          <w:kern w:val="0"/>
          <w:sz w:val="32"/>
          <w:szCs w:val="32"/>
          <w:lang w:val="en-US" w:eastAsia="zh-CN"/>
        </w:rPr>
        <w:t>监事变动情况：经职工代表大会选举，魏溢璇、胡涛成为本行职工监事，黄中华、齐有为不再担任职工监事；其他监事无变化。</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jc w:val="left"/>
        <w:textAlignment w:val="auto"/>
        <w:outlineLvl w:val="9"/>
        <w:rPr>
          <w:rFonts w:hint="eastAsia" w:ascii="仿宋_GB2312" w:eastAsia="仿宋_GB2312" w:cs="宋体" w:hAnsiTheme="minorEastAsia"/>
          <w:b/>
          <w:bCs/>
          <w:color w:val="auto"/>
          <w:kern w:val="0"/>
          <w:sz w:val="32"/>
          <w:szCs w:val="32"/>
          <w:lang w:val="en-US" w:eastAsia="zh-CN"/>
        </w:rPr>
      </w:pPr>
      <w:r>
        <w:rPr>
          <w:rFonts w:hint="eastAsia" w:ascii="仿宋_GB2312" w:eastAsia="仿宋_GB2312" w:cs="宋体" w:hAnsiTheme="minorEastAsia"/>
          <w:b/>
          <w:bCs/>
          <w:color w:val="auto"/>
          <w:kern w:val="0"/>
          <w:sz w:val="32"/>
          <w:szCs w:val="32"/>
          <w:lang w:val="en-US" w:eastAsia="zh-CN"/>
        </w:rPr>
        <w:t>3.4董事、监事兼职情况</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jc w:val="left"/>
        <w:textAlignment w:val="auto"/>
        <w:outlineLvl w:val="9"/>
        <w:rPr>
          <w:rFonts w:hint="eastAsia"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bCs/>
          <w:color w:val="auto"/>
          <w:kern w:val="0"/>
          <w:sz w:val="32"/>
          <w:szCs w:val="32"/>
          <w:lang w:val="en-US" w:eastAsia="zh-CN"/>
        </w:rPr>
        <w:t>3.4.1</w:t>
      </w:r>
      <w:r>
        <w:rPr>
          <w:rFonts w:hint="eastAsia" w:ascii="仿宋_GB2312" w:eastAsia="仿宋_GB2312" w:cs="宋体" w:hAnsiTheme="minorEastAsia"/>
          <w:b w:val="0"/>
          <w:bCs w:val="0"/>
          <w:color w:val="auto"/>
          <w:kern w:val="0"/>
          <w:sz w:val="32"/>
          <w:szCs w:val="32"/>
          <w:lang w:val="en-US" w:eastAsia="zh-CN"/>
        </w:rPr>
        <w:t>本行</w:t>
      </w:r>
      <w:r>
        <w:rPr>
          <w:rFonts w:hint="eastAsia" w:ascii="仿宋_GB2312" w:eastAsia="仿宋_GB2312" w:cs="宋体" w:hAnsiTheme="minorEastAsia"/>
          <w:b w:val="0"/>
          <w:bCs w:val="0"/>
          <w:color w:val="auto"/>
          <w:kern w:val="0"/>
          <w:sz w:val="32"/>
          <w:szCs w:val="32"/>
          <w:highlight w:val="none"/>
          <w:lang w:val="en-US" w:eastAsia="zh-CN"/>
        </w:rPr>
        <w:t>职工</w:t>
      </w:r>
      <w:r>
        <w:rPr>
          <w:rFonts w:hint="eastAsia" w:ascii="仿宋_GB2312" w:eastAsia="仿宋_GB2312" w:cs="宋体" w:hAnsiTheme="minorEastAsia"/>
          <w:b w:val="0"/>
          <w:bCs w:val="0"/>
          <w:color w:val="auto"/>
          <w:kern w:val="0"/>
          <w:sz w:val="32"/>
          <w:szCs w:val="32"/>
          <w:lang w:val="en-US" w:eastAsia="zh-CN"/>
        </w:rPr>
        <w:t>董事不存在兼职情况。</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非职工董事（含独立董事）兼职情况：</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李连生担任赣州万鑫房地产开发有限公司董事长。</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张长征担任江西海春律师事务所任专职律师。</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廖波担任赣州中关联合会计师事务所所长。</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_GB2312" w:eastAsia="仿宋_GB2312" w:cs="宋体" w:hAnsiTheme="minorEastAsia"/>
          <w:b w:val="0"/>
          <w:bCs w:val="0"/>
          <w:color w:val="auto"/>
          <w:kern w:val="0"/>
          <w:sz w:val="32"/>
          <w:szCs w:val="32"/>
          <w:highlight w:val="none"/>
          <w:lang w:val="en-US" w:eastAsia="zh-CN"/>
        </w:rPr>
      </w:pPr>
      <w:r>
        <w:rPr>
          <w:rFonts w:hint="eastAsia" w:ascii="仿宋_GB2312" w:eastAsia="仿宋_GB2312" w:cs="宋体" w:hAnsiTheme="minorEastAsia"/>
          <w:b w:val="0"/>
          <w:bCs w:val="0"/>
          <w:color w:val="auto"/>
          <w:kern w:val="0"/>
          <w:sz w:val="32"/>
          <w:szCs w:val="32"/>
          <w:highlight w:val="none"/>
          <w:lang w:val="en-US" w:eastAsia="zh-CN"/>
        </w:rPr>
        <w:t>宋发龙担任赣州华昇税务师事务所法人代表。</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jc w:val="left"/>
        <w:textAlignment w:val="auto"/>
        <w:outlineLvl w:val="9"/>
        <w:rPr>
          <w:rFonts w:hint="eastAsia"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bCs/>
          <w:color w:val="auto"/>
          <w:kern w:val="0"/>
          <w:sz w:val="32"/>
          <w:szCs w:val="32"/>
          <w:lang w:val="en-US" w:eastAsia="zh-CN"/>
        </w:rPr>
        <w:t>3.4.2</w:t>
      </w:r>
      <w:r>
        <w:rPr>
          <w:rFonts w:hint="eastAsia" w:ascii="仿宋_GB2312" w:eastAsia="仿宋_GB2312" w:cs="宋体" w:hAnsiTheme="minorEastAsia"/>
          <w:b w:val="0"/>
          <w:bCs w:val="0"/>
          <w:color w:val="auto"/>
          <w:kern w:val="0"/>
          <w:sz w:val="32"/>
          <w:szCs w:val="32"/>
          <w:lang w:val="en-US" w:eastAsia="zh-CN"/>
        </w:rPr>
        <w:t>本行职工监事不存在兼职情况。</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非职工监事（股东监事、外部监事）兼职情况：</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董晨光担任大余县新城镇店孜里村村支书。</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陈周建担任江西省赣州昌顺工程建设监理有限公司总监理工程师。</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jc w:val="left"/>
        <w:textAlignment w:val="auto"/>
        <w:outlineLvl w:val="9"/>
        <w:rPr>
          <w:rFonts w:hint="eastAsia" w:ascii="仿宋_GB2312" w:eastAsia="仿宋_GB2312" w:cs="宋体" w:hAnsiTheme="minorEastAsia"/>
          <w:b w:val="0"/>
          <w:bCs w:val="0"/>
          <w:color w:val="auto"/>
          <w:kern w:val="0"/>
          <w:sz w:val="32"/>
          <w:szCs w:val="32"/>
          <w:lang w:eastAsia="zh-CN"/>
        </w:rPr>
      </w:pPr>
      <w:r>
        <w:rPr>
          <w:rFonts w:hint="eastAsia" w:ascii="仿宋_GB2312" w:eastAsia="仿宋_GB2312" w:cs="宋体" w:hAnsiTheme="minorEastAsia"/>
          <w:b/>
          <w:bCs/>
          <w:color w:val="auto"/>
          <w:kern w:val="0"/>
          <w:sz w:val="32"/>
          <w:szCs w:val="32"/>
          <w:lang w:val="en-US" w:eastAsia="zh-CN"/>
        </w:rPr>
        <w:t>3.5</w:t>
      </w:r>
      <w:r>
        <w:rPr>
          <w:rFonts w:hint="eastAsia" w:ascii="仿宋_GB2312" w:eastAsia="仿宋_GB2312" w:cs="宋体" w:hAnsiTheme="minorEastAsia"/>
          <w:b/>
          <w:bCs/>
          <w:color w:val="auto"/>
          <w:kern w:val="0"/>
          <w:sz w:val="32"/>
          <w:szCs w:val="32"/>
        </w:rPr>
        <w:t>高级管理</w:t>
      </w:r>
      <w:r>
        <w:rPr>
          <w:rFonts w:hint="eastAsia" w:ascii="仿宋_GB2312" w:eastAsia="仿宋_GB2312" w:cs="宋体" w:hAnsiTheme="minorEastAsia"/>
          <w:b/>
          <w:bCs/>
          <w:color w:val="auto"/>
          <w:kern w:val="0"/>
          <w:sz w:val="32"/>
          <w:szCs w:val="32"/>
          <w:lang w:eastAsia="zh-CN"/>
        </w:rPr>
        <w:t>人员情况</w:t>
      </w:r>
    </w:p>
    <w:tbl>
      <w:tblPr>
        <w:tblStyle w:val="8"/>
        <w:tblW w:w="8522" w:type="dxa"/>
        <w:jc w:val="center"/>
        <w:tblInd w:w="0" w:type="dxa"/>
        <w:tblLayout w:type="fixed"/>
        <w:tblCellMar>
          <w:top w:w="0" w:type="dxa"/>
          <w:left w:w="108" w:type="dxa"/>
          <w:bottom w:w="0" w:type="dxa"/>
          <w:right w:w="108" w:type="dxa"/>
        </w:tblCellMar>
      </w:tblPr>
      <w:tblGrid>
        <w:gridCol w:w="789"/>
        <w:gridCol w:w="1019"/>
        <w:gridCol w:w="751"/>
        <w:gridCol w:w="990"/>
        <w:gridCol w:w="1290"/>
        <w:gridCol w:w="3683"/>
      </w:tblGrid>
      <w:tr>
        <w:tblPrEx>
          <w:tblLayout w:type="fixed"/>
          <w:tblCellMar>
            <w:top w:w="0" w:type="dxa"/>
            <w:left w:w="108" w:type="dxa"/>
            <w:bottom w:w="0" w:type="dxa"/>
            <w:right w:w="108" w:type="dxa"/>
          </w:tblCellMar>
        </w:tblPrEx>
        <w:trPr>
          <w:trHeight w:val="549"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序号</w:t>
            </w:r>
          </w:p>
        </w:tc>
        <w:tc>
          <w:tcPr>
            <w:tcW w:w="1019"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姓名</w:t>
            </w:r>
          </w:p>
        </w:tc>
        <w:tc>
          <w:tcPr>
            <w:tcW w:w="751"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性别</w:t>
            </w:r>
          </w:p>
        </w:tc>
        <w:tc>
          <w:tcPr>
            <w:tcW w:w="99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职务</w:t>
            </w:r>
          </w:p>
        </w:tc>
        <w:tc>
          <w:tcPr>
            <w:tcW w:w="129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从业年限</w:t>
            </w:r>
          </w:p>
        </w:tc>
        <w:tc>
          <w:tcPr>
            <w:tcW w:w="3683"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分管工作</w:t>
            </w:r>
          </w:p>
        </w:tc>
      </w:tr>
      <w:tr>
        <w:tblPrEx>
          <w:tblLayout w:type="fixed"/>
          <w:tblCellMar>
            <w:top w:w="0" w:type="dxa"/>
            <w:left w:w="108" w:type="dxa"/>
            <w:bottom w:w="0" w:type="dxa"/>
            <w:right w:w="108" w:type="dxa"/>
          </w:tblCellMar>
        </w:tblPrEx>
        <w:trPr>
          <w:trHeight w:val="90" w:hRule="atLeast"/>
          <w:jc w:val="center"/>
        </w:trPr>
        <w:tc>
          <w:tcPr>
            <w:tcW w:w="78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val="en-US" w:eastAsia="zh-CN"/>
              </w:rPr>
              <w:t>1</w:t>
            </w:r>
          </w:p>
        </w:tc>
        <w:tc>
          <w:tcPr>
            <w:tcW w:w="101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彭余国</w:t>
            </w:r>
          </w:p>
        </w:tc>
        <w:tc>
          <w:tcPr>
            <w:tcW w:w="7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男</w:t>
            </w:r>
          </w:p>
        </w:tc>
        <w:tc>
          <w:tcPr>
            <w:tcW w:w="9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行长</w:t>
            </w:r>
          </w:p>
        </w:tc>
        <w:tc>
          <w:tcPr>
            <w:tcW w:w="12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21</w:t>
            </w:r>
          </w:p>
        </w:tc>
        <w:tc>
          <w:tcPr>
            <w:tcW w:w="368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主持经营工作，并组织履行经营班子职责，分管人力资源部</w:t>
            </w:r>
            <w:r>
              <w:rPr>
                <w:rFonts w:hint="eastAsia" w:cs="宋体" w:asciiTheme="minorEastAsia" w:hAnsiTheme="minorEastAsia"/>
                <w:color w:val="auto"/>
                <w:kern w:val="0"/>
                <w:sz w:val="24"/>
                <w:szCs w:val="24"/>
                <w:lang w:eastAsia="zh-CN"/>
              </w:rPr>
              <w:t>、</w:t>
            </w:r>
            <w:r>
              <w:rPr>
                <w:rFonts w:hint="eastAsia" w:cs="宋体" w:asciiTheme="minorEastAsia" w:hAnsiTheme="minorEastAsia"/>
                <w:color w:val="auto"/>
                <w:kern w:val="0"/>
                <w:sz w:val="24"/>
                <w:szCs w:val="24"/>
              </w:rPr>
              <w:t>信贷管理部、</w:t>
            </w:r>
            <w:r>
              <w:rPr>
                <w:rFonts w:hint="eastAsia" w:cs="宋体" w:asciiTheme="minorEastAsia" w:hAnsiTheme="minorEastAsia"/>
                <w:color w:val="auto"/>
                <w:kern w:val="0"/>
                <w:sz w:val="24"/>
                <w:szCs w:val="24"/>
                <w:lang w:eastAsia="zh-CN"/>
              </w:rPr>
              <w:t>资金营运</w:t>
            </w:r>
            <w:r>
              <w:rPr>
                <w:rFonts w:hint="eastAsia" w:cs="宋体" w:asciiTheme="minorEastAsia" w:hAnsiTheme="minorEastAsia"/>
                <w:color w:val="auto"/>
                <w:kern w:val="0"/>
                <w:sz w:val="24"/>
                <w:szCs w:val="24"/>
              </w:rPr>
              <w:t>事业部工作</w:t>
            </w:r>
          </w:p>
        </w:tc>
      </w:tr>
      <w:tr>
        <w:tblPrEx>
          <w:tblLayout w:type="fixed"/>
          <w:tblCellMar>
            <w:top w:w="0" w:type="dxa"/>
            <w:left w:w="108" w:type="dxa"/>
            <w:bottom w:w="0" w:type="dxa"/>
            <w:right w:w="108" w:type="dxa"/>
          </w:tblCellMar>
        </w:tblPrEx>
        <w:trPr>
          <w:trHeight w:val="833"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w:t>
            </w:r>
          </w:p>
        </w:tc>
        <w:tc>
          <w:tcPr>
            <w:tcW w:w="101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rPr>
              <w:t>刘承斌</w:t>
            </w:r>
          </w:p>
        </w:tc>
        <w:tc>
          <w:tcPr>
            <w:tcW w:w="75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男</w:t>
            </w:r>
          </w:p>
        </w:tc>
        <w:tc>
          <w:tcPr>
            <w:tcW w:w="9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副行长</w:t>
            </w:r>
          </w:p>
        </w:tc>
        <w:tc>
          <w:tcPr>
            <w:tcW w:w="12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18</w:t>
            </w:r>
          </w:p>
        </w:tc>
        <w:tc>
          <w:tcPr>
            <w:tcW w:w="3683"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分管办公室、</w:t>
            </w:r>
            <w:r>
              <w:rPr>
                <w:rFonts w:hint="eastAsia" w:asciiTheme="minorEastAsia" w:hAnsiTheme="minorEastAsia" w:eastAsiaTheme="minorEastAsia"/>
                <w:color w:val="auto"/>
                <w:sz w:val="24"/>
                <w:szCs w:val="24"/>
                <w:lang w:eastAsia="zh-CN"/>
              </w:rPr>
              <w:t>零售金融</w:t>
            </w:r>
            <w:r>
              <w:rPr>
                <w:rFonts w:hint="eastAsia" w:asciiTheme="minorEastAsia" w:hAnsiTheme="minorEastAsia" w:eastAsiaTheme="minorEastAsia"/>
                <w:color w:val="auto"/>
                <w:sz w:val="24"/>
                <w:szCs w:val="24"/>
              </w:rPr>
              <w:t>部、</w:t>
            </w:r>
            <w:r>
              <w:rPr>
                <w:rFonts w:hint="eastAsia" w:asciiTheme="minorEastAsia" w:hAnsiTheme="minorEastAsia" w:eastAsiaTheme="minorEastAsia"/>
                <w:color w:val="auto"/>
                <w:sz w:val="24"/>
                <w:szCs w:val="24"/>
                <w:lang w:eastAsia="zh-CN"/>
              </w:rPr>
              <w:t>授信评审</w:t>
            </w:r>
            <w:r>
              <w:rPr>
                <w:rFonts w:hint="eastAsia" w:asciiTheme="minorEastAsia" w:hAnsiTheme="minorEastAsia" w:eastAsiaTheme="minorEastAsia"/>
                <w:color w:val="auto"/>
                <w:sz w:val="24"/>
                <w:szCs w:val="24"/>
              </w:rPr>
              <w:t>部</w:t>
            </w:r>
            <w:r>
              <w:rPr>
                <w:rFonts w:hint="eastAsia" w:asciiTheme="minorEastAsia" w:hAnsiTheme="minorEastAsia" w:eastAsiaTheme="minorEastAsia"/>
                <w:color w:val="auto"/>
                <w:sz w:val="24"/>
                <w:szCs w:val="24"/>
                <w:lang w:eastAsia="zh-CN"/>
              </w:rPr>
              <w:t>和清收事业部</w:t>
            </w:r>
            <w:r>
              <w:rPr>
                <w:rFonts w:hint="eastAsia" w:asciiTheme="minorEastAsia" w:hAnsiTheme="minorEastAsia" w:eastAsiaTheme="minorEastAsia"/>
                <w:color w:val="auto"/>
                <w:sz w:val="24"/>
                <w:szCs w:val="24"/>
              </w:rPr>
              <w:t>工作</w:t>
            </w:r>
          </w:p>
        </w:tc>
      </w:tr>
      <w:tr>
        <w:tblPrEx>
          <w:tblLayout w:type="fixed"/>
          <w:tblCellMar>
            <w:top w:w="0" w:type="dxa"/>
            <w:left w:w="108" w:type="dxa"/>
            <w:bottom w:w="0" w:type="dxa"/>
            <w:right w:w="108" w:type="dxa"/>
          </w:tblCellMar>
        </w:tblPrEx>
        <w:trPr>
          <w:trHeight w:val="1113"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3</w:t>
            </w:r>
          </w:p>
        </w:tc>
        <w:tc>
          <w:tcPr>
            <w:tcW w:w="101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王红生</w:t>
            </w:r>
          </w:p>
        </w:tc>
        <w:tc>
          <w:tcPr>
            <w:tcW w:w="75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男</w:t>
            </w:r>
          </w:p>
        </w:tc>
        <w:tc>
          <w:tcPr>
            <w:tcW w:w="9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副行长</w:t>
            </w:r>
          </w:p>
        </w:tc>
        <w:tc>
          <w:tcPr>
            <w:tcW w:w="12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highlight w:val="none"/>
                <w:lang w:val="en-US" w:eastAsia="zh-CN"/>
              </w:rPr>
              <w:t>14</w:t>
            </w:r>
          </w:p>
        </w:tc>
        <w:tc>
          <w:tcPr>
            <w:tcW w:w="3683"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lang w:eastAsia="zh-CN"/>
              </w:rPr>
              <w:t>分管财务会计部、运营管理部、渠道管理部、法律合规部和风险管理部工作</w:t>
            </w:r>
          </w:p>
        </w:tc>
      </w:tr>
      <w:tr>
        <w:tblPrEx>
          <w:tblLayout w:type="fixed"/>
          <w:tblCellMar>
            <w:top w:w="0" w:type="dxa"/>
            <w:left w:w="108" w:type="dxa"/>
            <w:bottom w:w="0" w:type="dxa"/>
            <w:right w:w="108" w:type="dxa"/>
          </w:tblCellMar>
        </w:tblPrEx>
        <w:trPr>
          <w:trHeight w:val="758"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4</w:t>
            </w:r>
          </w:p>
        </w:tc>
        <w:tc>
          <w:tcPr>
            <w:tcW w:w="101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钟文翔</w:t>
            </w:r>
          </w:p>
        </w:tc>
        <w:tc>
          <w:tcPr>
            <w:tcW w:w="75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男</w:t>
            </w:r>
          </w:p>
        </w:tc>
        <w:tc>
          <w:tcPr>
            <w:tcW w:w="9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董秘</w:t>
            </w:r>
          </w:p>
        </w:tc>
        <w:tc>
          <w:tcPr>
            <w:tcW w:w="12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default" w:cs="宋体" w:asciiTheme="minorEastAsia" w:hAnsi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12</w:t>
            </w:r>
          </w:p>
        </w:tc>
        <w:tc>
          <w:tcPr>
            <w:tcW w:w="3683"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lang w:eastAsia="zh-CN"/>
              </w:rPr>
              <w:t>主持董事会办公室工作</w:t>
            </w:r>
          </w:p>
        </w:tc>
      </w:tr>
      <w:tr>
        <w:tblPrEx>
          <w:tblLayout w:type="fixed"/>
          <w:tblCellMar>
            <w:top w:w="0" w:type="dxa"/>
            <w:left w:w="108" w:type="dxa"/>
            <w:bottom w:w="0" w:type="dxa"/>
            <w:right w:w="108" w:type="dxa"/>
          </w:tblCellMar>
        </w:tblPrEx>
        <w:trPr>
          <w:trHeight w:val="1113"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5</w:t>
            </w:r>
          </w:p>
        </w:tc>
        <w:tc>
          <w:tcPr>
            <w:tcW w:w="101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张丽华</w:t>
            </w:r>
          </w:p>
        </w:tc>
        <w:tc>
          <w:tcPr>
            <w:tcW w:w="75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女</w:t>
            </w:r>
          </w:p>
        </w:tc>
        <w:tc>
          <w:tcPr>
            <w:tcW w:w="9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财务会计部总经理</w:t>
            </w:r>
          </w:p>
        </w:tc>
        <w:tc>
          <w:tcPr>
            <w:tcW w:w="12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default" w:cs="宋体" w:asciiTheme="minorEastAsia" w:hAnsi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28</w:t>
            </w:r>
          </w:p>
        </w:tc>
        <w:tc>
          <w:tcPr>
            <w:tcW w:w="3683"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lang w:eastAsia="zh-CN"/>
              </w:rPr>
              <w:t>主持财务会计部工作</w:t>
            </w:r>
          </w:p>
        </w:tc>
      </w:tr>
      <w:tr>
        <w:tblPrEx>
          <w:tblLayout w:type="fixed"/>
          <w:tblCellMar>
            <w:top w:w="0" w:type="dxa"/>
            <w:left w:w="108" w:type="dxa"/>
            <w:bottom w:w="0" w:type="dxa"/>
            <w:right w:w="108" w:type="dxa"/>
          </w:tblCellMar>
        </w:tblPrEx>
        <w:trPr>
          <w:trHeight w:val="1113"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6</w:t>
            </w:r>
          </w:p>
        </w:tc>
        <w:tc>
          <w:tcPr>
            <w:tcW w:w="101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王彩鑫</w:t>
            </w:r>
          </w:p>
        </w:tc>
        <w:tc>
          <w:tcPr>
            <w:tcW w:w="75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男</w:t>
            </w:r>
          </w:p>
        </w:tc>
        <w:tc>
          <w:tcPr>
            <w:tcW w:w="9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法律合规部总经理</w:t>
            </w:r>
          </w:p>
        </w:tc>
        <w:tc>
          <w:tcPr>
            <w:tcW w:w="12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default" w:cs="宋体" w:asciiTheme="minorEastAsia" w:hAnsi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20</w:t>
            </w:r>
          </w:p>
        </w:tc>
        <w:tc>
          <w:tcPr>
            <w:tcW w:w="3683"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lang w:eastAsia="zh-CN"/>
              </w:rPr>
              <w:t>主持法律合规部工作</w:t>
            </w:r>
          </w:p>
        </w:tc>
      </w:tr>
      <w:tr>
        <w:tblPrEx>
          <w:tblLayout w:type="fixed"/>
          <w:tblCellMar>
            <w:top w:w="0" w:type="dxa"/>
            <w:left w:w="108" w:type="dxa"/>
            <w:bottom w:w="0" w:type="dxa"/>
            <w:right w:w="108" w:type="dxa"/>
          </w:tblCellMar>
        </w:tblPrEx>
        <w:trPr>
          <w:trHeight w:val="1113"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7</w:t>
            </w:r>
          </w:p>
        </w:tc>
        <w:tc>
          <w:tcPr>
            <w:tcW w:w="101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俞敏</w:t>
            </w:r>
          </w:p>
        </w:tc>
        <w:tc>
          <w:tcPr>
            <w:tcW w:w="75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男</w:t>
            </w:r>
          </w:p>
        </w:tc>
        <w:tc>
          <w:tcPr>
            <w:tcW w:w="9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审计部总经理</w:t>
            </w:r>
          </w:p>
        </w:tc>
        <w:tc>
          <w:tcPr>
            <w:tcW w:w="12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default" w:cs="宋体" w:asciiTheme="minorEastAsia" w:hAnsi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18</w:t>
            </w:r>
          </w:p>
        </w:tc>
        <w:tc>
          <w:tcPr>
            <w:tcW w:w="3683"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kinsoku/>
              <w:wordWrap/>
              <w:overflowPunct/>
              <w:topLinePunct w:val="0"/>
              <w:autoSpaceDE/>
              <w:autoSpaceDN/>
              <w:bidi w:val="0"/>
              <w:adjustRightInd/>
              <w:snapToGrid/>
              <w:spacing w:line="400" w:lineRule="exact"/>
              <w:jc w:val="center"/>
              <w:textAlignment w:val="auto"/>
              <w:outlineLvl w:val="9"/>
              <w:rPr>
                <w:rFonts w:hint="default"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eastAsia="zh-CN"/>
              </w:rPr>
              <w:t>主持审计部工作</w:t>
            </w:r>
          </w:p>
        </w:tc>
      </w:tr>
    </w:tbl>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eastAsia="仿宋_GB2312" w:cs="宋体" w:hAnsiTheme="minorEastAsia"/>
          <w:b/>
          <w:bCs/>
          <w:color w:val="auto"/>
          <w:kern w:val="0"/>
          <w:sz w:val="32"/>
          <w:szCs w:val="32"/>
          <w:lang w:eastAsia="zh-CN"/>
        </w:rPr>
      </w:pPr>
      <w:r>
        <w:rPr>
          <w:rFonts w:hint="eastAsia" w:ascii="仿宋_GB2312" w:eastAsia="仿宋_GB2312" w:cs="宋体" w:hAnsiTheme="minorEastAsia"/>
          <w:b/>
          <w:bCs/>
          <w:color w:val="auto"/>
          <w:kern w:val="0"/>
          <w:sz w:val="32"/>
          <w:szCs w:val="32"/>
          <w:lang w:eastAsia="zh-CN"/>
        </w:rPr>
        <w:t>高级管理人员简历：</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eastAsia="zh-CN"/>
        </w:rPr>
        <w:t>（</w:t>
      </w:r>
      <w:r>
        <w:rPr>
          <w:rFonts w:hint="eastAsia" w:ascii="仿宋_GB2312" w:eastAsia="仿宋_GB2312" w:cs="宋体" w:hAnsiTheme="minorEastAsia"/>
          <w:b w:val="0"/>
          <w:bCs w:val="0"/>
          <w:color w:val="auto"/>
          <w:kern w:val="0"/>
          <w:sz w:val="32"/>
          <w:szCs w:val="32"/>
          <w:lang w:val="en-US" w:eastAsia="zh-CN"/>
        </w:rPr>
        <w:t>1）彭余国，男，1977年5月出生，江西大余人，中共党员，2005年4月参加工作，现任大余农商银行党委委员、行长、董事。</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hint="default"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（2）刘承斌，男，1986年10月出生，江西大余人，中共党员，2008年7月参加工作，现任大余农商银行党委委员、副行长。</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hint="default"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（3）王红生，男，1984年2月出生，江西于都人，中共党员，2012年9月参加工作，现任大余农商银行党委委员、副行长。</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b/>
          <w:bCs/>
          <w:color w:val="auto"/>
          <w:kern w:val="0"/>
          <w:sz w:val="32"/>
          <w:szCs w:val="32"/>
        </w:rPr>
      </w:pPr>
      <w:r>
        <w:rPr>
          <w:rFonts w:hint="eastAsia" w:ascii="仿宋_GB2312" w:eastAsia="仿宋_GB2312" w:cs="宋体" w:hAnsiTheme="minorEastAsia"/>
          <w:b w:val="0"/>
          <w:bCs w:val="0"/>
          <w:color w:val="auto"/>
          <w:kern w:val="0"/>
          <w:sz w:val="32"/>
          <w:szCs w:val="32"/>
          <w:lang w:val="en-US" w:eastAsia="zh-CN"/>
        </w:rPr>
        <w:t>（4）钟文翔，男，1990年1月出生，江西南康人，中共党员，2013年8月参加工作，现任大余农商银行董事会秘书。</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（5）张丽华，女，1977年12月出生，江西大余人，群众，1997年3月参加工作，现任大余农商银行财务会计部总经理。</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b w:val="0"/>
          <w:bCs w:val="0"/>
          <w:color w:val="auto"/>
          <w:kern w:val="0"/>
          <w:sz w:val="32"/>
          <w:szCs w:val="32"/>
          <w:highlight w:val="yellow"/>
          <w:lang w:val="en-US" w:eastAsia="zh-CN"/>
        </w:rPr>
      </w:pPr>
      <w:r>
        <w:rPr>
          <w:rFonts w:hint="eastAsia" w:ascii="仿宋_GB2312" w:eastAsia="仿宋_GB2312" w:cs="宋体" w:hAnsiTheme="minorEastAsia"/>
          <w:b w:val="0"/>
          <w:bCs w:val="0"/>
          <w:color w:val="auto"/>
          <w:kern w:val="0"/>
          <w:sz w:val="32"/>
          <w:szCs w:val="32"/>
          <w:highlight w:val="none"/>
          <w:lang w:val="en-US" w:eastAsia="zh-CN"/>
        </w:rPr>
        <w:t>（6）王彩鑫，男，1978年4月出生，江西大余人，群众，2005年4月参加工作，现任大余农商银行法律合规部总经理。</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b w:val="0"/>
          <w:bCs w:val="0"/>
          <w:color w:val="auto"/>
          <w:kern w:val="0"/>
          <w:sz w:val="32"/>
          <w:szCs w:val="32"/>
          <w:lang w:val="en-US" w:eastAsia="zh-CN"/>
        </w:rPr>
      </w:pPr>
      <w:r>
        <w:rPr>
          <w:rFonts w:hint="eastAsia" w:ascii="仿宋_GB2312" w:eastAsia="仿宋_GB2312" w:cs="宋体" w:hAnsiTheme="minorEastAsia"/>
          <w:b w:val="0"/>
          <w:bCs w:val="0"/>
          <w:color w:val="auto"/>
          <w:kern w:val="0"/>
          <w:sz w:val="32"/>
          <w:szCs w:val="32"/>
          <w:lang w:val="en-US" w:eastAsia="zh-CN"/>
        </w:rPr>
        <w:t>（7）俞敏，男，1984年6月出生，江西大余人，群众，2007年12月参加工作，现任大余农商银行审计部总经理。</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3.</w:t>
      </w:r>
      <w:r>
        <w:rPr>
          <w:rFonts w:hint="eastAsia" w:ascii="仿宋_GB2312" w:eastAsia="仿宋_GB2312" w:cs="宋体" w:hAnsiTheme="minorEastAsia"/>
          <w:b/>
          <w:bCs/>
          <w:color w:val="auto"/>
          <w:kern w:val="0"/>
          <w:sz w:val="32"/>
          <w:szCs w:val="32"/>
          <w:lang w:val="en-US" w:eastAsia="zh-CN"/>
        </w:rPr>
        <w:t>6</w:t>
      </w:r>
      <w:r>
        <w:rPr>
          <w:rFonts w:hint="eastAsia" w:ascii="仿宋_GB2312" w:eastAsia="仿宋_GB2312" w:cs="宋体" w:hAnsiTheme="minorEastAsia"/>
          <w:b/>
          <w:bCs/>
          <w:color w:val="auto"/>
          <w:kern w:val="0"/>
          <w:sz w:val="32"/>
          <w:szCs w:val="32"/>
        </w:rPr>
        <w:t>员工情况</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202</w:t>
      </w:r>
      <w:r>
        <w:rPr>
          <w:rFonts w:hint="eastAsia" w:ascii="仿宋_GB2312" w:eastAsia="仿宋_GB2312" w:cs="宋体" w:hAnsiTheme="minorEastAsia"/>
          <w:color w:val="auto"/>
          <w:kern w:val="0"/>
          <w:sz w:val="32"/>
          <w:szCs w:val="32"/>
          <w:lang w:val="en-US" w:eastAsia="zh-CN"/>
        </w:rPr>
        <w:t>5</w:t>
      </w:r>
      <w:r>
        <w:rPr>
          <w:rFonts w:hint="eastAsia" w:ascii="仿宋_GB2312" w:eastAsia="仿宋_GB2312" w:cs="宋体" w:hAnsiTheme="minorEastAsia"/>
          <w:color w:val="auto"/>
          <w:kern w:val="0"/>
          <w:sz w:val="32"/>
          <w:szCs w:val="32"/>
        </w:rPr>
        <w:t>年末，员工总数</w:t>
      </w:r>
      <w:r>
        <w:rPr>
          <w:rFonts w:hint="eastAsia" w:ascii="仿宋_GB2312" w:eastAsia="仿宋_GB2312" w:cs="宋体" w:hAnsiTheme="minorEastAsia"/>
          <w:color w:val="auto"/>
          <w:kern w:val="0"/>
          <w:sz w:val="32"/>
          <w:szCs w:val="32"/>
          <w:lang w:val="en-US" w:eastAsia="zh-CN"/>
        </w:rPr>
        <w:t>173</w:t>
      </w:r>
      <w:r>
        <w:rPr>
          <w:rFonts w:hint="eastAsia" w:ascii="仿宋_GB2312" w:eastAsia="仿宋_GB2312" w:cs="宋体" w:hAnsiTheme="minorEastAsia"/>
          <w:color w:val="auto"/>
          <w:kern w:val="0"/>
          <w:sz w:val="32"/>
          <w:szCs w:val="32"/>
        </w:rPr>
        <w:t>人（不含退休员工</w:t>
      </w:r>
      <w:r>
        <w:rPr>
          <w:rFonts w:hint="eastAsia" w:ascii="仿宋_GB2312" w:eastAsia="仿宋_GB2312" w:cs="宋体" w:hAnsiTheme="minorEastAsia"/>
          <w:color w:val="auto"/>
          <w:kern w:val="0"/>
          <w:sz w:val="32"/>
          <w:szCs w:val="32"/>
          <w:highlight w:val="none"/>
          <w:lang w:val="en-US" w:eastAsia="zh-CN"/>
        </w:rPr>
        <w:t>93</w:t>
      </w:r>
      <w:r>
        <w:rPr>
          <w:rFonts w:hint="eastAsia" w:ascii="仿宋_GB2312" w:eastAsia="仿宋_GB2312" w:cs="宋体" w:hAnsiTheme="minorEastAsia"/>
          <w:color w:val="auto"/>
          <w:kern w:val="0"/>
          <w:sz w:val="32"/>
          <w:szCs w:val="32"/>
        </w:rPr>
        <w:t>人），其中在岗员工</w:t>
      </w:r>
      <w:r>
        <w:rPr>
          <w:rFonts w:ascii="仿宋_GB2312" w:eastAsia="仿宋_GB2312" w:cs="宋体" w:hAnsiTheme="minorEastAsia"/>
          <w:color w:val="auto"/>
          <w:kern w:val="0"/>
          <w:sz w:val="32"/>
          <w:szCs w:val="32"/>
        </w:rPr>
        <w:t>1</w:t>
      </w:r>
      <w:r>
        <w:rPr>
          <w:rFonts w:hint="eastAsia" w:ascii="仿宋_GB2312" w:eastAsia="仿宋_GB2312" w:cs="宋体" w:hAnsiTheme="minorEastAsia"/>
          <w:color w:val="auto"/>
          <w:kern w:val="0"/>
          <w:sz w:val="32"/>
          <w:szCs w:val="32"/>
          <w:lang w:val="en-US" w:eastAsia="zh-CN"/>
        </w:rPr>
        <w:t>69人</w:t>
      </w:r>
      <w:r>
        <w:rPr>
          <w:rFonts w:hint="eastAsia" w:ascii="仿宋_GB2312" w:eastAsia="仿宋_GB2312" w:cs="宋体" w:hAnsiTheme="minorEastAsia"/>
          <w:color w:val="auto"/>
          <w:kern w:val="0"/>
          <w:sz w:val="32"/>
          <w:szCs w:val="32"/>
        </w:rPr>
        <w:t>、内退员工</w:t>
      </w:r>
      <w:r>
        <w:rPr>
          <w:rFonts w:hint="eastAsia" w:ascii="仿宋_GB2312" w:eastAsia="仿宋_GB2312" w:cs="宋体" w:hAnsiTheme="minorEastAsia"/>
          <w:color w:val="auto"/>
          <w:kern w:val="0"/>
          <w:sz w:val="32"/>
          <w:szCs w:val="32"/>
          <w:lang w:val="en-US" w:eastAsia="zh-CN"/>
        </w:rPr>
        <w:t>4</w:t>
      </w:r>
      <w:r>
        <w:rPr>
          <w:rFonts w:hint="eastAsia" w:ascii="仿宋_GB2312" w:eastAsia="仿宋_GB2312" w:cs="宋体" w:hAnsiTheme="minorEastAsia"/>
          <w:color w:val="auto"/>
          <w:kern w:val="0"/>
          <w:sz w:val="32"/>
          <w:szCs w:val="32"/>
        </w:rPr>
        <w:t>人</w:t>
      </w:r>
      <w:r>
        <w:rPr>
          <w:rFonts w:hint="eastAsia" w:ascii="仿宋_GB2312" w:eastAsia="仿宋_GB2312" w:cs="宋体" w:hAnsiTheme="minorEastAsia"/>
          <w:color w:val="auto"/>
          <w:kern w:val="0"/>
          <w:sz w:val="32"/>
          <w:szCs w:val="32"/>
          <w:lang w:eastAsia="zh-CN"/>
        </w:rPr>
        <w:t>；</w:t>
      </w:r>
      <w:r>
        <w:rPr>
          <w:rFonts w:hint="eastAsia" w:ascii="仿宋_GB2312" w:eastAsia="仿宋_GB2312" w:cs="宋体" w:hAnsiTheme="minorEastAsia"/>
          <w:color w:val="auto"/>
          <w:kern w:val="0"/>
          <w:sz w:val="32"/>
          <w:szCs w:val="32"/>
        </w:rPr>
        <w:t>另</w:t>
      </w:r>
      <w:r>
        <w:rPr>
          <w:rFonts w:hint="eastAsia" w:ascii="仿宋_GB2312" w:eastAsia="仿宋_GB2312" w:cs="宋体" w:hAnsiTheme="minorEastAsia"/>
          <w:color w:val="auto"/>
          <w:kern w:val="0"/>
          <w:sz w:val="32"/>
          <w:szCs w:val="32"/>
          <w:lang w:eastAsia="zh-CN"/>
        </w:rPr>
        <w:t>有</w:t>
      </w:r>
      <w:r>
        <w:rPr>
          <w:rFonts w:hint="eastAsia" w:ascii="仿宋_GB2312" w:eastAsia="仿宋_GB2312" w:cs="宋体" w:hAnsiTheme="minorEastAsia"/>
          <w:color w:val="auto"/>
          <w:kern w:val="0"/>
          <w:sz w:val="32"/>
          <w:szCs w:val="32"/>
        </w:rPr>
        <w:t>劳务派遣人员</w:t>
      </w:r>
      <w:r>
        <w:rPr>
          <w:rFonts w:ascii="仿宋_GB2312" w:eastAsia="仿宋_GB2312" w:cs="宋体" w:hAnsiTheme="minorEastAsia"/>
          <w:color w:val="auto"/>
          <w:kern w:val="0"/>
          <w:sz w:val="32"/>
          <w:szCs w:val="32"/>
        </w:rPr>
        <w:t>7</w:t>
      </w:r>
      <w:r>
        <w:rPr>
          <w:rFonts w:hint="eastAsia" w:ascii="仿宋_GB2312" w:eastAsia="仿宋_GB2312" w:cs="宋体" w:hAnsiTheme="minorEastAsia"/>
          <w:color w:val="auto"/>
          <w:kern w:val="0"/>
          <w:sz w:val="32"/>
          <w:szCs w:val="32"/>
        </w:rPr>
        <w:t>人。</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hint="eastAsia" w:ascii="黑体" w:hAnsi="黑体" w:eastAsia="黑体" w:cs="黑体"/>
          <w:b w:val="0"/>
          <w:bCs/>
          <w:color w:val="auto"/>
          <w:kern w:val="0"/>
          <w:sz w:val="32"/>
          <w:szCs w:val="32"/>
          <w:lang w:eastAsia="zh-CN"/>
        </w:rPr>
      </w:pPr>
      <w:r>
        <w:rPr>
          <w:rFonts w:hint="eastAsia" w:ascii="黑体" w:hAnsi="黑体" w:eastAsia="黑体" w:cs="黑体"/>
          <w:b w:val="0"/>
          <w:bCs/>
          <w:color w:val="auto"/>
          <w:kern w:val="0"/>
          <w:sz w:val="32"/>
          <w:szCs w:val="32"/>
        </w:rPr>
        <w:t>四、公司治理</w:t>
      </w:r>
      <w:r>
        <w:rPr>
          <w:rFonts w:hint="eastAsia" w:ascii="黑体" w:hAnsi="黑体" w:eastAsia="黑体" w:cs="黑体"/>
          <w:b w:val="0"/>
          <w:bCs/>
          <w:color w:val="auto"/>
          <w:kern w:val="0"/>
          <w:sz w:val="32"/>
          <w:szCs w:val="32"/>
          <w:lang w:eastAsia="zh-CN"/>
        </w:rPr>
        <w:t>情况</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4.1机构设置情况</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4.1.1股东会</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本行制定了《股东会议事规则》，严格按照《公司法》、《章程》及有关法规召集、召开股东会，实行律师见证制度，保证了股东依法行使权力。</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color w:val="auto"/>
          <w:kern w:val="0"/>
          <w:sz w:val="32"/>
          <w:szCs w:val="32"/>
          <w:lang w:val="en-US" w:eastAsia="zh-CN"/>
        </w:rPr>
      </w:pPr>
      <w:r>
        <w:rPr>
          <w:rFonts w:hint="eastAsia" w:ascii="仿宋_GB2312" w:eastAsia="仿宋_GB2312" w:cs="宋体" w:hAnsiTheme="minorEastAsia"/>
          <w:color w:val="auto"/>
          <w:kern w:val="0"/>
          <w:sz w:val="32"/>
          <w:szCs w:val="32"/>
          <w:lang w:eastAsia="zh-CN"/>
        </w:rPr>
        <w:t>本行股东会行使以下职权：</w:t>
      </w:r>
      <w:r>
        <w:rPr>
          <w:rFonts w:hint="eastAsia" w:ascii="仿宋_GB2312" w:eastAsia="仿宋_GB2312" w:cs="宋体" w:hAnsiTheme="minorEastAsia"/>
          <w:color w:val="auto"/>
          <w:kern w:val="0"/>
          <w:sz w:val="32"/>
          <w:szCs w:val="32"/>
          <w:lang w:val="en-US" w:eastAsia="zh-CN"/>
        </w:rPr>
        <w:t>选举和更换非由职工代表担任的董事、监事，决定有关董事、监事的报酬或津贴标准；审议批准董事会、监事会的报告；审议批准本行的利润分配方案和弥补亏损方案；对本行增加或者减少注册资本作出决议；对本行发行债券作出决议；对本行合并、分立、解散、清算或者变更本行形式作出决议；修改本行章程；对本行上市作出决议；审议批准股东会、董事会、监事会议事规则；审议批准股权激励计划方案；依照法律规定对收购本行股份作出决议；对聘用或解聘为本行财务报告进行定期法定审计的会计师事务所作出决议；审议任意连续十二个月内超过本行最近一期经审计总资产30%的资产购置、资产处置与核销、资产抵押等；审议法律法规、监管规定或本章程规定应当由股东会决定的其他事项。</w:t>
      </w:r>
    </w:p>
    <w:p>
      <w:pPr>
        <w:keepNext w:val="0"/>
        <w:keepLines w:val="0"/>
        <w:pageBreakBefore w:val="0"/>
        <w:widowControl/>
        <w:shd w:val="clear" w:color="auto" w:fill="FFFFFF"/>
        <w:tabs>
          <w:tab w:val="left" w:pos="630"/>
          <w:tab w:val="left" w:pos="3980"/>
        </w:tabs>
        <w:kinsoku/>
        <w:wordWrap/>
        <w:overflowPunct/>
        <w:topLinePunct w:val="0"/>
        <w:autoSpaceDE/>
        <w:autoSpaceDN/>
        <w:bidi w:val="0"/>
        <w:adjustRightInd/>
        <w:snapToGrid/>
        <w:spacing w:line="500" w:lineRule="exact"/>
        <w:ind w:firstLine="643" w:firstLineChars="200"/>
        <w:textAlignment w:val="auto"/>
        <w:outlineLvl w:val="9"/>
        <w:rPr>
          <w:rFonts w:hint="default" w:ascii="仿宋_GB2312" w:eastAsia="仿宋_GB2312" w:cs="宋体" w:hAnsiTheme="minorEastAsia"/>
          <w:color w:val="auto"/>
          <w:kern w:val="0"/>
          <w:sz w:val="32"/>
          <w:szCs w:val="32"/>
          <w:lang w:val="en-US"/>
        </w:rPr>
      </w:pPr>
      <w:r>
        <w:rPr>
          <w:rFonts w:hint="eastAsia" w:ascii="仿宋_GB2312" w:eastAsia="仿宋_GB2312" w:cs="宋体" w:hAnsiTheme="minorEastAsia"/>
          <w:b/>
          <w:bCs/>
          <w:color w:val="auto"/>
          <w:kern w:val="0"/>
          <w:sz w:val="32"/>
          <w:szCs w:val="32"/>
        </w:rPr>
        <w:t>4.1.2董事会</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hAnsiTheme="minorEastAsia"/>
          <w:color w:val="auto"/>
          <w:sz w:val="32"/>
          <w:szCs w:val="32"/>
          <w:highlight w:val="none"/>
        </w:rPr>
      </w:pPr>
      <w:r>
        <w:rPr>
          <w:rFonts w:hint="eastAsia" w:ascii="仿宋_GB2312" w:eastAsia="仿宋_GB2312" w:hAnsiTheme="minorEastAsia"/>
          <w:color w:val="auto"/>
          <w:sz w:val="32"/>
          <w:szCs w:val="32"/>
          <w:highlight w:val="none"/>
        </w:rPr>
        <w:t>董事会由</w:t>
      </w:r>
      <w:r>
        <w:rPr>
          <w:rFonts w:hint="eastAsia" w:ascii="仿宋_GB2312" w:eastAsia="仿宋_GB2312" w:hAnsiTheme="minorEastAsia"/>
          <w:color w:val="auto"/>
          <w:sz w:val="32"/>
          <w:szCs w:val="32"/>
          <w:highlight w:val="none"/>
          <w:lang w:val="en-US" w:eastAsia="zh-CN"/>
        </w:rPr>
        <w:t>6</w:t>
      </w:r>
      <w:r>
        <w:rPr>
          <w:rFonts w:hint="eastAsia" w:ascii="仿宋_GB2312" w:eastAsia="仿宋_GB2312" w:hAnsiTheme="minorEastAsia"/>
          <w:color w:val="auto"/>
          <w:sz w:val="32"/>
          <w:szCs w:val="32"/>
          <w:highlight w:val="none"/>
        </w:rPr>
        <w:t>名董事组成，其中</w:t>
      </w:r>
      <w:r>
        <w:rPr>
          <w:rFonts w:hint="eastAsia" w:ascii="仿宋_GB2312" w:eastAsia="仿宋_GB2312" w:hAnsiTheme="minorEastAsia"/>
          <w:color w:val="auto"/>
          <w:sz w:val="32"/>
          <w:szCs w:val="32"/>
          <w:highlight w:val="none"/>
          <w:lang w:eastAsia="zh-CN"/>
        </w:rPr>
        <w:t>本行执行董事</w:t>
      </w:r>
      <w:r>
        <w:rPr>
          <w:rFonts w:hint="eastAsia" w:ascii="仿宋_GB2312" w:eastAsia="仿宋_GB2312" w:hAnsiTheme="minorEastAsia"/>
          <w:color w:val="auto"/>
          <w:sz w:val="32"/>
          <w:szCs w:val="32"/>
          <w:highlight w:val="none"/>
          <w:lang w:val="en-US" w:eastAsia="zh-CN"/>
        </w:rPr>
        <w:t>2人、</w:t>
      </w:r>
      <w:r>
        <w:rPr>
          <w:rFonts w:hint="eastAsia" w:ascii="仿宋_GB2312" w:eastAsia="仿宋_GB2312" w:hAnsiTheme="minorEastAsia"/>
          <w:color w:val="auto"/>
          <w:sz w:val="32"/>
          <w:szCs w:val="32"/>
          <w:highlight w:val="none"/>
        </w:rPr>
        <w:t>非</w:t>
      </w:r>
      <w:r>
        <w:rPr>
          <w:rFonts w:hint="eastAsia" w:ascii="仿宋_GB2312" w:eastAsia="仿宋_GB2312" w:hAnsiTheme="minorEastAsia"/>
          <w:color w:val="auto"/>
          <w:sz w:val="32"/>
          <w:szCs w:val="32"/>
          <w:highlight w:val="none"/>
          <w:lang w:eastAsia="zh-CN"/>
        </w:rPr>
        <w:t>执行</w:t>
      </w:r>
      <w:r>
        <w:rPr>
          <w:rFonts w:hint="eastAsia" w:ascii="仿宋_GB2312" w:eastAsia="仿宋_GB2312" w:hAnsiTheme="minorEastAsia"/>
          <w:color w:val="auto"/>
          <w:sz w:val="32"/>
          <w:szCs w:val="32"/>
          <w:highlight w:val="none"/>
        </w:rPr>
        <w:t>董事</w:t>
      </w:r>
      <w:r>
        <w:rPr>
          <w:rFonts w:hint="eastAsia" w:ascii="仿宋_GB2312" w:eastAsia="仿宋_GB2312" w:hAnsiTheme="minorEastAsia"/>
          <w:color w:val="auto"/>
          <w:sz w:val="32"/>
          <w:szCs w:val="32"/>
          <w:highlight w:val="none"/>
          <w:lang w:val="en-US" w:eastAsia="zh-CN"/>
        </w:rPr>
        <w:t>4</w:t>
      </w:r>
      <w:r>
        <w:rPr>
          <w:rFonts w:hint="eastAsia" w:ascii="仿宋_GB2312" w:eastAsia="仿宋_GB2312" w:hAnsiTheme="minorEastAsia"/>
          <w:color w:val="auto"/>
          <w:sz w:val="32"/>
          <w:szCs w:val="32"/>
          <w:highlight w:val="none"/>
        </w:rPr>
        <w:t>人（含独立董事</w:t>
      </w:r>
      <w:r>
        <w:rPr>
          <w:rFonts w:hint="eastAsia" w:ascii="仿宋_GB2312" w:eastAsia="仿宋_GB2312" w:hAnsiTheme="minorEastAsia"/>
          <w:color w:val="auto"/>
          <w:sz w:val="32"/>
          <w:szCs w:val="32"/>
          <w:highlight w:val="none"/>
          <w:lang w:val="en-US" w:eastAsia="zh-CN"/>
        </w:rPr>
        <w:t>3</w:t>
      </w:r>
      <w:r>
        <w:rPr>
          <w:rFonts w:hint="eastAsia" w:ascii="仿宋_GB2312" w:eastAsia="仿宋_GB2312" w:hAnsiTheme="minorEastAsia"/>
          <w:color w:val="auto"/>
          <w:sz w:val="32"/>
          <w:szCs w:val="32"/>
          <w:highlight w:val="none"/>
        </w:rPr>
        <w:t>人）。董事会下设</w:t>
      </w:r>
      <w:r>
        <w:rPr>
          <w:rFonts w:hint="eastAsia" w:ascii="仿宋_GB2312" w:eastAsia="仿宋_GB2312" w:hAnsiTheme="minorEastAsia"/>
          <w:color w:val="auto"/>
          <w:sz w:val="32"/>
          <w:szCs w:val="32"/>
          <w:highlight w:val="none"/>
          <w:lang w:val="en-US" w:eastAsia="zh-CN"/>
        </w:rPr>
        <w:t>8</w:t>
      </w:r>
      <w:r>
        <w:rPr>
          <w:rFonts w:hint="eastAsia" w:ascii="仿宋_GB2312" w:eastAsia="仿宋_GB2312" w:hAnsiTheme="minorEastAsia"/>
          <w:color w:val="auto"/>
          <w:sz w:val="32"/>
          <w:szCs w:val="32"/>
          <w:highlight w:val="none"/>
        </w:rPr>
        <w:t>个专门委员会，即：战略委员会、提名与薪酬委员会、审计委员会、风险管理委员会、关联交易委员会、三农</w:t>
      </w:r>
      <w:r>
        <w:rPr>
          <w:rFonts w:hint="eastAsia" w:ascii="仿宋_GB2312" w:eastAsia="仿宋_GB2312" w:hAnsiTheme="minorEastAsia"/>
          <w:color w:val="auto"/>
          <w:sz w:val="32"/>
          <w:szCs w:val="32"/>
          <w:highlight w:val="none"/>
          <w:lang w:eastAsia="zh-CN"/>
        </w:rPr>
        <w:t>（普惠）</w:t>
      </w:r>
      <w:r>
        <w:rPr>
          <w:rFonts w:hint="eastAsia" w:ascii="仿宋_GB2312" w:eastAsia="仿宋_GB2312" w:hAnsiTheme="minorEastAsia"/>
          <w:color w:val="auto"/>
          <w:sz w:val="32"/>
          <w:szCs w:val="32"/>
          <w:highlight w:val="none"/>
        </w:rPr>
        <w:t>委员会、消费者权益保护委员会和信息科技委员会。</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hAnsiTheme="minorEastAsia"/>
          <w:color w:val="auto"/>
          <w:sz w:val="32"/>
          <w:szCs w:val="32"/>
          <w:highlight w:val="none"/>
          <w:lang w:eastAsia="zh-CN"/>
        </w:rPr>
      </w:pPr>
      <w:r>
        <w:rPr>
          <w:rFonts w:hint="eastAsia" w:ascii="仿宋_GB2312" w:eastAsia="仿宋_GB2312" w:cs="宋体" w:hAnsiTheme="minorEastAsia"/>
          <w:color w:val="auto"/>
          <w:kern w:val="0"/>
          <w:sz w:val="32"/>
          <w:szCs w:val="32"/>
          <w:lang w:eastAsia="zh-CN"/>
        </w:rPr>
        <w:t>本行董事会行使以下职权：</w:t>
      </w:r>
      <w:r>
        <w:rPr>
          <w:rFonts w:hint="eastAsia" w:ascii="仿宋_GB2312" w:eastAsia="仿宋_GB2312" w:hAnsiTheme="minorEastAsia"/>
          <w:color w:val="auto"/>
          <w:sz w:val="32"/>
          <w:szCs w:val="32"/>
          <w:highlight w:val="none"/>
        </w:rPr>
        <w:t>负责召集股东会会议，并向大会报告工作；执行股东会的决议；确定本行的经营发展战略并监督战略的实施，决定本行的经营计划和投资方案，制定支农支小发展战略；制订本行的利润分配方案（将主要股东以书面形式向本行作出在必要时向本行补充资本的长期承诺作为需要考虑的主要因素）和弥补亏损方案；制订本行增加或者减少注册资本、发行债券或者其他证券及上市的方案，制定资本规划（包含主要股东以书面形式向本行作出在必要时向本行补充资本的长期承诺的内容），承担资本或偿付能力管理最终责任；制订本行重大收购、收购本行股份或者合并、分立、解散、清算和变更公司形式的方案；依照法律法规、监管规定及本行章程，审议批准对外投资、资产购置、资产处置与核销、资产抵押、关联交易、数据治理等事项；决定本行内部管理机构及非法人分支机构的设置；聘任或者解聘本行行长、董事会秘书；根据行长的提名，聘任或者解聘本行副行长、内审部门负责人、财务部门负责人、合规部门负责人；制定本行的风险容忍度、风险管理和内部控制政策；董事会对本行全面风险管理承担最终责任；制订本行章程的修改方案，制订涉及全体股东利益的重大制度、基本制度、股东会议事规则、董事会议事规则、董事薪酬制度；审议并批准不涉及全体股东利益的重大制度、基本制度以及董事会专门委员、董事长办公会议事规则、行长办公会议事规则；制定高级管理层履职问责制度；审议或批准对经营活动有重要影响的具体制度,以及其他须由董事会审议或批准的制度。负责本行的信息披露，并对本行的会计和财务报告的真实性、准确性、完整性和及时性承担最终责任；提请股东会聘用或者解聘为本行财务报告进行定期法定审计的会计师事务所；听取本行行长的工作汇报并检查行长的工作；听取关于监管部门对本行的监管意见及整改情况；向股东会报告董事会对董事包括独立董事的履职评价结果；制订本行董事年度薪酬、津贴方案，报经股东会审议批准；按照监管规定，聘任或者解聘高级管理人员，并决定其报酬、奖惩事项，监督本行高级管理层履行职责；制订股权激励方案；定期评估并完善本行公司治理；维护金融消费者和其他利益相关者合法权益；建立本行与股东特别是主要股东之间利益冲突的识别、审查和管理机制；承担股东事务的管理责任；法律、法规或本行章程规定，以及股东会授予或者监管部门要求董事会行使的其他职权</w:t>
      </w:r>
      <w:r>
        <w:rPr>
          <w:rFonts w:hint="eastAsia" w:ascii="仿宋_GB2312" w:eastAsia="仿宋_GB2312" w:hAnsiTheme="minorEastAsia"/>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default" w:ascii="仿宋_GB2312" w:eastAsia="仿宋_GB2312" w:hAnsiTheme="minorEastAsia"/>
          <w:color w:val="auto"/>
          <w:sz w:val="32"/>
          <w:szCs w:val="32"/>
          <w:highlight w:val="none"/>
          <w:lang w:val="en-US" w:eastAsia="zh-CN"/>
        </w:rPr>
      </w:pPr>
      <w:r>
        <w:rPr>
          <w:rFonts w:hint="eastAsia" w:ascii="仿宋_GB2312" w:eastAsia="仿宋_GB2312" w:hAnsiTheme="minorEastAsia"/>
          <w:color w:val="auto"/>
          <w:sz w:val="32"/>
          <w:szCs w:val="32"/>
          <w:highlight w:val="none"/>
        </w:rPr>
        <w:t>董事会及其专门委员会勤勉履职，按要求召开会议，认真研究审议决策事项。</w:t>
      </w:r>
      <w:r>
        <w:rPr>
          <w:rFonts w:hint="eastAsia" w:ascii="仿宋_GB2312" w:eastAsia="仿宋_GB2312" w:hAnsiTheme="minorEastAsia"/>
          <w:color w:val="auto"/>
          <w:sz w:val="32"/>
          <w:szCs w:val="32"/>
          <w:highlight w:val="none"/>
          <w:lang w:eastAsia="zh-CN"/>
        </w:rPr>
        <w:t>报告期内，共召开专门委员会会议</w:t>
      </w:r>
      <w:r>
        <w:rPr>
          <w:rFonts w:hint="eastAsia" w:ascii="仿宋_GB2312" w:eastAsia="仿宋_GB2312" w:hAnsiTheme="minorEastAsia"/>
          <w:color w:val="auto"/>
          <w:sz w:val="32"/>
          <w:szCs w:val="32"/>
          <w:highlight w:val="none"/>
          <w:lang w:val="en-US" w:eastAsia="zh-CN"/>
        </w:rPr>
        <w:t>23次，其中战略委员会会议1次、提名薪酬委员会会议4次、消费者权益保护委员会会议2次、审计委员会会议5次、三农（普惠）委员会会议1次、关联交易控制委员会会议6次、风险管理委员会会议3次、信息科技委员会会议1次。审议并表决《大余农商银行2024年度信息披露报告（草案）》《大余农商银行反洗钱和反恐怖融资内部审计实施细则（试行）》《大余农商银行重大关联交易信息披露报告》《大余农商银行2025年三季度关联交易名单、关联交易管理情况》等21项议案。</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textAlignment w:val="auto"/>
        <w:rPr>
          <w:rFonts w:hint="eastAsia" w:ascii="仿宋_GB2312" w:eastAsia="仿宋_GB2312" w:cs="宋体" w:hAnsiTheme="minorEastAsia"/>
          <w:color w:val="auto"/>
          <w:kern w:val="0"/>
          <w:sz w:val="32"/>
          <w:szCs w:val="32"/>
          <w:lang w:eastAsia="zh-CN"/>
        </w:rPr>
      </w:pPr>
      <w:r>
        <w:rPr>
          <w:rFonts w:hint="eastAsia" w:ascii="仿宋_GB2312" w:eastAsia="仿宋_GB2312" w:cs="宋体" w:hAnsiTheme="minorEastAsia"/>
          <w:b/>
          <w:bCs/>
          <w:color w:val="auto"/>
          <w:kern w:val="0"/>
          <w:sz w:val="32"/>
          <w:szCs w:val="32"/>
        </w:rPr>
        <w:t>4.1.3监事会</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hAnsiTheme="minorEastAsia"/>
          <w:color w:val="auto"/>
          <w:sz w:val="32"/>
          <w:szCs w:val="32"/>
          <w:lang w:eastAsia="zh-CN"/>
        </w:rPr>
      </w:pPr>
      <w:r>
        <w:rPr>
          <w:rFonts w:hint="eastAsia" w:ascii="仿宋_GB2312" w:eastAsia="仿宋_GB2312" w:hAnsiTheme="minorEastAsia"/>
          <w:color w:val="auto"/>
          <w:sz w:val="32"/>
          <w:szCs w:val="32"/>
        </w:rPr>
        <w:t>监事会由5名监事组成，其中</w:t>
      </w:r>
      <w:r>
        <w:rPr>
          <w:rFonts w:hint="eastAsia" w:ascii="仿宋_GB2312" w:eastAsia="仿宋_GB2312" w:hAnsiTheme="minorEastAsia"/>
          <w:color w:val="auto"/>
          <w:sz w:val="32"/>
          <w:szCs w:val="32"/>
          <w:lang w:eastAsia="zh-CN"/>
        </w:rPr>
        <w:t>职工监事</w:t>
      </w:r>
      <w:r>
        <w:rPr>
          <w:rFonts w:hint="eastAsia" w:ascii="仿宋_GB2312" w:eastAsia="仿宋_GB2312" w:hAnsiTheme="minorEastAsia"/>
          <w:color w:val="auto"/>
          <w:sz w:val="32"/>
          <w:szCs w:val="32"/>
          <w:lang w:val="en-US" w:eastAsia="zh-CN"/>
        </w:rPr>
        <w:t>3人、</w:t>
      </w:r>
      <w:r>
        <w:rPr>
          <w:rFonts w:hint="eastAsia" w:ascii="仿宋_GB2312" w:eastAsia="仿宋_GB2312" w:hAnsiTheme="minorEastAsia"/>
          <w:color w:val="auto"/>
          <w:sz w:val="32"/>
          <w:szCs w:val="32"/>
        </w:rPr>
        <w:t>非</w:t>
      </w:r>
      <w:r>
        <w:rPr>
          <w:rFonts w:hint="eastAsia" w:ascii="仿宋_GB2312" w:eastAsia="仿宋_GB2312" w:hAnsiTheme="minorEastAsia"/>
          <w:color w:val="auto"/>
          <w:sz w:val="32"/>
          <w:szCs w:val="32"/>
          <w:lang w:eastAsia="zh-CN"/>
        </w:rPr>
        <w:t>职</w:t>
      </w:r>
      <w:r>
        <w:rPr>
          <w:rFonts w:hint="eastAsia" w:ascii="仿宋_GB2312" w:eastAsia="仿宋_GB2312" w:hAnsiTheme="minorEastAsia"/>
          <w:color w:val="auto"/>
          <w:sz w:val="32"/>
          <w:szCs w:val="32"/>
        </w:rPr>
        <w:t>工监事2人</w:t>
      </w:r>
      <w:r>
        <w:rPr>
          <w:rFonts w:hint="eastAsia" w:ascii="仿宋_GB2312" w:eastAsia="仿宋_GB2312" w:hAnsiTheme="minorEastAsia"/>
          <w:color w:val="auto"/>
          <w:sz w:val="32"/>
          <w:szCs w:val="32"/>
          <w:lang w:eastAsia="zh-CN"/>
        </w:rPr>
        <w:t>。</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hAnsiTheme="minorEastAsia"/>
          <w:color w:val="auto"/>
          <w:sz w:val="32"/>
          <w:szCs w:val="32"/>
          <w:lang w:eastAsia="zh-CN"/>
        </w:rPr>
      </w:pPr>
      <w:r>
        <w:rPr>
          <w:rFonts w:hint="eastAsia" w:ascii="仿宋_GB2312" w:eastAsia="仿宋_GB2312" w:hAnsiTheme="minorEastAsia"/>
          <w:color w:val="auto"/>
          <w:sz w:val="32"/>
          <w:szCs w:val="32"/>
          <w:lang w:eastAsia="zh-CN"/>
        </w:rPr>
        <w:t>本行监事会行使以下职权：监督董事会、高级管理人员履行职责情况，监督董事会确立稳健的经营理念、价值准则和制定符合公司情况的发展战略；要求董事、董事长及高级管理人员纠正其损害本行利益的行为；对董事的选聘程序进行监督，对董事和高级管理人员进行专项审计和离任审计；对董事、董事长及高级管理人员进行质询；检查监督本行的财务活动；对本行的经营决策、风险管理和内部控制等进行监督检查并督促整改；对本行发展战略的科学性、合理性和稳健性进行评估，形成评估报告；对本行薪酬管理制度实施情况及高级管理人员薪酬方案的科学性、合理性进行监督；制订监事会议事规则、监事薪酬制度；制定董事、监事及高级管理层履职评价制度；审议并批准监事会专门委员会议事规则；监督制度的制定与完善；监督制度的实施；监督其他制度管理情况；提议召开临时股东会；其他法律、法规、规章及本章程规定应当由监事会行使的职权。</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hAnsiTheme="minorEastAsia"/>
          <w:color w:val="auto"/>
          <w:sz w:val="32"/>
          <w:szCs w:val="32"/>
          <w:highlight w:val="none"/>
          <w:lang w:val="en-US" w:eastAsia="zh-CN"/>
        </w:rPr>
      </w:pPr>
      <w:r>
        <w:rPr>
          <w:rFonts w:hint="eastAsia" w:ascii="仿宋_GB2312" w:eastAsia="仿宋_GB2312" w:hAnsiTheme="minorEastAsia"/>
          <w:color w:val="auto"/>
          <w:sz w:val="32"/>
          <w:szCs w:val="32"/>
          <w:highlight w:val="none"/>
        </w:rPr>
        <w:t>监事会能积极参政议政，认真履职，有效发挥了长效监督职能,从源头上成功防范了风险。</w:t>
      </w:r>
      <w:r>
        <w:rPr>
          <w:rFonts w:hint="eastAsia" w:ascii="仿宋_GB2312" w:eastAsia="仿宋_GB2312" w:hAnsiTheme="minorEastAsia"/>
          <w:color w:val="auto"/>
          <w:sz w:val="32"/>
          <w:szCs w:val="32"/>
          <w:highlight w:val="none"/>
          <w:lang w:val="en-US" w:eastAsia="zh-CN"/>
        </w:rPr>
        <w:t>2025年召开监事会会议6次，其中以线上方式召开0次、现场召开6次，审议和听取议案27个，表决通过了《大余农商银行2024年全面风险管理工作报告》、《大余农商银行2024年流动性风险管理情况报告》、《大余农商银行2025年度资本规划报告》、《大余农商银行2024年度利润分配方案》等27个议案，形成6次会议决议；组织监事学习《商业银行公司治理指引》、《监管检查通报》等。</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default" w:ascii="仿宋_GB2312" w:eastAsia="仿宋_GB2312" w:hAnsiTheme="minorEastAsia"/>
          <w:color w:val="auto"/>
          <w:sz w:val="32"/>
          <w:szCs w:val="32"/>
          <w:highlight w:val="none"/>
          <w:lang w:val="en-US" w:eastAsia="zh-CN"/>
        </w:rPr>
      </w:pPr>
      <w:r>
        <w:rPr>
          <w:rFonts w:hint="eastAsia" w:ascii="仿宋_GB2312" w:eastAsia="仿宋_GB2312" w:hAnsiTheme="minorEastAsia"/>
          <w:color w:val="auto"/>
          <w:sz w:val="32"/>
          <w:szCs w:val="32"/>
          <w:highlight w:val="none"/>
          <w:lang w:val="en-US" w:eastAsia="zh-CN"/>
        </w:rPr>
        <w:t>监事会下设监督委员会、提名委员会共2个专门委员会。2025年召开监督委员会会议2次,审议并表决《大余农商银行2024年度财务会计报表审计报告》、《关于对董事会、监事会及高级管理层以及成员2024年度履职情况的评价意见》、《大余农商银行2024年度财务决算及2025年度财务预算报告》、《大余农商银行2024年度利润分配方案》等议案。召开提名委员会会议1次，对监事任职资格和条件进行审查。</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textAlignment w:val="auto"/>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4.1.4高级管理层</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本行高级管理层由总行行长、副行长及监管部门认定的其他高级管理人员组成。高级管理层严格执行股东会、董事会决议，认真执行年度预算，圆满完成年度经营目标。</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textAlignment w:val="auto"/>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4.1.5部门及分支机构情况</w:t>
      </w:r>
    </w:p>
    <w:p>
      <w:pPr>
        <w:keepNext w:val="0"/>
        <w:keepLines w:val="0"/>
        <w:pageBreakBefore w:val="0"/>
        <w:tabs>
          <w:tab w:val="left" w:pos="360"/>
        </w:tabs>
        <w:kinsoku/>
        <w:wordWrap/>
        <w:overflowPunct/>
        <w:topLinePunct w:val="0"/>
        <w:autoSpaceDE/>
        <w:autoSpaceDN/>
        <w:bidi w:val="0"/>
        <w:adjustRightInd/>
        <w:snapToGrid/>
        <w:spacing w:line="500" w:lineRule="exact"/>
        <w:ind w:firstLine="627" w:firstLineChars="196"/>
        <w:jc w:val="left"/>
        <w:textAlignment w:val="auto"/>
        <w:rPr>
          <w:rFonts w:ascii="仿宋_GB2312" w:eastAsia="仿宋_GB2312" w:hAnsiTheme="minorEastAsia"/>
          <w:color w:val="auto"/>
          <w:sz w:val="32"/>
          <w:szCs w:val="32"/>
        </w:rPr>
      </w:pPr>
      <w:r>
        <w:rPr>
          <w:rFonts w:hint="eastAsia" w:ascii="仿宋_GB2312" w:eastAsia="仿宋_GB2312" w:hAnsiTheme="minorEastAsia"/>
          <w:color w:val="auto"/>
          <w:sz w:val="32"/>
          <w:szCs w:val="32"/>
        </w:rPr>
        <w:t>本行内设机构有办公室、财务会计部、人力资源部、信贷管理部、</w:t>
      </w:r>
      <w:r>
        <w:rPr>
          <w:rFonts w:hint="eastAsia" w:ascii="仿宋_GB2312" w:eastAsia="仿宋_GB2312" w:hAnsiTheme="minorEastAsia"/>
          <w:color w:val="auto"/>
          <w:sz w:val="32"/>
          <w:szCs w:val="32"/>
          <w:lang w:eastAsia="zh-CN"/>
        </w:rPr>
        <w:t>资金营运</w:t>
      </w:r>
      <w:r>
        <w:rPr>
          <w:rFonts w:hint="eastAsia" w:ascii="仿宋_GB2312" w:eastAsia="仿宋_GB2312" w:hAnsiTheme="minorEastAsia"/>
          <w:color w:val="auto"/>
          <w:sz w:val="32"/>
          <w:szCs w:val="32"/>
        </w:rPr>
        <w:t>事业部、</w:t>
      </w:r>
      <w:r>
        <w:rPr>
          <w:rFonts w:hint="eastAsia" w:ascii="仿宋_GB2312" w:eastAsia="仿宋_GB2312" w:hAnsiTheme="minorEastAsia"/>
          <w:color w:val="auto"/>
          <w:sz w:val="32"/>
          <w:szCs w:val="32"/>
          <w:highlight w:val="none"/>
        </w:rPr>
        <w:t>党群工作部</w:t>
      </w:r>
      <w:r>
        <w:rPr>
          <w:rFonts w:hint="eastAsia" w:ascii="仿宋_GB2312" w:eastAsia="仿宋_GB2312" w:hAnsiTheme="minorEastAsia"/>
          <w:color w:val="auto"/>
          <w:sz w:val="32"/>
          <w:szCs w:val="32"/>
          <w:highlight w:val="none"/>
          <w:lang w:eastAsia="zh-CN"/>
        </w:rPr>
        <w:t>、</w:t>
      </w:r>
      <w:r>
        <w:rPr>
          <w:rFonts w:hint="eastAsia" w:ascii="仿宋_GB2312" w:eastAsia="仿宋_GB2312" w:hAnsiTheme="minorEastAsia"/>
          <w:color w:val="auto"/>
          <w:sz w:val="32"/>
          <w:szCs w:val="32"/>
        </w:rPr>
        <w:t>风险</w:t>
      </w:r>
      <w:r>
        <w:rPr>
          <w:rFonts w:hint="eastAsia" w:ascii="仿宋_GB2312" w:eastAsia="仿宋_GB2312" w:hAnsiTheme="minorEastAsia"/>
          <w:color w:val="auto"/>
          <w:sz w:val="32"/>
          <w:szCs w:val="32"/>
          <w:lang w:eastAsia="zh-CN"/>
        </w:rPr>
        <w:t>管理部、法律</w:t>
      </w:r>
      <w:r>
        <w:rPr>
          <w:rFonts w:hint="eastAsia" w:ascii="仿宋_GB2312" w:eastAsia="仿宋_GB2312" w:hAnsiTheme="minorEastAsia"/>
          <w:color w:val="auto"/>
          <w:sz w:val="32"/>
          <w:szCs w:val="32"/>
        </w:rPr>
        <w:t>合规部、</w:t>
      </w:r>
      <w:r>
        <w:rPr>
          <w:rFonts w:hint="eastAsia" w:ascii="仿宋_GB2312" w:eastAsia="仿宋_GB2312" w:hAnsiTheme="minorEastAsia"/>
          <w:color w:val="auto"/>
          <w:sz w:val="32"/>
          <w:szCs w:val="32"/>
          <w:lang w:eastAsia="zh-CN"/>
        </w:rPr>
        <w:t>渠道管理</w:t>
      </w:r>
      <w:r>
        <w:rPr>
          <w:rFonts w:hint="eastAsia" w:ascii="仿宋_GB2312" w:eastAsia="仿宋_GB2312" w:hAnsiTheme="minorEastAsia"/>
          <w:color w:val="auto"/>
          <w:sz w:val="32"/>
          <w:szCs w:val="32"/>
        </w:rPr>
        <w:t>部、</w:t>
      </w:r>
      <w:r>
        <w:rPr>
          <w:rFonts w:hint="eastAsia" w:ascii="仿宋_GB2312" w:eastAsia="仿宋_GB2312" w:hAnsiTheme="minorEastAsia"/>
          <w:color w:val="auto"/>
          <w:sz w:val="32"/>
          <w:szCs w:val="32"/>
          <w:lang w:eastAsia="zh-CN"/>
        </w:rPr>
        <w:t>零售金融部、</w:t>
      </w:r>
      <w:r>
        <w:rPr>
          <w:rFonts w:hint="eastAsia" w:ascii="仿宋_GB2312" w:eastAsia="仿宋_GB2312" w:hAnsiTheme="minorEastAsia"/>
          <w:color w:val="auto"/>
          <w:sz w:val="32"/>
          <w:szCs w:val="32"/>
        </w:rPr>
        <w:t>审计部、党风</w:t>
      </w:r>
      <w:r>
        <w:rPr>
          <w:rFonts w:hint="eastAsia" w:ascii="仿宋_GB2312" w:eastAsia="仿宋_GB2312" w:hAnsiTheme="minorEastAsia"/>
          <w:color w:val="auto"/>
          <w:sz w:val="32"/>
          <w:szCs w:val="32"/>
          <w:lang w:eastAsia="zh-CN"/>
        </w:rPr>
        <w:t>廉政</w:t>
      </w:r>
      <w:r>
        <w:rPr>
          <w:rFonts w:hint="eastAsia" w:ascii="仿宋_GB2312" w:eastAsia="仿宋_GB2312" w:hAnsiTheme="minorEastAsia"/>
          <w:color w:val="auto"/>
          <w:sz w:val="32"/>
          <w:szCs w:val="32"/>
        </w:rPr>
        <w:t>监督室、运营管理部、清收事业部、安全保卫部</w:t>
      </w:r>
      <w:r>
        <w:rPr>
          <w:rFonts w:hint="eastAsia" w:ascii="仿宋_GB2312" w:eastAsia="仿宋_GB2312" w:hAnsiTheme="minorEastAsia"/>
          <w:color w:val="auto"/>
          <w:sz w:val="32"/>
          <w:szCs w:val="32"/>
          <w:lang w:eastAsia="zh-CN"/>
        </w:rPr>
        <w:t>、授信评审部、数据管理部</w:t>
      </w:r>
      <w:r>
        <w:rPr>
          <w:rFonts w:hint="eastAsia" w:ascii="仿宋_GB2312" w:eastAsia="仿宋_GB2312" w:hAnsiTheme="minorEastAsia"/>
          <w:color w:val="auto"/>
          <w:sz w:val="32"/>
          <w:szCs w:val="32"/>
        </w:rPr>
        <w:t>等</w:t>
      </w:r>
      <w:r>
        <w:rPr>
          <w:rFonts w:hint="eastAsia" w:ascii="仿宋_GB2312" w:eastAsia="仿宋_GB2312" w:hAnsiTheme="minorEastAsia"/>
          <w:color w:val="auto"/>
          <w:sz w:val="32"/>
          <w:szCs w:val="32"/>
          <w:lang w:val="en-US" w:eastAsia="zh-CN"/>
        </w:rPr>
        <w:t>17</w:t>
      </w:r>
      <w:r>
        <w:rPr>
          <w:rFonts w:hint="eastAsia" w:ascii="仿宋_GB2312" w:eastAsia="仿宋_GB2312" w:hAnsiTheme="minorEastAsia"/>
          <w:color w:val="auto"/>
          <w:sz w:val="32"/>
          <w:szCs w:val="32"/>
        </w:rPr>
        <w:t>个职能部室，县辖</w:t>
      </w:r>
      <w:r>
        <w:rPr>
          <w:rFonts w:hint="eastAsia" w:ascii="仿宋_GB2312" w:eastAsia="仿宋_GB2312" w:hAnsiTheme="minorEastAsia"/>
          <w:color w:val="auto"/>
          <w:sz w:val="32"/>
          <w:szCs w:val="32"/>
          <w:highlight w:val="none"/>
        </w:rPr>
        <w:t>1</w:t>
      </w:r>
      <w:r>
        <w:rPr>
          <w:rFonts w:hint="eastAsia" w:ascii="仿宋_GB2312" w:eastAsia="仿宋_GB2312" w:hAnsiTheme="minorEastAsia"/>
          <w:color w:val="auto"/>
          <w:sz w:val="32"/>
          <w:szCs w:val="32"/>
          <w:highlight w:val="none"/>
          <w:lang w:val="en-US" w:eastAsia="zh-CN"/>
        </w:rPr>
        <w:t>9</w:t>
      </w:r>
      <w:r>
        <w:rPr>
          <w:rFonts w:hint="eastAsia" w:ascii="仿宋_GB2312" w:eastAsia="仿宋_GB2312" w:hAnsiTheme="minorEastAsia"/>
          <w:color w:val="auto"/>
          <w:sz w:val="32"/>
          <w:szCs w:val="32"/>
          <w:highlight w:val="none"/>
        </w:rPr>
        <w:t>个</w:t>
      </w:r>
      <w:r>
        <w:rPr>
          <w:rFonts w:hint="eastAsia" w:ascii="仿宋_GB2312" w:eastAsia="仿宋_GB2312" w:hAnsiTheme="minorEastAsia"/>
          <w:color w:val="auto"/>
          <w:sz w:val="32"/>
          <w:szCs w:val="32"/>
        </w:rPr>
        <w:t>营业网点，其中总行营业部1个</w:t>
      </w:r>
      <w:r>
        <w:rPr>
          <w:rFonts w:hint="eastAsia" w:ascii="仿宋_GB2312" w:eastAsia="仿宋_GB2312" w:hAnsiTheme="minorEastAsia"/>
          <w:color w:val="auto"/>
          <w:sz w:val="32"/>
          <w:szCs w:val="32"/>
          <w:lang w:eastAsia="zh-CN"/>
        </w:rPr>
        <w:t>、</w:t>
      </w:r>
      <w:r>
        <w:rPr>
          <w:rFonts w:hint="eastAsia" w:ascii="仿宋_GB2312" w:eastAsia="仿宋_GB2312" w:hAnsiTheme="minorEastAsia"/>
          <w:color w:val="auto"/>
          <w:sz w:val="32"/>
          <w:szCs w:val="32"/>
        </w:rPr>
        <w:t>支行15个</w:t>
      </w:r>
      <w:r>
        <w:rPr>
          <w:rFonts w:hint="eastAsia" w:ascii="仿宋_GB2312" w:eastAsia="仿宋_GB2312" w:hAnsiTheme="minorEastAsia"/>
          <w:color w:val="auto"/>
          <w:sz w:val="32"/>
          <w:szCs w:val="32"/>
          <w:lang w:eastAsia="zh-CN"/>
        </w:rPr>
        <w:t>、</w:t>
      </w:r>
      <w:r>
        <w:rPr>
          <w:rFonts w:hint="eastAsia" w:ascii="仿宋_GB2312" w:eastAsia="仿宋_GB2312" w:hAnsiTheme="minorEastAsia"/>
          <w:color w:val="auto"/>
          <w:sz w:val="32"/>
          <w:szCs w:val="32"/>
        </w:rPr>
        <w:t>分理处</w:t>
      </w:r>
      <w:r>
        <w:rPr>
          <w:rFonts w:hint="eastAsia" w:ascii="仿宋_GB2312" w:eastAsia="仿宋_GB2312" w:hAnsiTheme="minorEastAsia"/>
          <w:color w:val="auto"/>
          <w:sz w:val="32"/>
          <w:szCs w:val="32"/>
          <w:lang w:val="en-US" w:eastAsia="zh-CN"/>
        </w:rPr>
        <w:t>3</w:t>
      </w:r>
      <w:r>
        <w:rPr>
          <w:rFonts w:hint="eastAsia" w:ascii="仿宋_GB2312" w:eastAsia="仿宋_GB2312" w:hAnsiTheme="minorEastAsia"/>
          <w:color w:val="auto"/>
          <w:sz w:val="32"/>
          <w:szCs w:val="32"/>
        </w:rPr>
        <w:t>个，县域所有行政乡（镇）均有农商银行网点，是我县营业网点最多、覆盖面最广、业务品种齐全、服务功能到位的金融机构之一。</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3" w:firstLineChars="200"/>
        <w:textAlignment w:val="auto"/>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4.2股东会会议召开情况</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_GB2312" w:eastAsia="仿宋_GB2312" w:hAnsiTheme="minorEastAsia"/>
          <w:color w:val="auto"/>
          <w:sz w:val="32"/>
          <w:szCs w:val="32"/>
        </w:rPr>
      </w:pPr>
      <w:r>
        <w:rPr>
          <w:rFonts w:hint="eastAsia" w:ascii="仿宋_GB2312" w:eastAsia="仿宋_GB2312" w:hAnsiTheme="minorEastAsia"/>
          <w:color w:val="auto"/>
          <w:sz w:val="32"/>
          <w:szCs w:val="32"/>
          <w:lang w:val="en-US" w:eastAsia="zh-CN"/>
        </w:rPr>
        <w:t>2025年6月19日</w:t>
      </w:r>
      <w:r>
        <w:rPr>
          <w:rFonts w:hint="eastAsia" w:ascii="仿宋_GB2312" w:eastAsia="仿宋_GB2312" w:hAnsiTheme="minorEastAsia"/>
          <w:color w:val="auto"/>
          <w:sz w:val="32"/>
          <w:szCs w:val="32"/>
          <w:lang w:eastAsia="zh-CN"/>
        </w:rPr>
        <w:t>，在</w:t>
      </w:r>
      <w:r>
        <w:rPr>
          <w:rFonts w:hint="eastAsia" w:ascii="仿宋_GB2312" w:eastAsia="仿宋_GB2312" w:hAnsiTheme="minorEastAsia"/>
          <w:color w:val="auto"/>
          <w:sz w:val="32"/>
          <w:szCs w:val="32"/>
        </w:rPr>
        <w:t>本</w:t>
      </w:r>
      <w:r>
        <w:rPr>
          <w:rFonts w:hint="eastAsia" w:ascii="仿宋_GB2312" w:eastAsia="仿宋_GB2312" w:hAnsiTheme="minorEastAsia"/>
          <w:color w:val="auto"/>
          <w:sz w:val="32"/>
          <w:szCs w:val="32"/>
          <w:lang w:eastAsia="zh-CN"/>
        </w:rPr>
        <w:t>行办公大楼</w:t>
      </w:r>
      <w:r>
        <w:rPr>
          <w:rFonts w:hint="eastAsia" w:ascii="仿宋_GB2312" w:eastAsia="仿宋_GB2312" w:hAnsiTheme="minorEastAsia"/>
          <w:color w:val="auto"/>
          <w:sz w:val="32"/>
          <w:szCs w:val="32"/>
          <w:lang w:val="en-US" w:eastAsia="zh-CN"/>
        </w:rPr>
        <w:t>6楼会议室</w:t>
      </w:r>
      <w:r>
        <w:rPr>
          <w:rFonts w:hint="eastAsia" w:ascii="仿宋_GB2312" w:eastAsia="仿宋_GB2312" w:hAnsiTheme="minorEastAsia"/>
          <w:color w:val="auto"/>
          <w:sz w:val="32"/>
          <w:szCs w:val="32"/>
        </w:rPr>
        <w:t>召开</w:t>
      </w:r>
      <w:r>
        <w:rPr>
          <w:rFonts w:hint="eastAsia" w:ascii="仿宋_GB2312" w:eastAsia="仿宋_GB2312" w:hAnsiTheme="minorEastAsia"/>
          <w:color w:val="auto"/>
          <w:sz w:val="32"/>
          <w:szCs w:val="32"/>
          <w:lang w:val="en-US" w:eastAsia="zh-CN"/>
        </w:rPr>
        <w:t>2024年度</w:t>
      </w:r>
      <w:r>
        <w:rPr>
          <w:rFonts w:hint="eastAsia" w:ascii="仿宋_GB2312" w:eastAsia="仿宋_GB2312" w:hAnsiTheme="minorEastAsia"/>
          <w:color w:val="auto"/>
          <w:sz w:val="32"/>
          <w:szCs w:val="32"/>
        </w:rPr>
        <w:t>股东会</w:t>
      </w:r>
      <w:r>
        <w:rPr>
          <w:rFonts w:hint="eastAsia" w:ascii="仿宋_GB2312" w:eastAsia="仿宋_GB2312" w:hAnsiTheme="minorEastAsia"/>
          <w:color w:val="auto"/>
          <w:sz w:val="32"/>
          <w:szCs w:val="32"/>
          <w:lang w:eastAsia="zh-CN"/>
        </w:rPr>
        <w:t>会议</w:t>
      </w:r>
      <w:r>
        <w:rPr>
          <w:rFonts w:hint="eastAsia" w:ascii="仿宋_GB2312" w:eastAsia="仿宋_GB2312" w:hAnsiTheme="minorEastAsia"/>
          <w:color w:val="auto"/>
          <w:sz w:val="32"/>
          <w:szCs w:val="32"/>
        </w:rPr>
        <w:t>，</w:t>
      </w:r>
      <w:r>
        <w:rPr>
          <w:rFonts w:hint="eastAsia" w:ascii="仿宋_GB2312" w:eastAsia="仿宋_GB2312" w:hAnsiTheme="minorEastAsia"/>
          <w:color w:val="auto"/>
          <w:sz w:val="32"/>
          <w:szCs w:val="32"/>
          <w:lang w:eastAsia="zh-CN"/>
        </w:rPr>
        <w:t>共有</w:t>
      </w:r>
      <w:r>
        <w:rPr>
          <w:rFonts w:hint="eastAsia" w:ascii="仿宋_GB2312" w:eastAsia="仿宋_GB2312" w:hAnsiTheme="minorEastAsia"/>
          <w:color w:val="auto"/>
          <w:sz w:val="32"/>
          <w:szCs w:val="32"/>
          <w:lang w:val="en-US" w:eastAsia="zh-CN"/>
        </w:rPr>
        <w:t>46位股东（或股东代表）出席了会议，代表表决权17605.53万股，占本行所有表决权的81.29%，符合法定出席人数要求及《章程》规定，会议由董事长潘志方主持。股东会会议</w:t>
      </w:r>
      <w:r>
        <w:rPr>
          <w:rFonts w:hint="eastAsia" w:ascii="仿宋_GB2312" w:eastAsia="仿宋_GB2312" w:hAnsiTheme="minorEastAsia"/>
          <w:color w:val="auto"/>
          <w:sz w:val="32"/>
          <w:szCs w:val="32"/>
        </w:rPr>
        <w:t>审议通过了董事会、监事会工作报告、财务预决算方案、利润分配方案</w:t>
      </w:r>
      <w:r>
        <w:rPr>
          <w:rFonts w:hint="eastAsia" w:ascii="仿宋_GB2312" w:eastAsia="仿宋_GB2312" w:hAnsiTheme="minorEastAsia"/>
          <w:color w:val="auto"/>
          <w:sz w:val="32"/>
          <w:szCs w:val="32"/>
          <w:highlight w:val="none"/>
        </w:rPr>
        <w:t>等</w:t>
      </w:r>
      <w:r>
        <w:rPr>
          <w:rFonts w:hint="eastAsia" w:ascii="仿宋_GB2312" w:eastAsia="仿宋_GB2312" w:hAnsiTheme="minorEastAsia"/>
          <w:color w:val="auto"/>
          <w:sz w:val="32"/>
          <w:szCs w:val="32"/>
          <w:highlight w:val="none"/>
          <w:lang w:val="en-US" w:eastAsia="zh-CN"/>
        </w:rPr>
        <w:t>12项提案，形成决议12个</w:t>
      </w:r>
      <w:r>
        <w:rPr>
          <w:rFonts w:hint="eastAsia" w:ascii="仿宋_GB2312" w:eastAsia="仿宋_GB2312" w:hAnsiTheme="minorEastAsia"/>
          <w:color w:val="auto"/>
          <w:sz w:val="32"/>
          <w:szCs w:val="32"/>
          <w:highlight w:val="none"/>
        </w:rPr>
        <w:t>，对年</w:t>
      </w:r>
      <w:r>
        <w:rPr>
          <w:rFonts w:hint="eastAsia" w:ascii="仿宋_GB2312" w:eastAsia="仿宋_GB2312" w:hAnsiTheme="minorEastAsia"/>
          <w:color w:val="auto"/>
          <w:sz w:val="32"/>
          <w:szCs w:val="32"/>
        </w:rPr>
        <w:t>度工作计划进行了研究部署。会上，各股东代表以主人翁的姿态，纷纷建言献策，畅所欲言，大大增进了农商银行工作的透明度和公信度。</w:t>
      </w:r>
    </w:p>
    <w:p>
      <w:pPr>
        <w:keepNext w:val="0"/>
        <w:keepLines w:val="0"/>
        <w:pageBreakBefore w:val="0"/>
        <w:widowControl/>
        <w:kinsoku/>
        <w:wordWrap/>
        <w:overflowPunct/>
        <w:topLinePunct w:val="0"/>
        <w:autoSpaceDE/>
        <w:autoSpaceDN/>
        <w:bidi w:val="0"/>
        <w:adjustRightInd/>
        <w:snapToGrid/>
        <w:spacing w:line="500" w:lineRule="exact"/>
        <w:ind w:firstLine="602"/>
        <w:jc w:val="left"/>
        <w:textAlignment w:val="auto"/>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4.3报告期独立董事及工作情况</w:t>
      </w:r>
    </w:p>
    <w:p>
      <w:pPr>
        <w:keepNext w:val="0"/>
        <w:keepLines w:val="0"/>
        <w:pageBreakBefore w:val="0"/>
        <w:widowControl/>
        <w:kinsoku/>
        <w:wordWrap/>
        <w:overflowPunct/>
        <w:topLinePunct w:val="0"/>
        <w:autoSpaceDE/>
        <w:autoSpaceDN/>
        <w:bidi w:val="0"/>
        <w:adjustRightInd/>
        <w:snapToGrid/>
        <w:spacing w:line="500" w:lineRule="exact"/>
        <w:ind w:firstLine="629"/>
        <w:jc w:val="left"/>
        <w:textAlignment w:val="auto"/>
        <w:outlineLvl w:val="9"/>
        <w:rPr>
          <w:rFonts w:ascii="仿宋_GB2312" w:eastAsia="仿宋_GB2312" w:hAnsiTheme="minorEastAsia"/>
          <w:color w:val="auto"/>
          <w:sz w:val="32"/>
          <w:szCs w:val="32"/>
        </w:rPr>
      </w:pPr>
      <w:r>
        <w:rPr>
          <w:rFonts w:hint="eastAsia" w:ascii="仿宋_GB2312" w:eastAsia="仿宋_GB2312" w:hAnsiTheme="minorEastAsia"/>
          <w:color w:val="auto"/>
          <w:sz w:val="32"/>
          <w:szCs w:val="32"/>
        </w:rPr>
        <w:t>报告期末，</w:t>
      </w:r>
      <w:r>
        <w:rPr>
          <w:rFonts w:hint="eastAsia" w:ascii="仿宋_GB2312" w:eastAsia="仿宋_GB2312" w:hAnsiTheme="minorEastAsia"/>
          <w:color w:val="auto"/>
          <w:sz w:val="32"/>
          <w:szCs w:val="32"/>
          <w:highlight w:val="none"/>
        </w:rPr>
        <w:t>本行独立董事</w:t>
      </w:r>
      <w:r>
        <w:rPr>
          <w:rFonts w:hint="eastAsia" w:ascii="仿宋_GB2312" w:eastAsia="仿宋_GB2312" w:hAnsiTheme="minorEastAsia"/>
          <w:color w:val="auto"/>
          <w:sz w:val="32"/>
          <w:szCs w:val="32"/>
          <w:highlight w:val="none"/>
          <w:lang w:val="en-US" w:eastAsia="zh-CN"/>
        </w:rPr>
        <w:t>3</w:t>
      </w:r>
      <w:r>
        <w:rPr>
          <w:rFonts w:hint="eastAsia" w:ascii="仿宋_GB2312" w:eastAsia="仿宋_GB2312" w:hAnsiTheme="minorEastAsia"/>
          <w:color w:val="auto"/>
          <w:sz w:val="32"/>
          <w:szCs w:val="32"/>
          <w:highlight w:val="none"/>
        </w:rPr>
        <w:t>名，</w:t>
      </w:r>
      <w:r>
        <w:rPr>
          <w:rFonts w:hint="eastAsia" w:ascii="仿宋_GB2312" w:eastAsia="仿宋_GB2312" w:hAnsiTheme="minorEastAsia"/>
          <w:color w:val="auto"/>
          <w:sz w:val="32"/>
          <w:szCs w:val="32"/>
        </w:rPr>
        <w:t>报告期内，独立董事能够按照法律、法规和本行章程的要求，忠实履行职责,认真参加股东会、董事会及专门委员会会议，维护本行和全体股东的权益。工作期间，独立董事尤其关注本行重大关联交易事项，能够独立履行职责，不受本行主要股东、实际控制人或者其他与本行存在利害关系的单位或个人的影响，发表独立意见，有效履行职责。</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jc w:val="left"/>
        <w:textAlignment w:val="auto"/>
        <w:rPr>
          <w:rFonts w:ascii="仿宋_GB2312" w:eastAsia="仿宋_GB2312" w:hAnsiTheme="minorEastAsia"/>
          <w:color w:val="auto"/>
          <w:sz w:val="32"/>
          <w:szCs w:val="32"/>
        </w:rPr>
      </w:pPr>
      <w:r>
        <w:rPr>
          <w:rFonts w:hint="eastAsia" w:ascii="仿宋_GB2312" w:eastAsia="仿宋_GB2312" w:hAnsiTheme="minorEastAsia"/>
          <w:color w:val="auto"/>
          <w:sz w:val="32"/>
          <w:szCs w:val="32"/>
        </w:rPr>
        <w:t>报告期内，本行独立董事没有对本行董事会会议议案及其他事项提出异议。</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3" w:firstLineChars="200"/>
        <w:jc w:val="left"/>
        <w:textAlignment w:val="auto"/>
        <w:rPr>
          <w:rFonts w:ascii="仿宋_GB2312" w:eastAsia="仿宋_GB2312" w:cs="宋体" w:hAnsiTheme="minorEastAsia"/>
          <w:b/>
          <w:bCs/>
          <w:color w:val="auto"/>
          <w:kern w:val="0"/>
          <w:sz w:val="32"/>
          <w:szCs w:val="32"/>
        </w:rPr>
      </w:pPr>
      <w:r>
        <w:rPr>
          <w:rFonts w:hint="eastAsia" w:ascii="仿宋_GB2312" w:eastAsia="仿宋_GB2312" w:cs="宋体" w:hAnsiTheme="minorEastAsia"/>
          <w:b/>
          <w:bCs/>
          <w:color w:val="auto"/>
          <w:kern w:val="0"/>
          <w:sz w:val="32"/>
          <w:szCs w:val="32"/>
        </w:rPr>
        <w:t>4.4报告期股东提名董事、监事情况</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jc w:val="left"/>
        <w:textAlignment w:val="auto"/>
        <w:rPr>
          <w:rFonts w:ascii="仿宋_GB2312" w:eastAsia="仿宋_GB2312" w:hAnsiTheme="minorEastAsia"/>
          <w:color w:val="auto"/>
          <w:sz w:val="32"/>
          <w:szCs w:val="32"/>
          <w:highlight w:val="none"/>
        </w:rPr>
      </w:pPr>
      <w:r>
        <w:rPr>
          <w:rFonts w:hint="eastAsia" w:ascii="仿宋_GB2312" w:eastAsia="仿宋_GB2312" w:hAnsiTheme="minorEastAsia"/>
          <w:color w:val="auto"/>
          <w:sz w:val="32"/>
          <w:szCs w:val="32"/>
          <w:highlight w:val="none"/>
        </w:rPr>
        <w:t>报告期内，无股东提名董事、监事情况。</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3" w:firstLineChars="200"/>
        <w:jc w:val="left"/>
        <w:textAlignment w:val="auto"/>
        <w:rPr>
          <w:rFonts w:ascii="仿宋_GB2312" w:eastAsia="仿宋_GB2312" w:hAnsiTheme="minorEastAsia"/>
          <w:b/>
          <w:color w:val="auto"/>
          <w:sz w:val="32"/>
          <w:szCs w:val="32"/>
        </w:rPr>
      </w:pPr>
      <w:r>
        <w:rPr>
          <w:rFonts w:hint="eastAsia" w:ascii="仿宋_GB2312" w:eastAsia="仿宋_GB2312" w:hAnsiTheme="minorEastAsia"/>
          <w:b/>
          <w:color w:val="auto"/>
          <w:sz w:val="32"/>
          <w:szCs w:val="32"/>
        </w:rPr>
        <w:t>4.5 报告期外部监事工作情况</w:t>
      </w:r>
    </w:p>
    <w:p>
      <w:pPr>
        <w:pStyle w:val="6"/>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olor w:val="auto"/>
          <w:sz w:val="32"/>
          <w:szCs w:val="32"/>
        </w:rPr>
        <w:t>202</w:t>
      </w:r>
      <w:r>
        <w:rPr>
          <w:rFonts w:hint="eastAsia" w:ascii="仿宋_GB2312" w:hAnsi="仿宋" w:eastAsia="仿宋_GB2312"/>
          <w:color w:val="auto"/>
          <w:sz w:val="32"/>
          <w:szCs w:val="32"/>
          <w:lang w:val="en-US" w:eastAsia="zh-CN"/>
        </w:rPr>
        <w:t>5</w:t>
      </w:r>
      <w:r>
        <w:rPr>
          <w:rFonts w:hint="eastAsia" w:ascii="仿宋_GB2312" w:hAnsi="仿宋" w:eastAsia="仿宋_GB2312"/>
          <w:color w:val="auto"/>
          <w:sz w:val="32"/>
          <w:szCs w:val="32"/>
        </w:rPr>
        <w:t>年度，外部监事能认真、勤勉地履行章程赋予的监督职责，能够不断加强自身建设，优化工作方法，努力提升监事会的整体运作水平，能够按照规定亲自出席监事会议，主动持续了解和分析本行的运行情况，对本行董事会、高级管理层的履职尽职情况以及财务活动、风险管理、内部控制等工作实施了有效监督，</w:t>
      </w:r>
      <w:r>
        <w:rPr>
          <w:rFonts w:hint="eastAsia" w:ascii="仿宋_GB2312" w:hAnsi="仿宋" w:eastAsia="仿宋_GB2312" w:cs="仿宋_GB2312"/>
          <w:color w:val="auto"/>
          <w:sz w:val="32"/>
          <w:szCs w:val="32"/>
        </w:rPr>
        <w:t>为大余农商银行的科学运行和良好发展起到了一定的作用。</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3" w:firstLineChars="200"/>
        <w:jc w:val="left"/>
        <w:textAlignment w:val="auto"/>
        <w:rPr>
          <w:rFonts w:ascii="仿宋_GB2312" w:eastAsia="仿宋_GB2312" w:hAnsiTheme="minorEastAsia"/>
          <w:b/>
          <w:color w:val="auto"/>
          <w:sz w:val="32"/>
          <w:szCs w:val="32"/>
        </w:rPr>
      </w:pPr>
      <w:r>
        <w:rPr>
          <w:rFonts w:hint="eastAsia" w:ascii="仿宋_GB2312" w:eastAsia="仿宋_GB2312" w:hAnsiTheme="minorEastAsia"/>
          <w:b/>
          <w:color w:val="auto"/>
          <w:sz w:val="32"/>
          <w:szCs w:val="32"/>
        </w:rPr>
        <w:t>4.6 报告期监事会对商业银行定期财务报告的审核意见</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9"/>
        <w:rPr>
          <w:rFonts w:ascii="仿宋_GB2312" w:hAnsi="楷体_GB2312" w:eastAsia="仿宋_GB2312" w:cs="楷体_GB2312"/>
          <w:color w:val="auto"/>
          <w:sz w:val="32"/>
          <w:szCs w:val="32"/>
        </w:rPr>
      </w:pPr>
      <w:r>
        <w:rPr>
          <w:rFonts w:hint="eastAsia" w:ascii="仿宋_GB2312" w:hAnsi="仿宋" w:eastAsia="仿宋_GB2312"/>
          <w:color w:val="auto"/>
          <w:sz w:val="32"/>
          <w:szCs w:val="32"/>
        </w:rPr>
        <w:t>202</w:t>
      </w:r>
      <w:r>
        <w:rPr>
          <w:rFonts w:hint="eastAsia" w:ascii="仿宋_GB2312" w:hAnsi="仿宋" w:eastAsia="仿宋_GB2312"/>
          <w:color w:val="auto"/>
          <w:sz w:val="32"/>
          <w:szCs w:val="32"/>
          <w:lang w:val="en-US" w:eastAsia="zh-CN"/>
        </w:rPr>
        <w:t>5</w:t>
      </w:r>
      <w:r>
        <w:rPr>
          <w:rFonts w:hint="eastAsia" w:ascii="仿宋_GB2312" w:hAnsi="仿宋" w:eastAsia="仿宋_GB2312"/>
          <w:color w:val="auto"/>
          <w:sz w:val="32"/>
          <w:szCs w:val="32"/>
        </w:rPr>
        <w:t>年度，</w:t>
      </w:r>
      <w:r>
        <w:rPr>
          <w:rFonts w:hint="eastAsia" w:ascii="仿宋_GB2312" w:hAnsi="仿宋_GB2312" w:eastAsia="仿宋_GB2312" w:cs="仿宋_GB2312"/>
          <w:color w:val="auto"/>
          <w:sz w:val="32"/>
          <w:szCs w:val="32"/>
        </w:rPr>
        <w:t>监事会注重加强对本行重大财务决策与执行情况,以及会计制度建设与执行等情况的监督。一是定期审核财务报表和重要财务决策事项，202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年监事会通过审核了《大余农商银行202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年度财务决算报告》、《大余农商银行202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年度利润分配方案》等财务资料；二是了解重要财务数据变化情况及原因,适时监测主要监管指标情况，充分关注各类资产的风险状况及资产配置对资本充足率等指标的影响，提出工作建议；三是</w:t>
      </w:r>
      <w:r>
        <w:rPr>
          <w:rFonts w:hint="eastAsia" w:ascii="仿宋_GB2312" w:eastAsia="仿宋_GB2312"/>
          <w:color w:val="auto"/>
          <w:sz w:val="32"/>
          <w:szCs w:val="32"/>
        </w:rPr>
        <w:t>为落实强化风险管控的总体要求，对全行费用管理及执行合规性、真实性等情况进行监督审计，促进费用管理更加规范、成本控制更加到位</w:t>
      </w:r>
      <w:r>
        <w:rPr>
          <w:rFonts w:hint="eastAsia" w:ascii="仿宋_GB2312" w:hAnsi="仿宋_GB2312" w:eastAsia="仿宋_GB2312" w:cs="仿宋_GB2312"/>
          <w:color w:val="auto"/>
          <w:sz w:val="32"/>
          <w:szCs w:val="32"/>
        </w:rPr>
        <w:t>,不断提升财务管理水平。</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3" w:firstLineChars="200"/>
        <w:jc w:val="left"/>
        <w:textAlignment w:val="auto"/>
        <w:outlineLvl w:val="9"/>
        <w:rPr>
          <w:rFonts w:hint="default" w:ascii="仿宋_GB2312" w:eastAsia="仿宋_GB2312" w:hAnsiTheme="minorEastAsia"/>
          <w:b w:val="0"/>
          <w:bCs/>
          <w:color w:val="auto"/>
          <w:sz w:val="32"/>
          <w:szCs w:val="32"/>
          <w:lang w:val="en-US" w:eastAsia="zh-CN"/>
        </w:rPr>
      </w:pPr>
      <w:r>
        <w:rPr>
          <w:rFonts w:hint="eastAsia" w:ascii="仿宋_GB2312" w:eastAsia="仿宋_GB2312" w:hAnsiTheme="minorEastAsia"/>
          <w:b/>
          <w:color w:val="auto"/>
          <w:sz w:val="32"/>
          <w:szCs w:val="32"/>
        </w:rPr>
        <w:t>4.7 专职股东监事的薪酬和延期支付情况</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jc w:val="left"/>
        <w:textAlignment w:val="auto"/>
        <w:outlineLvl w:val="9"/>
        <w:rPr>
          <w:rFonts w:ascii="仿宋_GB2312" w:eastAsia="仿宋_GB2312" w:hAnsiTheme="minorEastAsia"/>
          <w:color w:val="auto"/>
          <w:sz w:val="32"/>
          <w:szCs w:val="32"/>
        </w:rPr>
      </w:pPr>
      <w:r>
        <w:rPr>
          <w:rFonts w:hint="eastAsia" w:ascii="仿宋_GB2312" w:eastAsia="仿宋_GB2312" w:hAnsiTheme="minorEastAsia"/>
          <w:color w:val="auto"/>
          <w:sz w:val="32"/>
          <w:szCs w:val="32"/>
        </w:rPr>
        <w:t>本行无专职股东监事。</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3" w:firstLineChars="200"/>
        <w:jc w:val="left"/>
        <w:textAlignment w:val="auto"/>
        <w:outlineLvl w:val="9"/>
        <w:rPr>
          <w:rFonts w:ascii="仿宋_GB2312" w:eastAsia="仿宋_GB2312" w:hAnsiTheme="minorEastAsia"/>
          <w:b/>
          <w:color w:val="auto"/>
          <w:sz w:val="32"/>
          <w:szCs w:val="32"/>
        </w:rPr>
      </w:pPr>
      <w:r>
        <w:rPr>
          <w:rFonts w:hint="eastAsia" w:ascii="仿宋_GB2312" w:eastAsia="仿宋_GB2312" w:hAnsiTheme="minorEastAsia"/>
          <w:b/>
          <w:color w:val="auto"/>
          <w:sz w:val="32"/>
          <w:szCs w:val="32"/>
          <w:lang w:val="en-US" w:eastAsia="zh-CN"/>
        </w:rPr>
        <w:t>4.8</w:t>
      </w:r>
      <w:r>
        <w:rPr>
          <w:rFonts w:hint="eastAsia" w:ascii="仿宋_GB2312" w:eastAsia="仿宋_GB2312" w:hAnsiTheme="minorEastAsia"/>
          <w:b/>
          <w:color w:val="auto"/>
          <w:sz w:val="32"/>
          <w:szCs w:val="32"/>
        </w:rPr>
        <w:t>报告期公司治理的整体评价</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9"/>
        <w:rPr>
          <w:rFonts w:ascii="仿宋_GB2312" w:eastAsia="仿宋_GB2312"/>
          <w:color w:val="auto"/>
          <w:sz w:val="32"/>
          <w:szCs w:val="32"/>
        </w:rPr>
      </w:pPr>
      <w:r>
        <w:rPr>
          <w:rFonts w:hint="eastAsia" w:ascii="仿宋_GB2312" w:eastAsia="仿宋_GB2312"/>
          <w:color w:val="auto"/>
          <w:sz w:val="32"/>
          <w:szCs w:val="32"/>
        </w:rPr>
        <w:t>制定了规范的公司章程，建立了权、责、利有机结合的“三会一层”公司治理架构，形成了科学、高效的决策、执行和监督机制。有较完备的“三会一层”议事规则和各项内控管理制度、业务流程</w:t>
      </w:r>
      <w:r>
        <w:rPr>
          <w:rFonts w:hint="eastAsia" w:ascii="仿宋_GB2312" w:eastAsia="仿宋_GB2312"/>
          <w:b/>
          <w:color w:val="auto"/>
          <w:sz w:val="32"/>
          <w:szCs w:val="32"/>
        </w:rPr>
        <w:t>。</w:t>
      </w:r>
      <w:r>
        <w:rPr>
          <w:rFonts w:hint="eastAsia" w:ascii="仿宋_GB2312" w:eastAsia="仿宋_GB2312"/>
          <w:color w:val="auto"/>
          <w:sz w:val="32"/>
          <w:szCs w:val="32"/>
        </w:rPr>
        <w:t>股东会、董事会及其专门委员会、监事会和高管层能各司其职，勤勉履职，确保了报告期内依法合规经营、业务稳健发展。</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五、股本变动及股东情况</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jc w:val="left"/>
        <w:textAlignment w:val="auto"/>
        <w:rPr>
          <w:rFonts w:ascii="仿宋_GB2312" w:eastAsia="仿宋_GB2312" w:cs="宋体" w:hAnsiTheme="minorEastAsia"/>
          <w:b/>
          <w:bCs/>
          <w:color w:val="auto"/>
          <w:kern w:val="0"/>
          <w:sz w:val="32"/>
          <w:szCs w:val="32"/>
        </w:rPr>
      </w:pPr>
      <w:r>
        <w:rPr>
          <w:rFonts w:hint="eastAsia" w:ascii="仿宋_GB2312" w:eastAsia="仿宋_GB2312" w:cs="宋体" w:hAnsiTheme="minorEastAsia"/>
          <w:b/>
          <w:bCs/>
          <w:color w:val="auto"/>
          <w:kern w:val="0"/>
          <w:sz w:val="32"/>
          <w:szCs w:val="32"/>
        </w:rPr>
        <w:t>5.1股东权益变动表</w:t>
      </w:r>
    </w:p>
    <w:p>
      <w:pPr>
        <w:widowControl/>
        <w:shd w:val="clear" w:color="auto" w:fill="FFFFFF"/>
        <w:tabs>
          <w:tab w:val="left" w:pos="630"/>
        </w:tabs>
        <w:spacing w:line="500" w:lineRule="exact"/>
        <w:ind w:firstLine="5120" w:firstLineChars="1600"/>
        <w:jc w:val="left"/>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单位：人民币  万元</w:t>
      </w:r>
    </w:p>
    <w:tbl>
      <w:tblPr>
        <w:tblStyle w:val="8"/>
        <w:tblW w:w="8520"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440"/>
        <w:gridCol w:w="2096"/>
        <w:gridCol w:w="2096"/>
        <w:gridCol w:w="188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8" w:hRule="atLeast"/>
          <w:jc w:val="center"/>
        </w:trPr>
        <w:tc>
          <w:tcPr>
            <w:tcW w:w="244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项目</w:t>
            </w:r>
          </w:p>
        </w:tc>
        <w:tc>
          <w:tcPr>
            <w:tcW w:w="209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202</w:t>
            </w:r>
            <w:r>
              <w:rPr>
                <w:rFonts w:hint="eastAsia" w:cs="宋体" w:asciiTheme="minorEastAsia" w:hAnsiTheme="minorEastAsia"/>
                <w:color w:val="auto"/>
                <w:kern w:val="0"/>
                <w:sz w:val="24"/>
                <w:szCs w:val="24"/>
                <w:lang w:val="en-US" w:eastAsia="zh-CN"/>
              </w:rPr>
              <w:t>4</w:t>
            </w:r>
            <w:r>
              <w:rPr>
                <w:rFonts w:hint="eastAsia" w:cs="宋体" w:asciiTheme="minorEastAsia" w:hAnsiTheme="minorEastAsia"/>
                <w:color w:val="auto"/>
                <w:kern w:val="0"/>
                <w:sz w:val="24"/>
                <w:szCs w:val="24"/>
              </w:rPr>
              <w:t>年末</w:t>
            </w:r>
          </w:p>
        </w:tc>
        <w:tc>
          <w:tcPr>
            <w:tcW w:w="209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本期增加</w:t>
            </w:r>
          </w:p>
        </w:tc>
        <w:tc>
          <w:tcPr>
            <w:tcW w:w="1888"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202</w:t>
            </w:r>
            <w:r>
              <w:rPr>
                <w:rFonts w:hint="eastAsia" w:cs="宋体" w:asciiTheme="minorEastAsia" w:hAnsiTheme="minorEastAsia"/>
                <w:color w:val="auto"/>
                <w:kern w:val="0"/>
                <w:sz w:val="24"/>
                <w:szCs w:val="24"/>
                <w:lang w:val="en-US" w:eastAsia="zh-CN"/>
              </w:rPr>
              <w:t>5</w:t>
            </w:r>
            <w:r>
              <w:rPr>
                <w:rFonts w:hint="eastAsia" w:cs="宋体" w:asciiTheme="minorEastAsia" w:hAnsiTheme="minorEastAsia"/>
                <w:color w:val="auto"/>
                <w:kern w:val="0"/>
                <w:sz w:val="24"/>
                <w:szCs w:val="24"/>
              </w:rPr>
              <w:t>年末</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jc w:val="center"/>
        </w:trPr>
        <w:tc>
          <w:tcPr>
            <w:tcW w:w="244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股本</w:t>
            </w:r>
          </w:p>
        </w:tc>
        <w:tc>
          <w:tcPr>
            <w:tcW w:w="209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24185.29</w:t>
            </w:r>
          </w:p>
        </w:tc>
        <w:tc>
          <w:tcPr>
            <w:tcW w:w="209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p>
        </w:tc>
        <w:tc>
          <w:tcPr>
            <w:tcW w:w="1888"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24185.29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244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资本公积</w:t>
            </w:r>
          </w:p>
        </w:tc>
        <w:tc>
          <w:tcPr>
            <w:tcW w:w="209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4010.48</w:t>
            </w:r>
          </w:p>
        </w:tc>
        <w:tc>
          <w:tcPr>
            <w:tcW w:w="209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p>
        </w:tc>
        <w:tc>
          <w:tcPr>
            <w:tcW w:w="1888"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4010.48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5" w:hRule="atLeast"/>
          <w:jc w:val="center"/>
        </w:trPr>
        <w:tc>
          <w:tcPr>
            <w:tcW w:w="244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yellow"/>
              </w:rPr>
            </w:pPr>
            <w:r>
              <w:rPr>
                <w:rFonts w:hint="eastAsia" w:cs="宋体" w:asciiTheme="minorEastAsia" w:hAnsiTheme="minorEastAsia"/>
                <w:color w:val="auto"/>
                <w:kern w:val="0"/>
                <w:sz w:val="24"/>
                <w:szCs w:val="24"/>
                <w:highlight w:val="none"/>
              </w:rPr>
              <w:t>盈余公积</w:t>
            </w:r>
          </w:p>
        </w:tc>
        <w:tc>
          <w:tcPr>
            <w:tcW w:w="209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highlight w:val="yellow"/>
                <w:lang w:val="en-US" w:eastAsia="zh-CN"/>
              </w:rPr>
            </w:pPr>
            <w:r>
              <w:rPr>
                <w:rFonts w:hint="eastAsia" w:cs="宋体" w:asciiTheme="minorEastAsia" w:hAnsiTheme="minorEastAsia"/>
                <w:color w:val="auto"/>
                <w:kern w:val="0"/>
                <w:sz w:val="24"/>
                <w:szCs w:val="24"/>
                <w:highlight w:val="none"/>
                <w:lang w:val="en-US" w:eastAsia="zh-CN"/>
              </w:rPr>
              <w:t>12600.55</w:t>
            </w:r>
          </w:p>
        </w:tc>
        <w:tc>
          <w:tcPr>
            <w:tcW w:w="209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731.10</w:t>
            </w:r>
          </w:p>
        </w:tc>
        <w:tc>
          <w:tcPr>
            <w:tcW w:w="1888"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13331.65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3" w:hRule="atLeast"/>
          <w:jc w:val="center"/>
        </w:trPr>
        <w:tc>
          <w:tcPr>
            <w:tcW w:w="244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一般风险准备</w:t>
            </w:r>
          </w:p>
        </w:tc>
        <w:tc>
          <w:tcPr>
            <w:tcW w:w="209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14258.25</w:t>
            </w:r>
          </w:p>
        </w:tc>
        <w:tc>
          <w:tcPr>
            <w:tcW w:w="209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751.56</w:t>
            </w:r>
          </w:p>
        </w:tc>
        <w:tc>
          <w:tcPr>
            <w:tcW w:w="1888"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15009.81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jc w:val="center"/>
        </w:trPr>
        <w:tc>
          <w:tcPr>
            <w:tcW w:w="244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yellow"/>
              </w:rPr>
            </w:pPr>
            <w:r>
              <w:rPr>
                <w:rFonts w:hint="eastAsia" w:cs="宋体" w:asciiTheme="minorEastAsia" w:hAnsiTheme="minorEastAsia"/>
                <w:color w:val="auto"/>
                <w:kern w:val="0"/>
                <w:sz w:val="24"/>
                <w:szCs w:val="24"/>
                <w:highlight w:val="none"/>
              </w:rPr>
              <w:t>未分配利润</w:t>
            </w:r>
          </w:p>
        </w:tc>
        <w:tc>
          <w:tcPr>
            <w:tcW w:w="209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highlight w:val="yellow"/>
                <w:lang w:val="en-US" w:eastAsia="zh-CN"/>
              </w:rPr>
            </w:pPr>
            <w:r>
              <w:rPr>
                <w:rFonts w:hint="eastAsia" w:cs="宋体" w:asciiTheme="minorEastAsia" w:hAnsiTheme="minorEastAsia"/>
                <w:color w:val="auto"/>
                <w:kern w:val="0"/>
                <w:sz w:val="24"/>
                <w:szCs w:val="24"/>
                <w:highlight w:val="none"/>
                <w:lang w:val="en-US" w:eastAsia="zh-CN"/>
              </w:rPr>
              <w:t>8217.92</w:t>
            </w:r>
          </w:p>
        </w:tc>
        <w:tc>
          <w:tcPr>
            <w:tcW w:w="209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4008.82</w:t>
            </w:r>
          </w:p>
        </w:tc>
        <w:tc>
          <w:tcPr>
            <w:tcW w:w="1888"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12226.74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3" w:hRule="atLeast"/>
          <w:jc w:val="center"/>
        </w:trPr>
        <w:tc>
          <w:tcPr>
            <w:tcW w:w="244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股东权益合计</w:t>
            </w:r>
          </w:p>
        </w:tc>
        <w:tc>
          <w:tcPr>
            <w:tcW w:w="209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63272.49</w:t>
            </w:r>
          </w:p>
        </w:tc>
        <w:tc>
          <w:tcPr>
            <w:tcW w:w="209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5491.48</w:t>
            </w:r>
          </w:p>
        </w:tc>
        <w:tc>
          <w:tcPr>
            <w:tcW w:w="1888"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68763.97</w:t>
            </w:r>
          </w:p>
        </w:tc>
      </w:tr>
    </w:tbl>
    <w:p>
      <w:pPr>
        <w:widowControl/>
        <w:shd w:val="clear" w:color="auto" w:fill="FFFFFF"/>
        <w:tabs>
          <w:tab w:val="left" w:pos="630"/>
        </w:tabs>
        <w:spacing w:line="500" w:lineRule="exact"/>
        <w:ind w:left="5441" w:leftChars="304" w:hanging="4803" w:hangingChars="1495"/>
        <w:jc w:val="left"/>
        <w:rPr>
          <w:rFonts w:ascii="仿宋_GB2312" w:eastAsia="仿宋_GB2312" w:cs="宋体" w:hAnsiTheme="minorEastAsia"/>
          <w:b/>
          <w:bCs/>
          <w:color w:val="auto"/>
          <w:kern w:val="0"/>
          <w:sz w:val="32"/>
          <w:szCs w:val="32"/>
        </w:rPr>
      </w:pPr>
      <w:r>
        <w:rPr>
          <w:rFonts w:hint="eastAsia" w:ascii="仿宋_GB2312" w:eastAsia="仿宋_GB2312" w:cs="宋体" w:hAnsiTheme="minorEastAsia"/>
          <w:b/>
          <w:bCs/>
          <w:color w:val="auto"/>
          <w:kern w:val="0"/>
          <w:sz w:val="32"/>
          <w:szCs w:val="32"/>
        </w:rPr>
        <w:t>5.2股本变动情况</w:t>
      </w:r>
    </w:p>
    <w:p>
      <w:pPr>
        <w:widowControl/>
        <w:shd w:val="clear" w:color="auto" w:fill="FFFFFF"/>
        <w:tabs>
          <w:tab w:val="left" w:pos="630"/>
        </w:tabs>
        <w:spacing w:line="500" w:lineRule="exact"/>
        <w:ind w:firstLine="640" w:firstLineChars="200"/>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202</w:t>
      </w:r>
      <w:r>
        <w:rPr>
          <w:rFonts w:hint="eastAsia" w:ascii="仿宋_GB2312" w:eastAsia="仿宋_GB2312" w:cs="宋体" w:hAnsiTheme="minorEastAsia"/>
          <w:color w:val="auto"/>
          <w:kern w:val="0"/>
          <w:sz w:val="32"/>
          <w:szCs w:val="32"/>
          <w:lang w:val="en-US" w:eastAsia="zh-CN"/>
        </w:rPr>
        <w:t>5</w:t>
      </w:r>
      <w:r>
        <w:rPr>
          <w:rFonts w:hint="eastAsia" w:ascii="仿宋_GB2312" w:eastAsia="仿宋_GB2312" w:cs="宋体" w:hAnsiTheme="minorEastAsia"/>
          <w:color w:val="auto"/>
          <w:kern w:val="0"/>
          <w:sz w:val="32"/>
          <w:szCs w:val="32"/>
        </w:rPr>
        <w:t>年度，股本金</w:t>
      </w:r>
      <w:r>
        <w:rPr>
          <w:rFonts w:hint="eastAsia" w:ascii="仿宋_GB2312" w:eastAsia="仿宋_GB2312" w:cs="宋体" w:hAnsiTheme="minorEastAsia"/>
          <w:color w:val="auto"/>
          <w:kern w:val="0"/>
          <w:sz w:val="32"/>
          <w:szCs w:val="32"/>
          <w:lang w:eastAsia="zh-CN"/>
        </w:rPr>
        <w:t>总额未增加，发生的增减变动为股东股权转让</w:t>
      </w:r>
      <w:r>
        <w:rPr>
          <w:rFonts w:hint="eastAsia" w:ascii="仿宋_GB2312" w:eastAsia="仿宋_GB2312" w:cs="宋体" w:hAnsiTheme="minorEastAsia"/>
          <w:color w:val="auto"/>
          <w:kern w:val="0"/>
          <w:sz w:val="32"/>
          <w:szCs w:val="32"/>
        </w:rPr>
        <w:t>。</w:t>
      </w:r>
    </w:p>
    <w:p>
      <w:pPr>
        <w:widowControl/>
        <w:shd w:val="clear" w:color="auto" w:fill="FFFFFF"/>
        <w:tabs>
          <w:tab w:val="left" w:pos="630"/>
        </w:tabs>
        <w:spacing w:line="500" w:lineRule="exact"/>
        <w:ind w:left="5267" w:leftChars="2508" w:firstLine="316" w:firstLineChars="99"/>
        <w:jc w:val="left"/>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单位：人民币  万</w:t>
      </w:r>
      <w:r>
        <w:rPr>
          <w:rFonts w:hint="eastAsia" w:ascii="仿宋_GB2312" w:eastAsia="仿宋_GB2312" w:cs="宋体" w:hAnsiTheme="minorEastAsia"/>
          <w:color w:val="auto"/>
          <w:kern w:val="0"/>
          <w:sz w:val="32"/>
          <w:szCs w:val="32"/>
          <w:lang w:eastAsia="zh-CN"/>
        </w:rPr>
        <w:t>股</w:t>
      </w:r>
      <w:r>
        <w:rPr>
          <w:rFonts w:hint="eastAsia" w:ascii="仿宋_GB2312" w:eastAsia="仿宋_GB2312" w:cs="宋体" w:hAnsiTheme="minorEastAsia"/>
          <w:color w:val="auto"/>
          <w:kern w:val="0"/>
          <w:sz w:val="32"/>
          <w:szCs w:val="32"/>
        </w:rPr>
        <w:t xml:space="preserve"> </w:t>
      </w:r>
    </w:p>
    <w:tbl>
      <w:tblPr>
        <w:tblStyle w:val="8"/>
        <w:tblW w:w="8522" w:type="dxa"/>
        <w:tblInd w:w="0" w:type="dxa"/>
        <w:tblLayout w:type="fixed"/>
        <w:tblCellMar>
          <w:top w:w="0" w:type="dxa"/>
          <w:left w:w="108" w:type="dxa"/>
          <w:bottom w:w="0" w:type="dxa"/>
          <w:right w:w="108" w:type="dxa"/>
        </w:tblCellMar>
      </w:tblPr>
      <w:tblGrid>
        <w:gridCol w:w="1589"/>
        <w:gridCol w:w="1551"/>
        <w:gridCol w:w="1372"/>
        <w:gridCol w:w="1411"/>
        <w:gridCol w:w="1121"/>
        <w:gridCol w:w="1478"/>
      </w:tblGrid>
      <w:tr>
        <w:tblPrEx>
          <w:tblLayout w:type="fixed"/>
          <w:tblCellMar>
            <w:top w:w="0" w:type="dxa"/>
            <w:left w:w="108" w:type="dxa"/>
            <w:bottom w:w="0" w:type="dxa"/>
            <w:right w:w="108" w:type="dxa"/>
          </w:tblCellMar>
        </w:tblPrEx>
        <w:trPr>
          <w:trHeight w:val="780" w:hRule="atLeast"/>
        </w:trPr>
        <w:tc>
          <w:tcPr>
            <w:tcW w:w="15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股东类型</w:t>
            </w:r>
          </w:p>
        </w:tc>
        <w:tc>
          <w:tcPr>
            <w:tcW w:w="15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202</w:t>
            </w:r>
            <w:r>
              <w:rPr>
                <w:rFonts w:hint="eastAsia" w:cs="宋体" w:asciiTheme="minorEastAsia" w:hAnsiTheme="minorEastAsia"/>
                <w:color w:val="auto"/>
                <w:kern w:val="0"/>
                <w:sz w:val="24"/>
                <w:szCs w:val="24"/>
                <w:lang w:val="en-US" w:eastAsia="zh-CN"/>
              </w:rPr>
              <w:t>4</w:t>
            </w:r>
            <w:r>
              <w:rPr>
                <w:rFonts w:hint="eastAsia" w:cs="宋体" w:asciiTheme="minorEastAsia" w:hAnsiTheme="minorEastAsia"/>
                <w:color w:val="auto"/>
                <w:kern w:val="0"/>
                <w:sz w:val="24"/>
                <w:szCs w:val="24"/>
              </w:rPr>
              <w:t>年末股本数</w:t>
            </w:r>
          </w:p>
        </w:tc>
        <w:tc>
          <w:tcPr>
            <w:tcW w:w="137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增减情况</w:t>
            </w:r>
          </w:p>
        </w:tc>
        <w:tc>
          <w:tcPr>
            <w:tcW w:w="14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202</w:t>
            </w:r>
            <w:r>
              <w:rPr>
                <w:rFonts w:hint="eastAsia" w:cs="宋体" w:asciiTheme="minorEastAsia" w:hAnsiTheme="minorEastAsia"/>
                <w:color w:val="auto"/>
                <w:kern w:val="0"/>
                <w:sz w:val="24"/>
                <w:szCs w:val="24"/>
                <w:lang w:val="en-US" w:eastAsia="zh-CN"/>
              </w:rPr>
              <w:t>5</w:t>
            </w:r>
            <w:r>
              <w:rPr>
                <w:rFonts w:hint="eastAsia" w:cs="宋体" w:asciiTheme="minorEastAsia" w:hAnsiTheme="minorEastAsia"/>
                <w:color w:val="auto"/>
                <w:kern w:val="0"/>
                <w:sz w:val="24"/>
                <w:szCs w:val="24"/>
              </w:rPr>
              <w:t>年末股本数</w:t>
            </w:r>
          </w:p>
        </w:tc>
        <w:tc>
          <w:tcPr>
            <w:tcW w:w="1121" w:type="dxa"/>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202</w:t>
            </w:r>
            <w:r>
              <w:rPr>
                <w:rFonts w:hint="eastAsia" w:cs="宋体" w:asciiTheme="minorEastAsia" w:hAnsiTheme="minorEastAsia"/>
                <w:color w:val="auto"/>
                <w:kern w:val="0"/>
                <w:sz w:val="24"/>
                <w:szCs w:val="24"/>
                <w:lang w:val="en-US" w:eastAsia="zh-CN"/>
              </w:rPr>
              <w:t>5</w:t>
            </w:r>
            <w:r>
              <w:rPr>
                <w:rFonts w:hint="eastAsia" w:cs="宋体" w:asciiTheme="minorEastAsia" w:hAnsiTheme="minorEastAsia"/>
                <w:color w:val="auto"/>
                <w:kern w:val="0"/>
                <w:sz w:val="24"/>
                <w:szCs w:val="24"/>
              </w:rPr>
              <w:t>年末股东户数</w:t>
            </w:r>
          </w:p>
        </w:tc>
        <w:tc>
          <w:tcPr>
            <w:tcW w:w="14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占总股本比例（%）</w:t>
            </w:r>
          </w:p>
        </w:tc>
      </w:tr>
      <w:tr>
        <w:tblPrEx>
          <w:tblLayout w:type="fixed"/>
          <w:tblCellMar>
            <w:top w:w="0" w:type="dxa"/>
            <w:left w:w="108" w:type="dxa"/>
            <w:bottom w:w="0" w:type="dxa"/>
            <w:right w:w="108" w:type="dxa"/>
          </w:tblCellMar>
        </w:tblPrEx>
        <w:trPr>
          <w:trHeight w:val="810" w:hRule="atLeast"/>
        </w:trPr>
        <w:tc>
          <w:tcPr>
            <w:tcW w:w="158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法人股</w:t>
            </w:r>
          </w:p>
        </w:tc>
        <w:tc>
          <w:tcPr>
            <w:tcW w:w="1551"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11498.89</w:t>
            </w:r>
          </w:p>
        </w:tc>
        <w:tc>
          <w:tcPr>
            <w:tcW w:w="1372"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-101</w:t>
            </w:r>
          </w:p>
        </w:tc>
        <w:tc>
          <w:tcPr>
            <w:tcW w:w="1411"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11397.89</w:t>
            </w:r>
          </w:p>
        </w:tc>
        <w:tc>
          <w:tcPr>
            <w:tcW w:w="1121" w:type="dxa"/>
            <w:tcBorders>
              <w:top w:val="nil"/>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rPr>
              <w:t>1</w:t>
            </w:r>
            <w:r>
              <w:rPr>
                <w:rFonts w:hint="eastAsia" w:cs="宋体" w:asciiTheme="minorEastAsia" w:hAnsiTheme="minorEastAsia"/>
                <w:color w:val="auto"/>
                <w:kern w:val="0"/>
                <w:sz w:val="24"/>
                <w:szCs w:val="24"/>
                <w:lang w:val="en-US" w:eastAsia="zh-CN"/>
              </w:rPr>
              <w:t>8</w:t>
            </w:r>
          </w:p>
        </w:tc>
        <w:tc>
          <w:tcPr>
            <w:tcW w:w="14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color w:val="auto"/>
                <w:kern w:val="0"/>
                <w:sz w:val="24"/>
                <w:szCs w:val="24"/>
                <w:lang w:val="en-US"/>
              </w:rPr>
            </w:pPr>
            <w:r>
              <w:rPr>
                <w:rFonts w:hint="eastAsia" w:cs="宋体" w:asciiTheme="minorEastAsia" w:hAnsiTheme="minorEastAsia"/>
                <w:color w:val="auto"/>
                <w:kern w:val="0"/>
                <w:sz w:val="24"/>
                <w:szCs w:val="24"/>
                <w:lang w:val="en-US" w:eastAsia="zh-CN"/>
              </w:rPr>
              <w:t>47.13</w:t>
            </w:r>
          </w:p>
        </w:tc>
      </w:tr>
      <w:tr>
        <w:tblPrEx>
          <w:tblLayout w:type="fixed"/>
          <w:tblCellMar>
            <w:top w:w="0" w:type="dxa"/>
            <w:left w:w="108" w:type="dxa"/>
            <w:bottom w:w="0" w:type="dxa"/>
            <w:right w:w="108" w:type="dxa"/>
          </w:tblCellMar>
        </w:tblPrEx>
        <w:trPr>
          <w:trHeight w:val="828" w:hRule="atLeast"/>
        </w:trPr>
        <w:tc>
          <w:tcPr>
            <w:tcW w:w="158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非职工自然人股</w:t>
            </w:r>
          </w:p>
        </w:tc>
        <w:tc>
          <w:tcPr>
            <w:tcW w:w="1551"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10404.56</w:t>
            </w:r>
          </w:p>
        </w:tc>
        <w:tc>
          <w:tcPr>
            <w:tcW w:w="1372"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272.58</w:t>
            </w:r>
          </w:p>
        </w:tc>
        <w:tc>
          <w:tcPr>
            <w:tcW w:w="1411"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10677.14</w:t>
            </w:r>
          </w:p>
        </w:tc>
        <w:tc>
          <w:tcPr>
            <w:tcW w:w="1121" w:type="dxa"/>
            <w:tcBorders>
              <w:top w:val="nil"/>
              <w:left w:val="nil"/>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rPr>
              <w:t>9</w:t>
            </w:r>
            <w:r>
              <w:rPr>
                <w:rFonts w:hint="eastAsia" w:cs="宋体" w:asciiTheme="minorEastAsia" w:hAnsiTheme="minorEastAsia"/>
                <w:color w:val="auto"/>
                <w:kern w:val="0"/>
                <w:sz w:val="24"/>
                <w:szCs w:val="24"/>
                <w:highlight w:val="none"/>
                <w:lang w:val="en-US" w:eastAsia="zh-CN"/>
              </w:rPr>
              <w:t>99</w:t>
            </w:r>
          </w:p>
        </w:tc>
        <w:tc>
          <w:tcPr>
            <w:tcW w:w="14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highlight w:val="none"/>
                <w:lang w:val="en-US" w:eastAsia="zh-CN"/>
              </w:rPr>
            </w:pPr>
            <w:r>
              <w:rPr>
                <w:rFonts w:cs="宋体" w:asciiTheme="minorEastAsia" w:hAnsiTheme="minorEastAsia"/>
                <w:color w:val="auto"/>
                <w:kern w:val="0"/>
                <w:sz w:val="24"/>
                <w:szCs w:val="24"/>
                <w:highlight w:val="none"/>
              </w:rPr>
              <w:t>4</w:t>
            </w:r>
            <w:r>
              <w:rPr>
                <w:rFonts w:hint="eastAsia" w:cs="宋体" w:asciiTheme="minorEastAsia" w:hAnsiTheme="minorEastAsia"/>
                <w:color w:val="auto"/>
                <w:kern w:val="0"/>
                <w:sz w:val="24"/>
                <w:szCs w:val="24"/>
                <w:highlight w:val="none"/>
                <w:lang w:val="en-US" w:eastAsia="zh-CN"/>
              </w:rPr>
              <w:t>4.15</w:t>
            </w:r>
          </w:p>
        </w:tc>
      </w:tr>
      <w:tr>
        <w:tblPrEx>
          <w:tblLayout w:type="fixed"/>
          <w:tblCellMar>
            <w:top w:w="0" w:type="dxa"/>
            <w:left w:w="108" w:type="dxa"/>
            <w:bottom w:w="0" w:type="dxa"/>
            <w:right w:w="108" w:type="dxa"/>
          </w:tblCellMar>
        </w:tblPrEx>
        <w:trPr>
          <w:trHeight w:val="810" w:hRule="atLeast"/>
        </w:trPr>
        <w:tc>
          <w:tcPr>
            <w:tcW w:w="158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职工自然人股</w:t>
            </w:r>
          </w:p>
        </w:tc>
        <w:tc>
          <w:tcPr>
            <w:tcW w:w="1551"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2281.84</w:t>
            </w:r>
          </w:p>
        </w:tc>
        <w:tc>
          <w:tcPr>
            <w:tcW w:w="1372"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-171.58</w:t>
            </w:r>
          </w:p>
        </w:tc>
        <w:tc>
          <w:tcPr>
            <w:tcW w:w="1411"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2110.26</w:t>
            </w:r>
          </w:p>
        </w:tc>
        <w:tc>
          <w:tcPr>
            <w:tcW w:w="1121" w:type="dxa"/>
            <w:tcBorders>
              <w:top w:val="nil"/>
              <w:left w:val="nil"/>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153</w:t>
            </w:r>
          </w:p>
        </w:tc>
        <w:tc>
          <w:tcPr>
            <w:tcW w:w="14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color w:val="auto"/>
                <w:kern w:val="0"/>
                <w:sz w:val="24"/>
                <w:szCs w:val="24"/>
                <w:highlight w:val="none"/>
                <w:lang w:val="en-US"/>
              </w:rPr>
            </w:pPr>
            <w:r>
              <w:rPr>
                <w:rFonts w:hint="eastAsia" w:cs="宋体" w:asciiTheme="minorEastAsia" w:hAnsiTheme="minorEastAsia"/>
                <w:color w:val="auto"/>
                <w:kern w:val="0"/>
                <w:sz w:val="24"/>
                <w:szCs w:val="24"/>
                <w:highlight w:val="none"/>
                <w:lang w:val="en-US" w:eastAsia="zh-CN"/>
              </w:rPr>
              <w:t>8.72</w:t>
            </w:r>
          </w:p>
        </w:tc>
      </w:tr>
      <w:tr>
        <w:tblPrEx>
          <w:tblLayout w:type="fixed"/>
          <w:tblCellMar>
            <w:top w:w="0" w:type="dxa"/>
            <w:left w:w="108" w:type="dxa"/>
            <w:bottom w:w="0" w:type="dxa"/>
            <w:right w:w="108" w:type="dxa"/>
          </w:tblCellMar>
        </w:tblPrEx>
        <w:trPr>
          <w:trHeight w:val="810" w:hRule="atLeast"/>
        </w:trPr>
        <w:tc>
          <w:tcPr>
            <w:tcW w:w="158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合计</w:t>
            </w:r>
          </w:p>
        </w:tc>
        <w:tc>
          <w:tcPr>
            <w:tcW w:w="1551"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24185.29</w:t>
            </w:r>
          </w:p>
        </w:tc>
        <w:tc>
          <w:tcPr>
            <w:tcW w:w="1372"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p>
        </w:tc>
        <w:tc>
          <w:tcPr>
            <w:tcW w:w="1411"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24185.29</w:t>
            </w:r>
          </w:p>
        </w:tc>
        <w:tc>
          <w:tcPr>
            <w:tcW w:w="1121" w:type="dxa"/>
            <w:tcBorders>
              <w:top w:val="nil"/>
              <w:left w:val="nil"/>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rPr>
              <w:t>11</w:t>
            </w:r>
            <w:r>
              <w:rPr>
                <w:rFonts w:hint="eastAsia" w:cs="宋体" w:asciiTheme="minorEastAsia" w:hAnsiTheme="minorEastAsia"/>
                <w:color w:val="auto"/>
                <w:kern w:val="0"/>
                <w:sz w:val="24"/>
                <w:szCs w:val="24"/>
                <w:lang w:val="en-US" w:eastAsia="zh-CN"/>
              </w:rPr>
              <w:t>70</w:t>
            </w:r>
          </w:p>
        </w:tc>
        <w:tc>
          <w:tcPr>
            <w:tcW w:w="14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cs="宋体" w:asciiTheme="minorEastAsia" w:hAnsiTheme="minorEastAsia"/>
                <w:color w:val="auto"/>
                <w:kern w:val="0"/>
                <w:sz w:val="24"/>
                <w:szCs w:val="24"/>
              </w:rPr>
              <w:t>100</w:t>
            </w:r>
          </w:p>
        </w:tc>
      </w:tr>
    </w:tbl>
    <w:p>
      <w:pPr>
        <w:widowControl/>
        <w:shd w:val="clear" w:color="auto" w:fill="FFFFFF"/>
        <w:tabs>
          <w:tab w:val="left" w:pos="630"/>
        </w:tabs>
        <w:spacing w:line="500" w:lineRule="exact"/>
        <w:ind w:left="5231" w:leftChars="196" w:hanging="4819" w:hangingChars="1500"/>
        <w:jc w:val="both"/>
        <w:rPr>
          <w:rFonts w:hint="default" w:ascii="仿宋_GB2312" w:eastAsia="仿宋_GB2312" w:cs="宋体" w:hAnsiTheme="minorEastAsia"/>
          <w:b/>
          <w:bCs/>
          <w:color w:val="auto"/>
          <w:kern w:val="0"/>
          <w:sz w:val="32"/>
          <w:szCs w:val="32"/>
          <w:highlight w:val="yellow"/>
          <w:lang w:val="en-US" w:eastAsia="zh-CN"/>
        </w:rPr>
      </w:pPr>
      <w:r>
        <w:rPr>
          <w:rFonts w:hint="eastAsia" w:ascii="仿宋_GB2312" w:eastAsia="仿宋_GB2312" w:cs="宋体" w:hAnsiTheme="minorEastAsia"/>
          <w:b/>
          <w:bCs/>
          <w:color w:val="auto"/>
          <w:kern w:val="0"/>
          <w:sz w:val="32"/>
          <w:szCs w:val="32"/>
        </w:rPr>
        <w:t>5.3最大十名股东及</w:t>
      </w:r>
      <w:r>
        <w:rPr>
          <w:rFonts w:hint="eastAsia" w:ascii="仿宋_GB2312" w:eastAsia="仿宋_GB2312" w:cs="宋体" w:hAnsiTheme="minorEastAsia"/>
          <w:b/>
          <w:bCs/>
          <w:color w:val="auto"/>
          <w:kern w:val="0"/>
          <w:sz w:val="32"/>
          <w:szCs w:val="32"/>
          <w:lang w:eastAsia="zh-CN"/>
        </w:rPr>
        <w:t>持股</w:t>
      </w:r>
      <w:r>
        <w:rPr>
          <w:rFonts w:hint="eastAsia" w:ascii="仿宋_GB2312" w:eastAsia="仿宋_GB2312" w:cs="宋体" w:hAnsiTheme="minorEastAsia"/>
          <w:b/>
          <w:bCs/>
          <w:color w:val="auto"/>
          <w:kern w:val="0"/>
          <w:sz w:val="32"/>
          <w:szCs w:val="32"/>
          <w:lang w:val="en-US" w:eastAsia="zh-CN"/>
        </w:rPr>
        <w:t>1%以上股东</w:t>
      </w:r>
      <w:r>
        <w:rPr>
          <w:rFonts w:hint="eastAsia" w:ascii="仿宋_GB2312" w:eastAsia="仿宋_GB2312" w:cs="宋体" w:hAnsiTheme="minorEastAsia"/>
          <w:b/>
          <w:bCs/>
          <w:color w:val="auto"/>
          <w:kern w:val="0"/>
          <w:sz w:val="32"/>
          <w:szCs w:val="32"/>
        </w:rPr>
        <w:t>报告期内变动情况</w:t>
      </w:r>
    </w:p>
    <w:p>
      <w:pPr>
        <w:widowControl/>
        <w:shd w:val="clear" w:color="auto" w:fill="FFFFFF"/>
        <w:tabs>
          <w:tab w:val="left" w:pos="630"/>
        </w:tabs>
        <w:spacing w:line="500" w:lineRule="exact"/>
        <w:ind w:left="5200" w:leftChars="2476" w:firstLine="960" w:firstLineChars="300"/>
        <w:jc w:val="left"/>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单位</w:t>
      </w:r>
      <w:r>
        <w:rPr>
          <w:rFonts w:hint="eastAsia" w:ascii="仿宋_GB2312" w:eastAsia="仿宋_GB2312" w:cs="宋体" w:hAnsiTheme="minorEastAsia"/>
          <w:color w:val="auto"/>
          <w:kern w:val="0"/>
          <w:sz w:val="32"/>
          <w:szCs w:val="32"/>
          <w:lang w:eastAsia="zh-CN"/>
        </w:rPr>
        <w:t>：</w:t>
      </w:r>
      <w:r>
        <w:rPr>
          <w:rFonts w:hint="eastAsia" w:ascii="仿宋_GB2312" w:eastAsia="仿宋_GB2312" w:cs="宋体" w:hAnsiTheme="minorEastAsia"/>
          <w:color w:val="auto"/>
          <w:kern w:val="0"/>
          <w:sz w:val="32"/>
          <w:szCs w:val="32"/>
        </w:rPr>
        <w:t>万股</w:t>
      </w:r>
    </w:p>
    <w:tbl>
      <w:tblPr>
        <w:tblStyle w:val="8"/>
        <w:tblW w:w="8522" w:type="dxa"/>
        <w:jc w:val="center"/>
        <w:tblInd w:w="0" w:type="dxa"/>
        <w:tblLayout w:type="fixed"/>
        <w:tblCellMar>
          <w:top w:w="0" w:type="dxa"/>
          <w:left w:w="108" w:type="dxa"/>
          <w:bottom w:w="0" w:type="dxa"/>
          <w:right w:w="108" w:type="dxa"/>
        </w:tblCellMar>
      </w:tblPr>
      <w:tblGrid>
        <w:gridCol w:w="4056"/>
        <w:gridCol w:w="1068"/>
        <w:gridCol w:w="1351"/>
        <w:gridCol w:w="1159"/>
        <w:gridCol w:w="888"/>
      </w:tblGrid>
      <w:tr>
        <w:tblPrEx>
          <w:tblLayout w:type="fixed"/>
          <w:tblCellMar>
            <w:top w:w="0" w:type="dxa"/>
            <w:left w:w="108" w:type="dxa"/>
            <w:bottom w:w="0" w:type="dxa"/>
            <w:right w:w="108" w:type="dxa"/>
          </w:tblCellMar>
        </w:tblPrEx>
        <w:trPr>
          <w:trHeight w:val="780" w:hRule="atLeast"/>
          <w:jc w:val="center"/>
        </w:trPr>
        <w:tc>
          <w:tcPr>
            <w:tcW w:w="40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股东名称</w:t>
            </w:r>
          </w:p>
        </w:tc>
        <w:tc>
          <w:tcPr>
            <w:tcW w:w="106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期初持股数额</w:t>
            </w:r>
          </w:p>
        </w:tc>
        <w:tc>
          <w:tcPr>
            <w:tcW w:w="1351"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本期增减变动</w:t>
            </w:r>
          </w:p>
        </w:tc>
        <w:tc>
          <w:tcPr>
            <w:tcW w:w="115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期末持股数额</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持股比例（%）</w:t>
            </w:r>
          </w:p>
        </w:tc>
      </w:tr>
      <w:tr>
        <w:tblPrEx>
          <w:tblLayout w:type="fixed"/>
          <w:tblCellMar>
            <w:top w:w="0" w:type="dxa"/>
            <w:left w:w="108" w:type="dxa"/>
            <w:bottom w:w="0" w:type="dxa"/>
            <w:right w:w="108" w:type="dxa"/>
          </w:tblCellMar>
        </w:tblPrEx>
        <w:trPr>
          <w:trHeight w:val="687"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江西崇义农村商业银行股份有限公司</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1751.22</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cs="宋体" w:asciiTheme="minorEastAsia" w:hAnsiTheme="minorEastAsia"/>
                <w:color w:val="auto"/>
                <w:kern w:val="0"/>
                <w:sz w:val="24"/>
                <w:szCs w:val="24"/>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1751.22</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7.</w:t>
            </w:r>
            <w:r>
              <w:rPr>
                <w:rFonts w:hint="eastAsia" w:cs="宋体" w:asciiTheme="minorEastAsia" w:hAnsiTheme="minorEastAsia"/>
                <w:color w:val="auto"/>
                <w:kern w:val="0"/>
                <w:sz w:val="24"/>
                <w:szCs w:val="24"/>
                <w:lang w:val="en-US" w:eastAsia="zh-CN"/>
              </w:rPr>
              <w:t>24</w:t>
            </w:r>
          </w:p>
        </w:tc>
      </w:tr>
      <w:tr>
        <w:tblPrEx>
          <w:tblLayout w:type="fixed"/>
          <w:tblCellMar>
            <w:top w:w="0" w:type="dxa"/>
            <w:left w:w="108" w:type="dxa"/>
            <w:bottom w:w="0" w:type="dxa"/>
            <w:right w:w="108" w:type="dxa"/>
          </w:tblCellMar>
        </w:tblPrEx>
        <w:trPr>
          <w:trHeight w:val="750"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江西定南农村商业银行股份有限公司</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16</w:t>
            </w:r>
            <w:r>
              <w:rPr>
                <w:rFonts w:hint="eastAsia" w:cs="宋体" w:asciiTheme="minorEastAsia" w:hAnsiTheme="minorEastAsia"/>
                <w:color w:val="auto"/>
                <w:kern w:val="0"/>
                <w:sz w:val="24"/>
                <w:szCs w:val="24"/>
                <w:lang w:val="en-US" w:eastAsia="zh-CN"/>
              </w:rPr>
              <w:t>26.01</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cs="宋体" w:asciiTheme="minorEastAsia" w:hAnsiTheme="minorEastAsia"/>
                <w:color w:val="auto"/>
                <w:kern w:val="0"/>
                <w:sz w:val="24"/>
                <w:szCs w:val="24"/>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rPr>
              <w:t>16</w:t>
            </w:r>
            <w:r>
              <w:rPr>
                <w:rFonts w:hint="eastAsia" w:cs="宋体" w:asciiTheme="minorEastAsia" w:hAnsiTheme="minorEastAsia"/>
                <w:color w:val="auto"/>
                <w:kern w:val="0"/>
                <w:sz w:val="24"/>
                <w:szCs w:val="24"/>
                <w:lang w:val="en-US" w:eastAsia="zh-CN"/>
              </w:rPr>
              <w:t>26.01</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6.72</w:t>
            </w:r>
          </w:p>
        </w:tc>
      </w:tr>
      <w:tr>
        <w:tblPrEx>
          <w:tblLayout w:type="fixed"/>
          <w:tblCellMar>
            <w:top w:w="0" w:type="dxa"/>
            <w:left w:w="108" w:type="dxa"/>
            <w:bottom w:w="0" w:type="dxa"/>
            <w:right w:w="108" w:type="dxa"/>
          </w:tblCellMar>
        </w:tblPrEx>
        <w:trPr>
          <w:trHeight w:val="750"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rPr>
              <w:t>大余县城市与乡村发展投资集团有限责任公司</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1515.00</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cs="宋体" w:asciiTheme="minorEastAsia" w:hAnsiTheme="minorEastAsia" w:eastAsiaTheme="minorEastAsia"/>
                <w:color w:val="auto"/>
                <w:kern w:val="0"/>
                <w:sz w:val="24"/>
                <w:szCs w:val="24"/>
                <w:lang w:val="en-US" w:eastAsia="zh-CN"/>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1515.00</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6.26</w:t>
            </w:r>
          </w:p>
        </w:tc>
      </w:tr>
      <w:tr>
        <w:tblPrEx>
          <w:tblLayout w:type="fixed"/>
          <w:tblCellMar>
            <w:top w:w="0" w:type="dxa"/>
            <w:left w:w="108" w:type="dxa"/>
            <w:bottom w:w="0" w:type="dxa"/>
            <w:right w:w="108" w:type="dxa"/>
          </w:tblCellMar>
        </w:tblPrEx>
        <w:trPr>
          <w:trHeight w:val="750"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江西全南农村商业银行股份有限公司</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11</w:t>
            </w:r>
            <w:r>
              <w:rPr>
                <w:rFonts w:hint="eastAsia" w:cs="宋体" w:asciiTheme="minorEastAsia" w:hAnsiTheme="minorEastAsia"/>
                <w:color w:val="auto"/>
                <w:kern w:val="0"/>
                <w:sz w:val="24"/>
                <w:szCs w:val="24"/>
                <w:lang w:val="en-US" w:eastAsia="zh-CN"/>
              </w:rPr>
              <w:t>68</w:t>
            </w:r>
            <w:r>
              <w:rPr>
                <w:rFonts w:hint="eastAsia" w:cs="宋体" w:asciiTheme="minorEastAsia" w:hAnsiTheme="minorEastAsia"/>
                <w:color w:val="auto"/>
                <w:kern w:val="0"/>
                <w:sz w:val="24"/>
                <w:szCs w:val="24"/>
              </w:rPr>
              <w:t>.</w:t>
            </w:r>
            <w:r>
              <w:rPr>
                <w:rFonts w:hint="eastAsia" w:cs="宋体" w:asciiTheme="minorEastAsia" w:hAnsiTheme="minorEastAsia"/>
                <w:color w:val="auto"/>
                <w:kern w:val="0"/>
                <w:sz w:val="24"/>
                <w:szCs w:val="24"/>
                <w:lang w:val="en-US" w:eastAsia="zh-CN"/>
              </w:rPr>
              <w:t>88</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cs="宋体" w:asciiTheme="minorEastAsia" w:hAnsiTheme="minorEastAsia"/>
                <w:color w:val="auto"/>
                <w:kern w:val="0"/>
                <w:sz w:val="24"/>
                <w:szCs w:val="24"/>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rPr>
              <w:t>11</w:t>
            </w:r>
            <w:r>
              <w:rPr>
                <w:rFonts w:hint="eastAsia" w:cs="宋体" w:asciiTheme="minorEastAsia" w:hAnsiTheme="minorEastAsia"/>
                <w:color w:val="auto"/>
                <w:kern w:val="0"/>
                <w:sz w:val="24"/>
                <w:szCs w:val="24"/>
                <w:lang w:val="en-US" w:eastAsia="zh-CN"/>
              </w:rPr>
              <w:t>68</w:t>
            </w:r>
            <w:r>
              <w:rPr>
                <w:rFonts w:hint="eastAsia" w:cs="宋体" w:asciiTheme="minorEastAsia" w:hAnsiTheme="minorEastAsia"/>
                <w:color w:val="auto"/>
                <w:kern w:val="0"/>
                <w:sz w:val="24"/>
                <w:szCs w:val="24"/>
              </w:rPr>
              <w:t>.</w:t>
            </w:r>
            <w:r>
              <w:rPr>
                <w:rFonts w:hint="eastAsia" w:cs="宋体" w:asciiTheme="minorEastAsia" w:hAnsiTheme="minorEastAsia"/>
                <w:color w:val="auto"/>
                <w:kern w:val="0"/>
                <w:sz w:val="24"/>
                <w:szCs w:val="24"/>
                <w:lang w:val="en-US" w:eastAsia="zh-CN"/>
              </w:rPr>
              <w:t>88</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4.83</w:t>
            </w:r>
          </w:p>
        </w:tc>
      </w:tr>
      <w:tr>
        <w:tblPrEx>
          <w:tblLayout w:type="fixed"/>
          <w:tblCellMar>
            <w:top w:w="0" w:type="dxa"/>
            <w:left w:w="108" w:type="dxa"/>
            <w:bottom w:w="0" w:type="dxa"/>
            <w:right w:w="108" w:type="dxa"/>
          </w:tblCellMar>
        </w:tblPrEx>
        <w:trPr>
          <w:trHeight w:val="750"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江西于都农村商业银行股份有限公司</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11</w:t>
            </w:r>
            <w:r>
              <w:rPr>
                <w:rFonts w:hint="eastAsia" w:cs="宋体" w:asciiTheme="minorEastAsia" w:hAnsiTheme="minorEastAsia"/>
                <w:color w:val="auto"/>
                <w:kern w:val="0"/>
                <w:sz w:val="24"/>
                <w:szCs w:val="24"/>
                <w:lang w:val="en-US" w:eastAsia="zh-CN"/>
              </w:rPr>
              <w:t>19.85</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cs="宋体" w:asciiTheme="minorEastAsia" w:hAnsiTheme="minorEastAsia"/>
                <w:color w:val="auto"/>
                <w:kern w:val="0"/>
                <w:sz w:val="24"/>
                <w:szCs w:val="24"/>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rPr>
              <w:t>11</w:t>
            </w:r>
            <w:r>
              <w:rPr>
                <w:rFonts w:hint="eastAsia" w:cs="宋体" w:asciiTheme="minorEastAsia" w:hAnsiTheme="minorEastAsia"/>
                <w:color w:val="auto"/>
                <w:kern w:val="0"/>
                <w:sz w:val="24"/>
                <w:szCs w:val="24"/>
                <w:lang w:val="en-US" w:eastAsia="zh-CN"/>
              </w:rPr>
              <w:t>19.85</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4.63</w:t>
            </w:r>
          </w:p>
        </w:tc>
      </w:tr>
      <w:tr>
        <w:tblPrEx>
          <w:tblLayout w:type="fixed"/>
          <w:tblCellMar>
            <w:top w:w="0" w:type="dxa"/>
            <w:left w:w="108" w:type="dxa"/>
            <w:bottom w:w="0" w:type="dxa"/>
            <w:right w:w="108" w:type="dxa"/>
          </w:tblCellMar>
        </w:tblPrEx>
        <w:trPr>
          <w:trHeight w:val="645"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赣州市瑞泰有色金属有限公司</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8</w:t>
            </w:r>
            <w:r>
              <w:rPr>
                <w:rFonts w:hint="eastAsia" w:cs="宋体" w:asciiTheme="minorEastAsia" w:hAnsiTheme="minorEastAsia"/>
                <w:color w:val="auto"/>
                <w:kern w:val="0"/>
                <w:sz w:val="24"/>
                <w:szCs w:val="24"/>
                <w:lang w:val="en-US" w:eastAsia="zh-CN"/>
              </w:rPr>
              <w:t>80.36</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cs="宋体" w:asciiTheme="minorEastAsia" w:hAnsiTheme="minorEastAsia"/>
                <w:color w:val="auto"/>
                <w:kern w:val="0"/>
                <w:sz w:val="24"/>
                <w:szCs w:val="24"/>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rPr>
              <w:t>8</w:t>
            </w:r>
            <w:r>
              <w:rPr>
                <w:rFonts w:hint="eastAsia" w:cs="宋体" w:asciiTheme="minorEastAsia" w:hAnsiTheme="minorEastAsia"/>
                <w:color w:val="auto"/>
                <w:kern w:val="0"/>
                <w:sz w:val="24"/>
                <w:szCs w:val="24"/>
                <w:lang w:val="en-US" w:eastAsia="zh-CN"/>
              </w:rPr>
              <w:t>80.36</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3.</w:t>
            </w:r>
            <w:r>
              <w:rPr>
                <w:rFonts w:hint="eastAsia" w:cs="宋体" w:asciiTheme="minorEastAsia" w:hAnsiTheme="minorEastAsia"/>
                <w:color w:val="auto"/>
                <w:kern w:val="0"/>
                <w:sz w:val="24"/>
                <w:szCs w:val="24"/>
                <w:lang w:val="en-US" w:eastAsia="zh-CN"/>
              </w:rPr>
              <w:t>64</w:t>
            </w:r>
          </w:p>
        </w:tc>
      </w:tr>
      <w:tr>
        <w:tblPrEx>
          <w:tblLayout w:type="fixed"/>
          <w:tblCellMar>
            <w:top w:w="0" w:type="dxa"/>
            <w:left w:w="108" w:type="dxa"/>
            <w:bottom w:w="0" w:type="dxa"/>
            <w:right w:w="108" w:type="dxa"/>
          </w:tblCellMar>
        </w:tblPrEx>
        <w:trPr>
          <w:trHeight w:val="750"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大余县聚古堂文化艺术发展有限公司</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5</w:t>
            </w:r>
            <w:r>
              <w:rPr>
                <w:rFonts w:hint="eastAsia" w:cs="宋体" w:asciiTheme="minorEastAsia" w:hAnsiTheme="minorEastAsia"/>
                <w:color w:val="auto"/>
                <w:kern w:val="0"/>
                <w:sz w:val="24"/>
                <w:szCs w:val="24"/>
                <w:lang w:val="en-US" w:eastAsia="zh-CN"/>
              </w:rPr>
              <w:t>38.54</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cs="宋体" w:asciiTheme="minorEastAsia" w:hAnsiTheme="minorEastAsia"/>
                <w:color w:val="auto"/>
                <w:kern w:val="0"/>
                <w:sz w:val="24"/>
                <w:szCs w:val="24"/>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rPr>
              <w:t>5</w:t>
            </w:r>
            <w:r>
              <w:rPr>
                <w:rFonts w:hint="eastAsia" w:cs="宋体" w:asciiTheme="minorEastAsia" w:hAnsiTheme="minorEastAsia"/>
                <w:color w:val="auto"/>
                <w:kern w:val="0"/>
                <w:sz w:val="24"/>
                <w:szCs w:val="24"/>
                <w:lang w:val="en-US" w:eastAsia="zh-CN"/>
              </w:rPr>
              <w:t>38.54</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2.23</w:t>
            </w:r>
          </w:p>
        </w:tc>
      </w:tr>
      <w:tr>
        <w:tblPrEx>
          <w:tblLayout w:type="fixed"/>
          <w:tblCellMar>
            <w:top w:w="0" w:type="dxa"/>
            <w:left w:w="108" w:type="dxa"/>
            <w:bottom w:w="0" w:type="dxa"/>
            <w:right w:w="108" w:type="dxa"/>
          </w:tblCellMar>
        </w:tblPrEx>
        <w:trPr>
          <w:trHeight w:val="750"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大余县睿智花卉苗木有限公司</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52</w:t>
            </w:r>
            <w:r>
              <w:rPr>
                <w:rFonts w:hint="eastAsia" w:cs="宋体" w:asciiTheme="minorEastAsia" w:hAnsiTheme="minorEastAsia"/>
                <w:color w:val="auto"/>
                <w:kern w:val="0"/>
                <w:sz w:val="24"/>
                <w:szCs w:val="24"/>
                <w:lang w:val="en-US" w:eastAsia="zh-CN"/>
              </w:rPr>
              <w:t>6.94</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cs="宋体" w:asciiTheme="minorEastAsia" w:hAnsiTheme="minorEastAsia"/>
                <w:color w:val="auto"/>
                <w:kern w:val="0"/>
                <w:sz w:val="24"/>
                <w:szCs w:val="24"/>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rPr>
              <w:t>52</w:t>
            </w:r>
            <w:r>
              <w:rPr>
                <w:rFonts w:hint="eastAsia" w:cs="宋体" w:asciiTheme="minorEastAsia" w:hAnsiTheme="minorEastAsia"/>
                <w:color w:val="auto"/>
                <w:kern w:val="0"/>
                <w:sz w:val="24"/>
                <w:szCs w:val="24"/>
                <w:lang w:val="en-US" w:eastAsia="zh-CN"/>
              </w:rPr>
              <w:t>6.94</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2.18</w:t>
            </w:r>
          </w:p>
        </w:tc>
      </w:tr>
      <w:tr>
        <w:tblPrEx>
          <w:tblLayout w:type="fixed"/>
          <w:tblCellMar>
            <w:top w:w="0" w:type="dxa"/>
            <w:left w:w="108" w:type="dxa"/>
            <w:bottom w:w="0" w:type="dxa"/>
            <w:right w:w="108" w:type="dxa"/>
          </w:tblCellMar>
        </w:tblPrEx>
        <w:trPr>
          <w:trHeight w:val="750"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赣州桂峰矿业有限公司</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4</w:t>
            </w:r>
            <w:r>
              <w:rPr>
                <w:rFonts w:hint="eastAsia" w:cs="宋体" w:asciiTheme="minorEastAsia" w:hAnsiTheme="minorEastAsia"/>
                <w:color w:val="auto"/>
                <w:kern w:val="0"/>
                <w:sz w:val="24"/>
                <w:szCs w:val="24"/>
                <w:lang w:val="en-US" w:eastAsia="zh-CN"/>
              </w:rPr>
              <w:t>54.50</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cs="宋体" w:asciiTheme="minorEastAsia" w:hAnsiTheme="minorEastAsia"/>
                <w:color w:val="auto"/>
                <w:kern w:val="0"/>
                <w:sz w:val="24"/>
                <w:szCs w:val="24"/>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rPr>
              <w:t>4</w:t>
            </w:r>
            <w:r>
              <w:rPr>
                <w:rFonts w:hint="eastAsia" w:cs="宋体" w:asciiTheme="minorEastAsia" w:hAnsiTheme="minorEastAsia"/>
                <w:color w:val="auto"/>
                <w:kern w:val="0"/>
                <w:sz w:val="24"/>
                <w:szCs w:val="24"/>
                <w:lang w:val="en-US" w:eastAsia="zh-CN"/>
              </w:rPr>
              <w:t>54.50</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1.88</w:t>
            </w:r>
          </w:p>
        </w:tc>
      </w:tr>
      <w:tr>
        <w:tblPrEx>
          <w:tblLayout w:type="fixed"/>
          <w:tblCellMar>
            <w:top w:w="0" w:type="dxa"/>
            <w:left w:w="108" w:type="dxa"/>
            <w:bottom w:w="0" w:type="dxa"/>
            <w:right w:w="108" w:type="dxa"/>
          </w:tblCellMar>
        </w:tblPrEx>
        <w:trPr>
          <w:trHeight w:val="750"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rPr>
              <w:t>大余县福鑫矿业有限公司</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438.08</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u w:val="none"/>
                <w:lang w:val="en-US" w:eastAsia="zh-CN" w:bidi="ar"/>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438.08</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rPr>
              <w:t>1.</w:t>
            </w:r>
            <w:r>
              <w:rPr>
                <w:rFonts w:hint="eastAsia" w:cs="宋体" w:asciiTheme="minorEastAsia" w:hAnsiTheme="minorEastAsia"/>
                <w:color w:val="auto"/>
                <w:kern w:val="0"/>
                <w:sz w:val="24"/>
                <w:szCs w:val="24"/>
                <w:lang w:val="en-US" w:eastAsia="zh-CN"/>
              </w:rPr>
              <w:t>81</w:t>
            </w:r>
          </w:p>
        </w:tc>
      </w:tr>
      <w:tr>
        <w:tblPrEx>
          <w:tblLayout w:type="fixed"/>
          <w:tblCellMar>
            <w:top w:w="0" w:type="dxa"/>
            <w:left w:w="108" w:type="dxa"/>
            <w:bottom w:w="0" w:type="dxa"/>
            <w:right w:w="108" w:type="dxa"/>
          </w:tblCellMar>
        </w:tblPrEx>
        <w:trPr>
          <w:trHeight w:val="750"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江西水龙有色金属集团有限公司</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431.06</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auto"/>
                <w:kern w:val="0"/>
                <w:sz w:val="24"/>
                <w:szCs w:val="24"/>
                <w:u w:val="none"/>
                <w:lang w:val="en-US" w:eastAsia="zh-CN" w:bidi="ar"/>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431.06</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1.78</w:t>
            </w:r>
          </w:p>
        </w:tc>
      </w:tr>
      <w:tr>
        <w:tblPrEx>
          <w:tblLayout w:type="fixed"/>
          <w:tblCellMar>
            <w:top w:w="0" w:type="dxa"/>
            <w:left w:w="108" w:type="dxa"/>
            <w:bottom w:w="0" w:type="dxa"/>
            <w:right w:w="108" w:type="dxa"/>
          </w:tblCellMar>
        </w:tblPrEx>
        <w:trPr>
          <w:trHeight w:val="660"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彭智勇</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370.84</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auto"/>
                <w:kern w:val="0"/>
                <w:sz w:val="24"/>
                <w:szCs w:val="24"/>
                <w:u w:val="none"/>
                <w:lang w:val="en-US" w:eastAsia="zh-CN" w:bidi="ar"/>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370.84</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1.53</w:t>
            </w:r>
          </w:p>
        </w:tc>
      </w:tr>
      <w:tr>
        <w:tblPrEx>
          <w:tblLayout w:type="fixed"/>
          <w:tblCellMar>
            <w:top w:w="0" w:type="dxa"/>
            <w:left w:w="108" w:type="dxa"/>
            <w:bottom w:w="0" w:type="dxa"/>
            <w:right w:w="108" w:type="dxa"/>
          </w:tblCellMar>
        </w:tblPrEx>
        <w:trPr>
          <w:trHeight w:val="750"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江西赣县农村商业银行股份有限公司</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352.87</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auto"/>
                <w:kern w:val="0"/>
                <w:sz w:val="24"/>
                <w:szCs w:val="24"/>
                <w:u w:val="none"/>
                <w:lang w:val="en-US" w:eastAsia="zh-CN" w:bidi="ar"/>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352.87</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1.46</w:t>
            </w:r>
          </w:p>
        </w:tc>
      </w:tr>
      <w:tr>
        <w:tblPrEx>
          <w:tblLayout w:type="fixed"/>
          <w:tblCellMar>
            <w:top w:w="0" w:type="dxa"/>
            <w:left w:w="108" w:type="dxa"/>
            <w:bottom w:w="0" w:type="dxa"/>
            <w:right w:w="108" w:type="dxa"/>
          </w:tblCellMar>
        </w:tblPrEx>
        <w:trPr>
          <w:trHeight w:val="750"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郭明金</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332.28</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auto"/>
                <w:kern w:val="0"/>
                <w:sz w:val="24"/>
                <w:szCs w:val="24"/>
                <w:u w:val="none"/>
                <w:lang w:val="en-US" w:eastAsia="zh-CN" w:bidi="ar"/>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332.28</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1.37</w:t>
            </w:r>
          </w:p>
        </w:tc>
      </w:tr>
      <w:tr>
        <w:tblPrEx>
          <w:tblLayout w:type="fixed"/>
          <w:tblCellMar>
            <w:top w:w="0" w:type="dxa"/>
            <w:left w:w="108" w:type="dxa"/>
            <w:bottom w:w="0" w:type="dxa"/>
            <w:right w:w="108" w:type="dxa"/>
          </w:tblCellMar>
        </w:tblPrEx>
        <w:trPr>
          <w:trHeight w:val="750"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邓拓铭</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275.76</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auto"/>
                <w:kern w:val="0"/>
                <w:sz w:val="24"/>
                <w:szCs w:val="24"/>
                <w:u w:val="none"/>
                <w:lang w:val="en-US" w:eastAsia="zh-CN" w:bidi="ar"/>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275.76</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1.14</w:t>
            </w:r>
          </w:p>
        </w:tc>
      </w:tr>
      <w:tr>
        <w:tblPrEx>
          <w:tblLayout w:type="fixed"/>
          <w:tblCellMar>
            <w:top w:w="0" w:type="dxa"/>
            <w:left w:w="108" w:type="dxa"/>
            <w:bottom w:w="0" w:type="dxa"/>
            <w:right w:w="108" w:type="dxa"/>
          </w:tblCellMar>
        </w:tblPrEx>
        <w:trPr>
          <w:trHeight w:val="750" w:hRule="atLeast"/>
          <w:jc w:val="center"/>
        </w:trPr>
        <w:tc>
          <w:tcPr>
            <w:tcW w:w="4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李连生</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260.13</w:t>
            </w:r>
          </w:p>
        </w:tc>
        <w:tc>
          <w:tcPr>
            <w:tcW w:w="13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cs="宋体" w:asciiTheme="minorEastAsia" w:hAnsiTheme="minorEastAsia" w:eastAsiaTheme="minorEastAsia"/>
                <w:color w:val="auto"/>
                <w:kern w:val="0"/>
                <w:sz w:val="24"/>
                <w:szCs w:val="24"/>
                <w:lang w:val="en-US" w:eastAsia="zh-CN"/>
              </w:rPr>
            </w:pP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260.13</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1.08</w:t>
            </w:r>
          </w:p>
        </w:tc>
      </w:tr>
    </w:tbl>
    <w:p>
      <w:pPr>
        <w:widowControl/>
        <w:shd w:val="clear" w:color="auto" w:fill="FFFFFF"/>
        <w:tabs>
          <w:tab w:val="left" w:pos="630"/>
        </w:tabs>
        <w:spacing w:line="500" w:lineRule="exact"/>
        <w:ind w:left="5200" w:leftChars="2476"/>
        <w:jc w:val="left"/>
        <w:rPr>
          <w:rFonts w:ascii="仿宋_GB2312" w:eastAsia="仿宋_GB2312" w:cs="宋体" w:hAnsiTheme="minorEastAsia"/>
          <w:color w:val="auto"/>
          <w:kern w:val="0"/>
          <w:sz w:val="32"/>
          <w:szCs w:val="32"/>
          <w:highlight w:val="yellow"/>
        </w:rPr>
      </w:pPr>
    </w:p>
    <w:p>
      <w:pPr>
        <w:widowControl/>
        <w:spacing w:line="500" w:lineRule="exact"/>
        <w:ind w:firstLine="636" w:firstLineChars="198"/>
        <w:jc w:val="left"/>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5.4报告期末主要股东及其控股股东、实际控制人、关联方、一致行动人、最终受益人情况</w:t>
      </w:r>
    </w:p>
    <w:tbl>
      <w:tblPr>
        <w:tblStyle w:val="8"/>
        <w:tblW w:w="8522" w:type="dxa"/>
        <w:jc w:val="center"/>
        <w:tblInd w:w="0" w:type="dxa"/>
        <w:tblLayout w:type="fixed"/>
        <w:tblCellMar>
          <w:top w:w="0" w:type="dxa"/>
          <w:left w:w="108" w:type="dxa"/>
          <w:bottom w:w="0" w:type="dxa"/>
          <w:right w:w="108" w:type="dxa"/>
        </w:tblCellMar>
      </w:tblPr>
      <w:tblGrid>
        <w:gridCol w:w="5079"/>
        <w:gridCol w:w="1650"/>
        <w:gridCol w:w="1793"/>
      </w:tblGrid>
      <w:tr>
        <w:tblPrEx>
          <w:tblLayout w:type="fixed"/>
          <w:tblCellMar>
            <w:top w:w="0" w:type="dxa"/>
            <w:left w:w="108" w:type="dxa"/>
            <w:bottom w:w="0" w:type="dxa"/>
            <w:right w:w="108" w:type="dxa"/>
          </w:tblCellMar>
        </w:tblPrEx>
        <w:trPr>
          <w:trHeight w:val="390" w:hRule="atLeast"/>
          <w:jc w:val="center"/>
        </w:trPr>
        <w:tc>
          <w:tcPr>
            <w:tcW w:w="5079" w:type="dxa"/>
            <w:tcBorders>
              <w:top w:val="nil"/>
              <w:left w:val="nil"/>
              <w:bottom w:val="nil"/>
              <w:right w:val="nil"/>
            </w:tcBorders>
            <w:shd w:val="clear" w:color="auto" w:fill="auto"/>
            <w:vAlign w:val="center"/>
          </w:tcPr>
          <w:p>
            <w:pPr>
              <w:widowControl/>
              <w:spacing w:line="500" w:lineRule="exact"/>
              <w:jc w:val="center"/>
              <w:rPr>
                <w:rFonts w:cs="宋体" w:asciiTheme="minorEastAsia" w:hAnsiTheme="minorEastAsia"/>
                <w:color w:val="auto"/>
                <w:kern w:val="0"/>
                <w:sz w:val="24"/>
                <w:szCs w:val="24"/>
              </w:rPr>
            </w:pPr>
          </w:p>
        </w:tc>
        <w:tc>
          <w:tcPr>
            <w:tcW w:w="1650" w:type="dxa"/>
            <w:tcBorders>
              <w:top w:val="nil"/>
              <w:left w:val="nil"/>
              <w:bottom w:val="nil"/>
              <w:right w:val="nil"/>
            </w:tcBorders>
            <w:shd w:val="clear" w:color="auto" w:fill="auto"/>
            <w:vAlign w:val="center"/>
          </w:tcPr>
          <w:p>
            <w:pPr>
              <w:widowControl/>
              <w:spacing w:line="500" w:lineRule="exact"/>
              <w:jc w:val="center"/>
              <w:rPr>
                <w:rFonts w:cs="宋体" w:asciiTheme="minorEastAsia" w:hAnsiTheme="minorEastAsia"/>
                <w:color w:val="auto"/>
                <w:kern w:val="0"/>
                <w:sz w:val="24"/>
                <w:szCs w:val="24"/>
              </w:rPr>
            </w:pPr>
          </w:p>
        </w:tc>
        <w:tc>
          <w:tcPr>
            <w:tcW w:w="1793" w:type="dxa"/>
            <w:tcBorders>
              <w:top w:val="nil"/>
              <w:left w:val="nil"/>
              <w:bottom w:val="nil"/>
              <w:right w:val="nil"/>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单位：万股</w:t>
            </w:r>
          </w:p>
        </w:tc>
      </w:tr>
      <w:tr>
        <w:tblPrEx>
          <w:tblLayout w:type="fixed"/>
          <w:tblCellMar>
            <w:top w:w="0" w:type="dxa"/>
            <w:left w:w="108" w:type="dxa"/>
            <w:bottom w:w="0" w:type="dxa"/>
            <w:right w:w="108" w:type="dxa"/>
          </w:tblCellMar>
        </w:tblPrEx>
        <w:trPr>
          <w:trHeight w:val="735" w:hRule="atLeast"/>
          <w:jc w:val="center"/>
        </w:trPr>
        <w:tc>
          <w:tcPr>
            <w:tcW w:w="50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主要股东</w:t>
            </w:r>
          </w:p>
        </w:tc>
        <w:tc>
          <w:tcPr>
            <w:tcW w:w="1650"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持股份额</w:t>
            </w:r>
          </w:p>
        </w:tc>
        <w:tc>
          <w:tcPr>
            <w:tcW w:w="1793"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实际控制人</w:t>
            </w:r>
          </w:p>
        </w:tc>
      </w:tr>
      <w:tr>
        <w:tblPrEx>
          <w:tblLayout w:type="fixed"/>
          <w:tblCellMar>
            <w:top w:w="0" w:type="dxa"/>
            <w:left w:w="108" w:type="dxa"/>
            <w:bottom w:w="0" w:type="dxa"/>
            <w:right w:w="108" w:type="dxa"/>
          </w:tblCellMar>
        </w:tblPrEx>
        <w:trPr>
          <w:trHeight w:val="450" w:hRule="atLeast"/>
          <w:jc w:val="center"/>
        </w:trPr>
        <w:tc>
          <w:tcPr>
            <w:tcW w:w="5079"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江西崇义农村商业银行股份有限公司</w:t>
            </w:r>
          </w:p>
        </w:tc>
        <w:tc>
          <w:tcPr>
            <w:tcW w:w="165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1751.22</w:t>
            </w:r>
          </w:p>
        </w:tc>
        <w:tc>
          <w:tcPr>
            <w:tcW w:w="1793"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w:t>
            </w:r>
          </w:p>
        </w:tc>
      </w:tr>
      <w:tr>
        <w:tblPrEx>
          <w:tblLayout w:type="fixed"/>
          <w:tblCellMar>
            <w:top w:w="0" w:type="dxa"/>
            <w:left w:w="108" w:type="dxa"/>
            <w:bottom w:w="0" w:type="dxa"/>
            <w:right w:w="108" w:type="dxa"/>
          </w:tblCellMar>
        </w:tblPrEx>
        <w:trPr>
          <w:trHeight w:val="450" w:hRule="atLeast"/>
          <w:jc w:val="center"/>
        </w:trPr>
        <w:tc>
          <w:tcPr>
            <w:tcW w:w="5079"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江西定南农村商业银行股份有限公司</w:t>
            </w:r>
          </w:p>
        </w:tc>
        <w:tc>
          <w:tcPr>
            <w:tcW w:w="165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1626.01</w:t>
            </w:r>
          </w:p>
        </w:tc>
        <w:tc>
          <w:tcPr>
            <w:tcW w:w="1793" w:type="dxa"/>
            <w:tcBorders>
              <w:top w:val="nil"/>
              <w:left w:val="nil"/>
              <w:bottom w:val="single" w:color="auto" w:sz="4" w:space="0"/>
              <w:right w:val="single" w:color="auto" w:sz="4" w:space="0"/>
            </w:tcBorders>
            <w:shd w:val="clear" w:color="auto" w:fill="auto"/>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w:t>
            </w:r>
          </w:p>
        </w:tc>
      </w:tr>
      <w:tr>
        <w:tblPrEx>
          <w:tblLayout w:type="fixed"/>
          <w:tblCellMar>
            <w:top w:w="0" w:type="dxa"/>
            <w:left w:w="108" w:type="dxa"/>
            <w:bottom w:w="0" w:type="dxa"/>
            <w:right w:w="108" w:type="dxa"/>
          </w:tblCellMar>
        </w:tblPrEx>
        <w:trPr>
          <w:trHeight w:val="450" w:hRule="atLeast"/>
          <w:jc w:val="center"/>
        </w:trPr>
        <w:tc>
          <w:tcPr>
            <w:tcW w:w="5079"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大余县城市与乡村发展投资集团有限责任公司</w:t>
            </w:r>
          </w:p>
        </w:tc>
        <w:tc>
          <w:tcPr>
            <w:tcW w:w="165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1515.00</w:t>
            </w:r>
          </w:p>
        </w:tc>
        <w:tc>
          <w:tcPr>
            <w:tcW w:w="1793" w:type="dxa"/>
            <w:tcBorders>
              <w:top w:val="nil"/>
              <w:left w:val="nil"/>
              <w:bottom w:val="single" w:color="auto" w:sz="4" w:space="0"/>
              <w:right w:val="single" w:color="auto" w:sz="4" w:space="0"/>
            </w:tcBorders>
            <w:shd w:val="clear" w:color="auto" w:fill="auto"/>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w:t>
            </w:r>
          </w:p>
        </w:tc>
      </w:tr>
      <w:tr>
        <w:tblPrEx>
          <w:tblLayout w:type="fixed"/>
          <w:tblCellMar>
            <w:top w:w="0" w:type="dxa"/>
            <w:left w:w="108" w:type="dxa"/>
            <w:bottom w:w="0" w:type="dxa"/>
            <w:right w:w="108" w:type="dxa"/>
          </w:tblCellMar>
        </w:tblPrEx>
        <w:trPr>
          <w:trHeight w:val="450" w:hRule="atLeast"/>
          <w:jc w:val="center"/>
        </w:trPr>
        <w:tc>
          <w:tcPr>
            <w:tcW w:w="5079"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李连生</w:t>
            </w:r>
          </w:p>
        </w:tc>
        <w:tc>
          <w:tcPr>
            <w:tcW w:w="165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260.13</w:t>
            </w:r>
          </w:p>
        </w:tc>
        <w:tc>
          <w:tcPr>
            <w:tcW w:w="1793"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w:t>
            </w:r>
          </w:p>
        </w:tc>
      </w:tr>
      <w:tr>
        <w:tblPrEx>
          <w:tblLayout w:type="fixed"/>
          <w:tblCellMar>
            <w:top w:w="0" w:type="dxa"/>
            <w:left w:w="108" w:type="dxa"/>
            <w:bottom w:w="0" w:type="dxa"/>
            <w:right w:w="108" w:type="dxa"/>
          </w:tblCellMar>
        </w:tblPrEx>
        <w:trPr>
          <w:trHeight w:val="450" w:hRule="atLeast"/>
          <w:jc w:val="center"/>
        </w:trPr>
        <w:tc>
          <w:tcPr>
            <w:tcW w:w="5079"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rPr>
              <w:t>董晨光</w:t>
            </w:r>
          </w:p>
        </w:tc>
        <w:tc>
          <w:tcPr>
            <w:tcW w:w="165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19.73</w:t>
            </w:r>
          </w:p>
        </w:tc>
        <w:tc>
          <w:tcPr>
            <w:tcW w:w="1793"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rPr>
              <w:t>-</w:t>
            </w:r>
          </w:p>
        </w:tc>
      </w:tr>
      <w:tr>
        <w:tblPrEx>
          <w:tblLayout w:type="fixed"/>
          <w:tblCellMar>
            <w:top w:w="0" w:type="dxa"/>
            <w:left w:w="108" w:type="dxa"/>
            <w:bottom w:w="0" w:type="dxa"/>
            <w:right w:w="108" w:type="dxa"/>
          </w:tblCellMar>
        </w:tblPrEx>
        <w:trPr>
          <w:trHeight w:val="450" w:hRule="atLeast"/>
          <w:jc w:val="center"/>
        </w:trPr>
        <w:tc>
          <w:tcPr>
            <w:tcW w:w="5079"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eastAsia="zh-CN"/>
              </w:rPr>
              <w:t>彭余国</w:t>
            </w:r>
          </w:p>
        </w:tc>
        <w:tc>
          <w:tcPr>
            <w:tcW w:w="165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35.32</w:t>
            </w:r>
          </w:p>
        </w:tc>
        <w:tc>
          <w:tcPr>
            <w:tcW w:w="1793"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rPr>
              <w:t>-</w:t>
            </w:r>
          </w:p>
        </w:tc>
      </w:tr>
      <w:tr>
        <w:tblPrEx>
          <w:tblLayout w:type="fixed"/>
          <w:tblCellMar>
            <w:top w:w="0" w:type="dxa"/>
            <w:left w:w="108" w:type="dxa"/>
            <w:bottom w:w="0" w:type="dxa"/>
            <w:right w:w="108" w:type="dxa"/>
          </w:tblCellMar>
        </w:tblPrEx>
        <w:trPr>
          <w:trHeight w:val="450" w:hRule="atLeast"/>
          <w:jc w:val="center"/>
        </w:trPr>
        <w:tc>
          <w:tcPr>
            <w:tcW w:w="5079"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赖学文</w:t>
            </w:r>
          </w:p>
        </w:tc>
        <w:tc>
          <w:tcPr>
            <w:tcW w:w="165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10.10</w:t>
            </w:r>
          </w:p>
        </w:tc>
        <w:tc>
          <w:tcPr>
            <w:tcW w:w="1793"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rPr>
              <w:t>-</w:t>
            </w:r>
          </w:p>
        </w:tc>
      </w:tr>
      <w:tr>
        <w:tblPrEx>
          <w:tblLayout w:type="fixed"/>
          <w:tblCellMar>
            <w:top w:w="0" w:type="dxa"/>
            <w:left w:w="108" w:type="dxa"/>
            <w:bottom w:w="0" w:type="dxa"/>
            <w:right w:w="108" w:type="dxa"/>
          </w:tblCellMar>
        </w:tblPrEx>
        <w:trPr>
          <w:trHeight w:val="450" w:hRule="atLeast"/>
          <w:jc w:val="center"/>
        </w:trPr>
        <w:tc>
          <w:tcPr>
            <w:tcW w:w="5079"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刘承斌</w:t>
            </w:r>
          </w:p>
        </w:tc>
        <w:tc>
          <w:tcPr>
            <w:tcW w:w="165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29.5</w:t>
            </w:r>
          </w:p>
        </w:tc>
        <w:tc>
          <w:tcPr>
            <w:tcW w:w="1793"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color w:val="auto"/>
                <w:kern w:val="0"/>
                <w:sz w:val="24"/>
                <w:szCs w:val="24"/>
              </w:rPr>
            </w:pPr>
          </w:p>
        </w:tc>
      </w:tr>
      <w:tr>
        <w:tblPrEx>
          <w:tblLayout w:type="fixed"/>
          <w:tblCellMar>
            <w:top w:w="0" w:type="dxa"/>
            <w:left w:w="108" w:type="dxa"/>
            <w:bottom w:w="0" w:type="dxa"/>
            <w:right w:w="108" w:type="dxa"/>
          </w:tblCellMar>
        </w:tblPrEx>
        <w:trPr>
          <w:trHeight w:val="450" w:hRule="atLeast"/>
          <w:jc w:val="center"/>
        </w:trPr>
        <w:tc>
          <w:tcPr>
            <w:tcW w:w="5079"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王红生</w:t>
            </w:r>
          </w:p>
        </w:tc>
        <w:tc>
          <w:tcPr>
            <w:tcW w:w="165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5.94</w:t>
            </w:r>
          </w:p>
        </w:tc>
        <w:tc>
          <w:tcPr>
            <w:tcW w:w="1793"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color w:val="auto"/>
                <w:kern w:val="0"/>
                <w:sz w:val="24"/>
                <w:szCs w:val="24"/>
              </w:rPr>
            </w:pPr>
          </w:p>
        </w:tc>
      </w:tr>
      <w:tr>
        <w:tblPrEx>
          <w:tblLayout w:type="fixed"/>
          <w:tblCellMar>
            <w:top w:w="0" w:type="dxa"/>
            <w:left w:w="108" w:type="dxa"/>
            <w:bottom w:w="0" w:type="dxa"/>
            <w:right w:w="108" w:type="dxa"/>
          </w:tblCellMar>
        </w:tblPrEx>
        <w:trPr>
          <w:trHeight w:val="450" w:hRule="atLeast"/>
          <w:jc w:val="center"/>
        </w:trPr>
        <w:tc>
          <w:tcPr>
            <w:tcW w:w="5079"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color w:val="auto"/>
                <w:kern w:val="0"/>
                <w:sz w:val="24"/>
                <w:szCs w:val="24"/>
                <w:lang w:eastAsia="zh-CN"/>
              </w:rPr>
            </w:pPr>
            <w:r>
              <w:rPr>
                <w:rFonts w:hint="eastAsia" w:cs="宋体" w:asciiTheme="minorEastAsia" w:hAnsiTheme="minorEastAsia"/>
                <w:color w:val="auto"/>
                <w:kern w:val="0"/>
                <w:sz w:val="24"/>
                <w:szCs w:val="24"/>
                <w:lang w:eastAsia="zh-CN"/>
              </w:rPr>
              <w:t>胡涛</w:t>
            </w:r>
          </w:p>
        </w:tc>
        <w:tc>
          <w:tcPr>
            <w:tcW w:w="165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12.18</w:t>
            </w:r>
          </w:p>
        </w:tc>
        <w:tc>
          <w:tcPr>
            <w:tcW w:w="1793"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rPr>
              <w:t>-</w:t>
            </w:r>
          </w:p>
        </w:tc>
      </w:tr>
      <w:tr>
        <w:tblPrEx>
          <w:tblLayout w:type="fixed"/>
          <w:tblCellMar>
            <w:top w:w="0" w:type="dxa"/>
            <w:left w:w="108" w:type="dxa"/>
            <w:bottom w:w="0" w:type="dxa"/>
            <w:right w:w="108" w:type="dxa"/>
          </w:tblCellMar>
        </w:tblPrEx>
        <w:trPr>
          <w:trHeight w:val="450" w:hRule="atLeast"/>
          <w:jc w:val="center"/>
        </w:trPr>
        <w:tc>
          <w:tcPr>
            <w:tcW w:w="5079"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eastAsiaTheme="minorEastAsia"/>
                <w:color w:val="auto"/>
                <w:kern w:val="0"/>
                <w:sz w:val="24"/>
                <w:szCs w:val="24"/>
                <w:lang w:eastAsia="zh-CN"/>
              </w:rPr>
            </w:pPr>
            <w:r>
              <w:rPr>
                <w:rFonts w:hint="eastAsia" w:cs="宋体" w:asciiTheme="minorEastAsia" w:hAnsiTheme="minorEastAsia"/>
                <w:color w:val="auto"/>
                <w:kern w:val="0"/>
                <w:sz w:val="24"/>
                <w:szCs w:val="24"/>
                <w:lang w:eastAsia="zh-CN"/>
              </w:rPr>
              <w:t>魏溢璇</w:t>
            </w:r>
          </w:p>
        </w:tc>
        <w:tc>
          <w:tcPr>
            <w:tcW w:w="165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5.05</w:t>
            </w:r>
          </w:p>
        </w:tc>
        <w:tc>
          <w:tcPr>
            <w:tcW w:w="1793"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w:t>
            </w:r>
          </w:p>
        </w:tc>
      </w:tr>
    </w:tbl>
    <w:p>
      <w:pPr>
        <w:pStyle w:val="6"/>
        <w:widowControl/>
        <w:shd w:val="clear" w:color="auto" w:fill="FFFFFF"/>
        <w:spacing w:line="500" w:lineRule="exact"/>
        <w:ind w:firstLine="600"/>
        <w:jc w:val="left"/>
        <w:rPr>
          <w:rFonts w:ascii="仿宋_GB2312" w:eastAsia="仿宋_GB2312" w:cs="宋体" w:hAnsiTheme="minorEastAsia"/>
          <w:b/>
          <w:bCs/>
          <w:color w:val="auto"/>
          <w:kern w:val="0"/>
          <w:sz w:val="32"/>
          <w:szCs w:val="32"/>
          <w:highlight w:val="none"/>
        </w:rPr>
      </w:pPr>
      <w:r>
        <w:rPr>
          <w:rFonts w:hint="eastAsia" w:ascii="仿宋_GB2312" w:eastAsia="仿宋_GB2312" w:cs="宋体" w:hAnsiTheme="minorEastAsia"/>
          <w:b/>
          <w:bCs/>
          <w:color w:val="auto"/>
          <w:kern w:val="0"/>
          <w:sz w:val="32"/>
          <w:szCs w:val="32"/>
          <w:highlight w:val="none"/>
        </w:rPr>
        <w:t>5.5报告期内与主要股东及其控股股东、实际控制人、关联方、一致行动人、最终受益人关联交易情况</w:t>
      </w:r>
    </w:p>
    <w:p>
      <w:pPr>
        <w:pStyle w:val="6"/>
        <w:widowControl/>
        <w:shd w:val="clear" w:color="auto" w:fill="FFFFFF"/>
        <w:spacing w:line="500" w:lineRule="exact"/>
        <w:ind w:right="420" w:firstLine="600"/>
        <w:jc w:val="right"/>
        <w:rPr>
          <w:rFonts w:ascii="仿宋_GB2312" w:eastAsia="仿宋_GB2312" w:cs="宋体" w:hAnsiTheme="minorEastAsia"/>
          <w:b/>
          <w:bCs/>
          <w:color w:val="auto"/>
          <w:kern w:val="0"/>
          <w:sz w:val="32"/>
          <w:szCs w:val="32"/>
        </w:rPr>
      </w:pPr>
      <w:r>
        <w:rPr>
          <w:rFonts w:hint="eastAsia" w:ascii="仿宋_GB2312" w:eastAsia="仿宋_GB2312" w:cs="宋体" w:hAnsiTheme="minorEastAsia"/>
          <w:color w:val="auto"/>
          <w:kern w:val="0"/>
          <w:sz w:val="32"/>
          <w:szCs w:val="32"/>
        </w:rPr>
        <w:t>单位：人民币  万元</w:t>
      </w:r>
    </w:p>
    <w:tbl>
      <w:tblPr>
        <w:tblStyle w:val="8"/>
        <w:tblW w:w="8522" w:type="dxa"/>
        <w:jc w:val="center"/>
        <w:tblInd w:w="0" w:type="dxa"/>
        <w:tblLayout w:type="fixed"/>
        <w:tblCellMar>
          <w:top w:w="0" w:type="dxa"/>
          <w:left w:w="108" w:type="dxa"/>
          <w:bottom w:w="0" w:type="dxa"/>
          <w:right w:w="108" w:type="dxa"/>
        </w:tblCellMar>
      </w:tblPr>
      <w:tblGrid>
        <w:gridCol w:w="4057"/>
        <w:gridCol w:w="3090"/>
        <w:gridCol w:w="1375"/>
      </w:tblGrid>
      <w:tr>
        <w:tblPrEx>
          <w:tblLayout w:type="fixed"/>
          <w:tblCellMar>
            <w:top w:w="0" w:type="dxa"/>
            <w:left w:w="108" w:type="dxa"/>
            <w:bottom w:w="0" w:type="dxa"/>
            <w:right w:w="108" w:type="dxa"/>
          </w:tblCellMar>
        </w:tblPrEx>
        <w:trPr>
          <w:trHeight w:val="810" w:hRule="atLeast"/>
          <w:jc w:val="center"/>
        </w:trPr>
        <w:tc>
          <w:tcPr>
            <w:tcW w:w="405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主要股东</w:t>
            </w:r>
          </w:p>
        </w:tc>
        <w:tc>
          <w:tcPr>
            <w:tcW w:w="309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对该主要股东所在集团内单个主体的最高授信余额</w:t>
            </w:r>
          </w:p>
        </w:tc>
        <w:tc>
          <w:tcPr>
            <w:tcW w:w="137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对该集团合计授信余额</w:t>
            </w:r>
          </w:p>
        </w:tc>
      </w:tr>
      <w:tr>
        <w:tblPrEx>
          <w:tblLayout w:type="fixed"/>
          <w:tblCellMar>
            <w:top w:w="0" w:type="dxa"/>
            <w:left w:w="108" w:type="dxa"/>
            <w:bottom w:w="0" w:type="dxa"/>
            <w:right w:w="108" w:type="dxa"/>
          </w:tblCellMar>
        </w:tblPrEx>
        <w:trPr>
          <w:trHeight w:val="465" w:hRule="atLeast"/>
          <w:jc w:val="center"/>
        </w:trPr>
        <w:tc>
          <w:tcPr>
            <w:tcW w:w="4057"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江西崇义农村商业银行股份有限公司</w:t>
            </w:r>
          </w:p>
        </w:tc>
        <w:tc>
          <w:tcPr>
            <w:tcW w:w="3090"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0</w:t>
            </w:r>
          </w:p>
        </w:tc>
        <w:tc>
          <w:tcPr>
            <w:tcW w:w="137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0</w:t>
            </w:r>
          </w:p>
        </w:tc>
      </w:tr>
      <w:tr>
        <w:tblPrEx>
          <w:tblLayout w:type="fixed"/>
          <w:tblCellMar>
            <w:top w:w="0" w:type="dxa"/>
            <w:left w:w="108" w:type="dxa"/>
            <w:bottom w:w="0" w:type="dxa"/>
            <w:right w:w="108" w:type="dxa"/>
          </w:tblCellMar>
        </w:tblPrEx>
        <w:trPr>
          <w:trHeight w:val="465" w:hRule="atLeast"/>
          <w:jc w:val="center"/>
        </w:trPr>
        <w:tc>
          <w:tcPr>
            <w:tcW w:w="4057"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江西定南农村商业银行股份有限公司</w:t>
            </w:r>
          </w:p>
        </w:tc>
        <w:tc>
          <w:tcPr>
            <w:tcW w:w="3090"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0</w:t>
            </w:r>
          </w:p>
        </w:tc>
        <w:tc>
          <w:tcPr>
            <w:tcW w:w="137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0</w:t>
            </w:r>
          </w:p>
        </w:tc>
      </w:tr>
      <w:tr>
        <w:tblPrEx>
          <w:tblLayout w:type="fixed"/>
          <w:tblCellMar>
            <w:top w:w="0" w:type="dxa"/>
            <w:left w:w="108" w:type="dxa"/>
            <w:bottom w:w="0" w:type="dxa"/>
            <w:right w:w="108" w:type="dxa"/>
          </w:tblCellMar>
        </w:tblPrEx>
        <w:trPr>
          <w:trHeight w:val="715" w:hRule="atLeast"/>
          <w:jc w:val="center"/>
        </w:trPr>
        <w:tc>
          <w:tcPr>
            <w:tcW w:w="4057"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大余县城市与乡村发展投资</w:t>
            </w:r>
          </w:p>
          <w:p>
            <w:pPr>
              <w:widowControl/>
              <w:spacing w:line="500" w:lineRule="exact"/>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集团有限责任公司</w:t>
            </w:r>
          </w:p>
        </w:tc>
        <w:tc>
          <w:tcPr>
            <w:tcW w:w="3090"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4100</w:t>
            </w:r>
          </w:p>
        </w:tc>
        <w:tc>
          <w:tcPr>
            <w:tcW w:w="1375"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6520</w:t>
            </w:r>
          </w:p>
        </w:tc>
      </w:tr>
      <w:tr>
        <w:tblPrEx>
          <w:tblLayout w:type="fixed"/>
          <w:tblCellMar>
            <w:top w:w="0" w:type="dxa"/>
            <w:left w:w="108" w:type="dxa"/>
            <w:bottom w:w="0" w:type="dxa"/>
            <w:right w:w="108" w:type="dxa"/>
          </w:tblCellMar>
        </w:tblPrEx>
        <w:trPr>
          <w:trHeight w:val="465" w:hRule="atLeast"/>
          <w:jc w:val="center"/>
        </w:trPr>
        <w:tc>
          <w:tcPr>
            <w:tcW w:w="4057"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李连生</w:t>
            </w:r>
          </w:p>
        </w:tc>
        <w:tc>
          <w:tcPr>
            <w:tcW w:w="3090"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519</w:t>
            </w:r>
          </w:p>
        </w:tc>
        <w:tc>
          <w:tcPr>
            <w:tcW w:w="1375"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960</w:t>
            </w:r>
          </w:p>
        </w:tc>
      </w:tr>
      <w:tr>
        <w:tblPrEx>
          <w:tblLayout w:type="fixed"/>
          <w:tblCellMar>
            <w:top w:w="0" w:type="dxa"/>
            <w:left w:w="108" w:type="dxa"/>
            <w:bottom w:w="0" w:type="dxa"/>
            <w:right w:w="108" w:type="dxa"/>
          </w:tblCellMar>
        </w:tblPrEx>
        <w:trPr>
          <w:trHeight w:val="465" w:hRule="atLeast"/>
          <w:jc w:val="center"/>
        </w:trPr>
        <w:tc>
          <w:tcPr>
            <w:tcW w:w="4057"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董晨光</w:t>
            </w:r>
          </w:p>
        </w:tc>
        <w:tc>
          <w:tcPr>
            <w:tcW w:w="3090"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446</w:t>
            </w:r>
          </w:p>
        </w:tc>
        <w:tc>
          <w:tcPr>
            <w:tcW w:w="1375"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579</w:t>
            </w:r>
          </w:p>
        </w:tc>
      </w:tr>
      <w:tr>
        <w:tblPrEx>
          <w:tblLayout w:type="fixed"/>
          <w:tblCellMar>
            <w:top w:w="0" w:type="dxa"/>
            <w:left w:w="108" w:type="dxa"/>
            <w:bottom w:w="0" w:type="dxa"/>
            <w:right w:w="108" w:type="dxa"/>
          </w:tblCellMar>
        </w:tblPrEx>
        <w:trPr>
          <w:trHeight w:val="530" w:hRule="atLeast"/>
          <w:jc w:val="center"/>
        </w:trPr>
        <w:tc>
          <w:tcPr>
            <w:tcW w:w="4057"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eastAsia="zh-CN"/>
              </w:rPr>
              <w:t>彭余国</w:t>
            </w:r>
          </w:p>
        </w:tc>
        <w:tc>
          <w:tcPr>
            <w:tcW w:w="3090"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0</w:t>
            </w:r>
          </w:p>
        </w:tc>
        <w:tc>
          <w:tcPr>
            <w:tcW w:w="1375"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0</w:t>
            </w:r>
          </w:p>
        </w:tc>
      </w:tr>
      <w:tr>
        <w:tblPrEx>
          <w:tblLayout w:type="fixed"/>
          <w:tblCellMar>
            <w:top w:w="0" w:type="dxa"/>
            <w:left w:w="108" w:type="dxa"/>
            <w:bottom w:w="0" w:type="dxa"/>
            <w:right w:w="108" w:type="dxa"/>
          </w:tblCellMar>
        </w:tblPrEx>
        <w:trPr>
          <w:trHeight w:val="530" w:hRule="atLeast"/>
          <w:jc w:val="center"/>
        </w:trPr>
        <w:tc>
          <w:tcPr>
            <w:tcW w:w="4057"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eastAsia="zh-CN"/>
              </w:rPr>
              <w:t>赖学文</w:t>
            </w:r>
          </w:p>
        </w:tc>
        <w:tc>
          <w:tcPr>
            <w:tcW w:w="3090"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0</w:t>
            </w:r>
          </w:p>
        </w:tc>
        <w:tc>
          <w:tcPr>
            <w:tcW w:w="1375"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0</w:t>
            </w:r>
          </w:p>
        </w:tc>
      </w:tr>
      <w:tr>
        <w:tblPrEx>
          <w:tblLayout w:type="fixed"/>
          <w:tblCellMar>
            <w:top w:w="0" w:type="dxa"/>
            <w:left w:w="108" w:type="dxa"/>
            <w:bottom w:w="0" w:type="dxa"/>
            <w:right w:w="108" w:type="dxa"/>
          </w:tblCellMar>
        </w:tblPrEx>
        <w:trPr>
          <w:trHeight w:val="530" w:hRule="atLeast"/>
          <w:jc w:val="center"/>
        </w:trPr>
        <w:tc>
          <w:tcPr>
            <w:tcW w:w="4057"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color w:val="auto"/>
                <w:kern w:val="0"/>
                <w:sz w:val="24"/>
                <w:szCs w:val="24"/>
                <w:highlight w:val="none"/>
                <w:lang w:eastAsia="zh-CN"/>
              </w:rPr>
            </w:pPr>
            <w:r>
              <w:rPr>
                <w:rFonts w:hint="eastAsia" w:cs="宋体" w:asciiTheme="minorEastAsia" w:hAnsiTheme="minorEastAsia"/>
                <w:color w:val="auto"/>
                <w:kern w:val="0"/>
                <w:sz w:val="24"/>
                <w:szCs w:val="24"/>
                <w:highlight w:val="none"/>
                <w:lang w:eastAsia="zh-CN"/>
              </w:rPr>
              <w:t>刘承斌</w:t>
            </w:r>
          </w:p>
        </w:tc>
        <w:tc>
          <w:tcPr>
            <w:tcW w:w="3090"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0</w:t>
            </w:r>
          </w:p>
        </w:tc>
        <w:tc>
          <w:tcPr>
            <w:tcW w:w="1375"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0</w:t>
            </w:r>
          </w:p>
        </w:tc>
      </w:tr>
      <w:tr>
        <w:tblPrEx>
          <w:tblLayout w:type="fixed"/>
          <w:tblCellMar>
            <w:top w:w="0" w:type="dxa"/>
            <w:left w:w="108" w:type="dxa"/>
            <w:bottom w:w="0" w:type="dxa"/>
            <w:right w:w="108" w:type="dxa"/>
          </w:tblCellMar>
        </w:tblPrEx>
        <w:trPr>
          <w:trHeight w:val="530" w:hRule="atLeast"/>
          <w:jc w:val="center"/>
        </w:trPr>
        <w:tc>
          <w:tcPr>
            <w:tcW w:w="4057"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color w:val="auto"/>
                <w:kern w:val="0"/>
                <w:sz w:val="24"/>
                <w:szCs w:val="24"/>
                <w:highlight w:val="none"/>
                <w:lang w:eastAsia="zh-CN"/>
              </w:rPr>
            </w:pPr>
            <w:r>
              <w:rPr>
                <w:rFonts w:hint="eastAsia" w:cs="宋体" w:asciiTheme="minorEastAsia" w:hAnsiTheme="minorEastAsia"/>
                <w:color w:val="auto"/>
                <w:kern w:val="0"/>
                <w:sz w:val="24"/>
                <w:szCs w:val="24"/>
                <w:highlight w:val="none"/>
                <w:lang w:eastAsia="zh-CN"/>
              </w:rPr>
              <w:t>王红生</w:t>
            </w:r>
          </w:p>
        </w:tc>
        <w:tc>
          <w:tcPr>
            <w:tcW w:w="3090"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0.14</w:t>
            </w:r>
          </w:p>
        </w:tc>
        <w:tc>
          <w:tcPr>
            <w:tcW w:w="1375"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0.14</w:t>
            </w:r>
          </w:p>
        </w:tc>
      </w:tr>
      <w:tr>
        <w:tblPrEx>
          <w:tblLayout w:type="fixed"/>
          <w:tblCellMar>
            <w:top w:w="0" w:type="dxa"/>
            <w:left w:w="108" w:type="dxa"/>
            <w:bottom w:w="0" w:type="dxa"/>
            <w:right w:w="108" w:type="dxa"/>
          </w:tblCellMar>
        </w:tblPrEx>
        <w:trPr>
          <w:trHeight w:val="530" w:hRule="atLeast"/>
          <w:jc w:val="center"/>
        </w:trPr>
        <w:tc>
          <w:tcPr>
            <w:tcW w:w="4057"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cs="宋体" w:asciiTheme="minorEastAsia" w:hAnsiTheme="minorEastAsia"/>
                <w:color w:val="auto"/>
                <w:kern w:val="0"/>
                <w:sz w:val="24"/>
                <w:szCs w:val="24"/>
                <w:highlight w:val="none"/>
                <w:lang w:eastAsia="zh-CN"/>
              </w:rPr>
            </w:pPr>
            <w:r>
              <w:rPr>
                <w:rFonts w:hint="eastAsia" w:cs="宋体" w:asciiTheme="minorEastAsia" w:hAnsiTheme="minorEastAsia"/>
                <w:color w:val="auto"/>
                <w:kern w:val="0"/>
                <w:sz w:val="24"/>
                <w:szCs w:val="24"/>
                <w:highlight w:val="none"/>
                <w:lang w:eastAsia="zh-CN"/>
              </w:rPr>
              <w:t>胡涛</w:t>
            </w:r>
          </w:p>
        </w:tc>
        <w:tc>
          <w:tcPr>
            <w:tcW w:w="3090"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41</w:t>
            </w:r>
          </w:p>
        </w:tc>
        <w:tc>
          <w:tcPr>
            <w:tcW w:w="1375"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41</w:t>
            </w:r>
          </w:p>
        </w:tc>
      </w:tr>
      <w:tr>
        <w:tblPrEx>
          <w:tblLayout w:type="fixed"/>
          <w:tblCellMar>
            <w:top w:w="0" w:type="dxa"/>
            <w:left w:w="108" w:type="dxa"/>
            <w:bottom w:w="0" w:type="dxa"/>
            <w:right w:w="108" w:type="dxa"/>
          </w:tblCellMar>
        </w:tblPrEx>
        <w:trPr>
          <w:trHeight w:val="465" w:hRule="atLeast"/>
          <w:jc w:val="center"/>
        </w:trPr>
        <w:tc>
          <w:tcPr>
            <w:tcW w:w="4057"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eastAsia="zh-CN"/>
              </w:rPr>
              <w:t>魏溢璇</w:t>
            </w:r>
          </w:p>
        </w:tc>
        <w:tc>
          <w:tcPr>
            <w:tcW w:w="3090"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62</w:t>
            </w:r>
          </w:p>
        </w:tc>
        <w:tc>
          <w:tcPr>
            <w:tcW w:w="1375" w:type="dxa"/>
            <w:tcBorders>
              <w:top w:val="nil"/>
              <w:left w:val="nil"/>
              <w:bottom w:val="single" w:color="auto" w:sz="4" w:space="0"/>
              <w:right w:val="single" w:color="auto" w:sz="4" w:space="0"/>
            </w:tcBorders>
            <w:shd w:val="clear" w:color="auto" w:fill="auto"/>
            <w:vAlign w:val="center"/>
          </w:tcPr>
          <w:p>
            <w:pPr>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62</w:t>
            </w:r>
          </w:p>
        </w:tc>
      </w:tr>
    </w:tbl>
    <w:p>
      <w:pPr>
        <w:pStyle w:val="6"/>
        <w:widowControl/>
        <w:shd w:val="clear" w:color="auto" w:fill="FFFFFF"/>
        <w:spacing w:line="500" w:lineRule="exact"/>
        <w:ind w:firstLine="600"/>
        <w:jc w:val="left"/>
        <w:rPr>
          <w:rFonts w:ascii="仿宋_GB2312" w:eastAsia="仿宋_GB2312" w:cs="宋体" w:hAnsiTheme="minorEastAsia"/>
          <w:b/>
          <w:bCs/>
          <w:color w:val="auto"/>
          <w:kern w:val="0"/>
          <w:sz w:val="32"/>
          <w:szCs w:val="32"/>
        </w:rPr>
      </w:pPr>
      <w:r>
        <w:rPr>
          <w:rFonts w:hint="eastAsia" w:ascii="仿宋_GB2312" w:eastAsia="仿宋_GB2312" w:cs="宋体" w:hAnsiTheme="minorEastAsia"/>
          <w:b/>
          <w:bCs/>
          <w:color w:val="auto"/>
          <w:kern w:val="0"/>
          <w:sz w:val="32"/>
          <w:szCs w:val="32"/>
        </w:rPr>
        <w:t>5.6股权出质情况</w:t>
      </w:r>
    </w:p>
    <w:p>
      <w:pPr>
        <w:pStyle w:val="6"/>
        <w:widowControl/>
        <w:shd w:val="clear" w:color="auto" w:fill="FFFFFF"/>
        <w:spacing w:line="500" w:lineRule="exact"/>
        <w:ind w:firstLine="600"/>
        <w:jc w:val="left"/>
        <w:rPr>
          <w:rFonts w:ascii="仿宋_GB2312" w:eastAsia="仿宋_GB2312" w:hAnsiTheme="minorEastAsia"/>
          <w:b/>
          <w:color w:val="auto"/>
          <w:sz w:val="32"/>
          <w:szCs w:val="32"/>
        </w:rPr>
      </w:pPr>
      <w:r>
        <w:rPr>
          <w:rFonts w:hint="eastAsia" w:ascii="仿宋_GB2312" w:eastAsia="仿宋_GB2312" w:cs="宋体" w:hAnsiTheme="minorEastAsia"/>
          <w:b/>
          <w:bCs/>
          <w:color w:val="auto"/>
          <w:kern w:val="0"/>
          <w:sz w:val="32"/>
          <w:szCs w:val="32"/>
        </w:rPr>
        <w:t>5.6.1</w:t>
      </w:r>
      <w:r>
        <w:rPr>
          <w:rFonts w:hint="eastAsia" w:ascii="仿宋_GB2312" w:eastAsia="仿宋_GB2312" w:hAnsiTheme="minorEastAsia"/>
          <w:b/>
          <w:color w:val="auto"/>
          <w:sz w:val="32"/>
          <w:szCs w:val="32"/>
        </w:rPr>
        <w:t>股权出质基本情况</w:t>
      </w:r>
    </w:p>
    <w:p>
      <w:pPr>
        <w:pStyle w:val="6"/>
        <w:widowControl/>
        <w:shd w:val="clear" w:color="auto" w:fill="FFFFFF"/>
        <w:spacing w:line="500" w:lineRule="exact"/>
        <w:ind w:firstLine="600"/>
        <w:jc w:val="left"/>
        <w:rPr>
          <w:rFonts w:hint="eastAsia" w:ascii="仿宋_GB2312" w:eastAsia="仿宋_GB2312" w:cs="仿宋_GB2312" w:hAnsiTheme="minorEastAsia"/>
          <w:color w:val="auto"/>
          <w:sz w:val="32"/>
          <w:szCs w:val="32"/>
          <w:shd w:val="clear" w:color="auto" w:fill="FFFFFF"/>
          <w:lang w:eastAsia="zh-CN"/>
        </w:rPr>
      </w:pPr>
      <w:r>
        <w:rPr>
          <w:rFonts w:hint="eastAsia" w:ascii="仿宋_GB2312" w:eastAsia="仿宋_GB2312" w:hAnsiTheme="minorEastAsia"/>
          <w:color w:val="auto"/>
          <w:sz w:val="32"/>
          <w:szCs w:val="32"/>
        </w:rPr>
        <w:t>202</w:t>
      </w:r>
      <w:r>
        <w:rPr>
          <w:rFonts w:hint="eastAsia" w:ascii="仿宋_GB2312" w:eastAsia="仿宋_GB2312" w:hAnsiTheme="minorEastAsia"/>
          <w:color w:val="auto"/>
          <w:sz w:val="32"/>
          <w:szCs w:val="32"/>
          <w:lang w:val="en-US" w:eastAsia="zh-CN"/>
        </w:rPr>
        <w:t>5</w:t>
      </w:r>
      <w:r>
        <w:rPr>
          <w:rFonts w:hint="eastAsia" w:ascii="仿宋_GB2312" w:eastAsia="仿宋_GB2312" w:hAnsiTheme="minorEastAsia"/>
          <w:color w:val="auto"/>
          <w:sz w:val="32"/>
          <w:szCs w:val="32"/>
        </w:rPr>
        <w:t>年末，</w:t>
      </w:r>
      <w:r>
        <w:rPr>
          <w:rFonts w:hint="eastAsia" w:ascii="仿宋_GB2312" w:hAnsi="宋体" w:eastAsia="仿宋_GB2312" w:cs="仿宋_GB2312"/>
          <w:color w:val="auto"/>
          <w:sz w:val="32"/>
          <w:szCs w:val="32"/>
          <w:shd w:val="clear" w:color="auto" w:fill="FFFFFF"/>
        </w:rPr>
        <w:t>本行已出质股东户数</w:t>
      </w:r>
      <w:r>
        <w:rPr>
          <w:rFonts w:hint="eastAsia" w:ascii="仿宋_GB2312" w:hAnsi="宋体" w:eastAsia="仿宋_GB2312" w:cs="仿宋_GB2312"/>
          <w:color w:val="auto"/>
          <w:sz w:val="32"/>
          <w:szCs w:val="32"/>
          <w:shd w:val="clear" w:color="auto" w:fill="FFFFFF"/>
          <w:lang w:val="en-US" w:eastAsia="zh-CN"/>
        </w:rPr>
        <w:t>10</w:t>
      </w:r>
      <w:r>
        <w:rPr>
          <w:rFonts w:hint="eastAsia" w:ascii="仿宋_GB2312" w:hAnsi="宋体" w:eastAsia="仿宋_GB2312" w:cs="仿宋_GB2312"/>
          <w:color w:val="auto"/>
          <w:sz w:val="32"/>
          <w:szCs w:val="32"/>
          <w:shd w:val="clear" w:color="auto" w:fill="FFFFFF"/>
        </w:rPr>
        <w:t>户，占本行股东总户数的</w:t>
      </w:r>
      <w:r>
        <w:rPr>
          <w:rFonts w:hint="eastAsia" w:ascii="仿宋_GB2312" w:hAnsi="宋体" w:eastAsia="仿宋_GB2312" w:cs="仿宋_GB2312"/>
          <w:color w:val="auto"/>
          <w:sz w:val="32"/>
          <w:szCs w:val="32"/>
          <w:shd w:val="clear" w:color="auto" w:fill="FFFFFF"/>
          <w:lang w:val="en-US" w:eastAsia="zh-CN"/>
        </w:rPr>
        <w:t>0.85</w:t>
      </w:r>
      <w:r>
        <w:rPr>
          <w:rFonts w:hint="eastAsia" w:ascii="仿宋_GB2312" w:hAnsi="宋体" w:eastAsia="仿宋_GB2312" w:cs="仿宋_GB2312"/>
          <w:color w:val="auto"/>
          <w:sz w:val="32"/>
          <w:szCs w:val="32"/>
          <w:shd w:val="clear" w:color="auto" w:fill="FFFFFF"/>
        </w:rPr>
        <w:t>%，已出质股金金额</w:t>
      </w:r>
      <w:r>
        <w:rPr>
          <w:rFonts w:hint="eastAsia" w:ascii="仿宋_GB2312" w:hAnsi="宋体" w:eastAsia="仿宋_GB2312" w:cs="仿宋_GB2312"/>
          <w:color w:val="auto"/>
          <w:sz w:val="32"/>
          <w:szCs w:val="32"/>
          <w:shd w:val="clear" w:color="auto" w:fill="FFFFFF"/>
          <w:lang w:val="en-US" w:eastAsia="zh-CN"/>
        </w:rPr>
        <w:t>2434.76</w:t>
      </w:r>
      <w:r>
        <w:rPr>
          <w:rFonts w:hint="eastAsia" w:ascii="仿宋_GB2312" w:hAnsi="宋体" w:eastAsia="仿宋_GB2312" w:cs="仿宋_GB2312"/>
          <w:color w:val="auto"/>
          <w:sz w:val="32"/>
          <w:szCs w:val="32"/>
          <w:shd w:val="clear" w:color="auto" w:fill="FFFFFF"/>
        </w:rPr>
        <w:t>万元，占本行股本总额的</w:t>
      </w:r>
      <w:r>
        <w:rPr>
          <w:rFonts w:hint="eastAsia" w:ascii="仿宋_GB2312" w:hAnsi="宋体" w:eastAsia="仿宋_GB2312" w:cs="仿宋_GB2312"/>
          <w:color w:val="auto"/>
          <w:sz w:val="32"/>
          <w:szCs w:val="32"/>
          <w:shd w:val="clear" w:color="auto" w:fill="FFFFFF"/>
          <w:lang w:val="en-US" w:eastAsia="zh-CN"/>
        </w:rPr>
        <w:t>10.07</w:t>
      </w:r>
      <w:r>
        <w:rPr>
          <w:rFonts w:hint="eastAsia" w:ascii="仿宋_GB2312" w:hAnsi="宋体" w:eastAsia="仿宋_GB2312" w:cs="仿宋_GB2312"/>
          <w:color w:val="auto"/>
          <w:sz w:val="32"/>
          <w:szCs w:val="32"/>
          <w:shd w:val="clear" w:color="auto" w:fill="FFFFFF"/>
        </w:rPr>
        <w:t>%</w:t>
      </w:r>
      <w:r>
        <w:rPr>
          <w:rFonts w:hint="eastAsia" w:ascii="仿宋_GB2312" w:eastAsia="仿宋_GB2312" w:cs="仿宋_GB2312" w:hAnsiTheme="minorEastAsia"/>
          <w:color w:val="auto"/>
          <w:sz w:val="32"/>
          <w:szCs w:val="32"/>
          <w:shd w:val="clear" w:color="auto" w:fill="FFFFFF"/>
        </w:rPr>
        <w:t>。</w:t>
      </w:r>
    </w:p>
    <w:p>
      <w:pPr>
        <w:pStyle w:val="6"/>
        <w:widowControl/>
        <w:shd w:val="clear" w:color="auto" w:fill="FFFFFF"/>
        <w:spacing w:line="500" w:lineRule="exact"/>
        <w:ind w:firstLine="600"/>
        <w:jc w:val="left"/>
        <w:rPr>
          <w:rFonts w:hint="eastAsia" w:ascii="仿宋_GB2312" w:eastAsia="仿宋_GB2312" w:cs="仿宋_GB2312" w:hAnsiTheme="minorEastAsia"/>
          <w:b/>
          <w:color w:val="auto"/>
          <w:sz w:val="32"/>
          <w:szCs w:val="32"/>
          <w:shd w:val="clear" w:color="auto" w:fill="FFFFFF"/>
        </w:rPr>
      </w:pPr>
      <w:r>
        <w:rPr>
          <w:rFonts w:hint="eastAsia" w:ascii="仿宋_GB2312" w:eastAsia="仿宋_GB2312" w:cs="宋体" w:hAnsiTheme="minorEastAsia"/>
          <w:b/>
          <w:bCs/>
          <w:color w:val="auto"/>
          <w:kern w:val="0"/>
          <w:sz w:val="32"/>
          <w:szCs w:val="32"/>
        </w:rPr>
        <w:t>5.6.2</w:t>
      </w:r>
      <w:r>
        <w:rPr>
          <w:rFonts w:hint="eastAsia" w:ascii="仿宋_GB2312" w:eastAsia="仿宋_GB2312" w:cs="仿宋_GB2312" w:hAnsiTheme="minorEastAsia"/>
          <w:b/>
          <w:color w:val="auto"/>
          <w:sz w:val="32"/>
          <w:szCs w:val="32"/>
          <w:shd w:val="clear" w:color="auto" w:fill="FFFFFF"/>
        </w:rPr>
        <w:t>主要股东出质股权情况</w:t>
      </w:r>
    </w:p>
    <w:p>
      <w:pPr>
        <w:pStyle w:val="6"/>
        <w:widowControl/>
        <w:shd w:val="clear" w:color="auto" w:fill="FFFFFF"/>
        <w:spacing w:line="500" w:lineRule="exact"/>
        <w:ind w:right="420" w:firstLine="600"/>
        <w:jc w:val="right"/>
        <w:rPr>
          <w:rFonts w:hint="eastAsia" w:ascii="仿宋_GB2312" w:eastAsia="仿宋_GB2312" w:cs="仿宋_GB2312" w:hAnsiTheme="minorEastAsia"/>
          <w:b/>
          <w:color w:val="auto"/>
          <w:sz w:val="32"/>
          <w:szCs w:val="32"/>
          <w:shd w:val="clear" w:color="auto" w:fill="FFFFFF"/>
        </w:rPr>
      </w:pPr>
      <w:r>
        <w:rPr>
          <w:rFonts w:hint="eastAsia" w:ascii="仿宋_GB2312" w:eastAsia="仿宋_GB2312" w:cs="宋体" w:hAnsiTheme="minorEastAsia"/>
          <w:color w:val="auto"/>
          <w:kern w:val="0"/>
          <w:sz w:val="32"/>
          <w:szCs w:val="32"/>
        </w:rPr>
        <w:t>单位：人民币  万元</w:t>
      </w:r>
    </w:p>
    <w:tbl>
      <w:tblPr>
        <w:tblStyle w:val="8"/>
        <w:tblW w:w="8336" w:type="dxa"/>
        <w:jc w:val="center"/>
        <w:tblInd w:w="0" w:type="dxa"/>
        <w:tblLayout w:type="fixed"/>
        <w:tblCellMar>
          <w:top w:w="0" w:type="dxa"/>
          <w:left w:w="0" w:type="dxa"/>
          <w:bottom w:w="0" w:type="dxa"/>
          <w:right w:w="0" w:type="dxa"/>
        </w:tblCellMar>
      </w:tblPr>
      <w:tblGrid>
        <w:gridCol w:w="3870"/>
        <w:gridCol w:w="1354"/>
        <w:gridCol w:w="1205"/>
        <w:gridCol w:w="1907"/>
      </w:tblGrid>
      <w:tr>
        <w:tblPrEx>
          <w:tblLayout w:type="fixed"/>
          <w:tblCellMar>
            <w:top w:w="0" w:type="dxa"/>
            <w:left w:w="0" w:type="dxa"/>
            <w:bottom w:w="0" w:type="dxa"/>
            <w:right w:w="0" w:type="dxa"/>
          </w:tblCellMar>
        </w:tblPrEx>
        <w:trPr>
          <w:trHeight w:val="735" w:hRule="atLeast"/>
          <w:jc w:val="center"/>
        </w:trPr>
        <w:tc>
          <w:tcPr>
            <w:tcW w:w="38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cs="宋体" w:asciiTheme="minorEastAsia" w:hAnsiTheme="minorEastAsia"/>
                <w:color w:val="auto"/>
                <w:sz w:val="24"/>
                <w:szCs w:val="24"/>
              </w:rPr>
            </w:pPr>
            <w:r>
              <w:rPr>
                <w:rFonts w:hint="eastAsia" w:asciiTheme="minorEastAsia" w:hAnsiTheme="minorEastAsia"/>
                <w:color w:val="auto"/>
                <w:sz w:val="24"/>
                <w:szCs w:val="24"/>
              </w:rPr>
              <w:t>主要股东</w:t>
            </w:r>
          </w:p>
        </w:tc>
        <w:tc>
          <w:tcPr>
            <w:tcW w:w="1354"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cs="宋体" w:asciiTheme="minorEastAsia" w:hAnsiTheme="minorEastAsia"/>
                <w:color w:val="auto"/>
                <w:sz w:val="24"/>
                <w:szCs w:val="24"/>
              </w:rPr>
            </w:pPr>
            <w:r>
              <w:rPr>
                <w:rFonts w:hint="eastAsia" w:asciiTheme="minorEastAsia" w:hAnsiTheme="minorEastAsia"/>
                <w:color w:val="auto"/>
                <w:sz w:val="24"/>
                <w:szCs w:val="24"/>
              </w:rPr>
              <w:t>持股份额</w:t>
            </w:r>
          </w:p>
        </w:tc>
        <w:tc>
          <w:tcPr>
            <w:tcW w:w="1205"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cs="宋体" w:asciiTheme="minorEastAsia" w:hAnsiTheme="minorEastAsia"/>
                <w:color w:val="auto"/>
                <w:sz w:val="24"/>
                <w:szCs w:val="24"/>
              </w:rPr>
            </w:pPr>
            <w:r>
              <w:rPr>
                <w:rFonts w:hint="eastAsia" w:asciiTheme="minorEastAsia" w:hAnsiTheme="minorEastAsia"/>
                <w:color w:val="auto"/>
                <w:sz w:val="24"/>
                <w:szCs w:val="24"/>
              </w:rPr>
              <w:t>出质份额</w:t>
            </w:r>
          </w:p>
        </w:tc>
        <w:tc>
          <w:tcPr>
            <w:tcW w:w="190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hint="eastAsia" w:asciiTheme="minorEastAsia" w:hAnsiTheme="minorEastAsia"/>
                <w:color w:val="auto"/>
                <w:sz w:val="24"/>
                <w:szCs w:val="24"/>
              </w:rPr>
            </w:pPr>
            <w:r>
              <w:rPr>
                <w:rFonts w:hint="eastAsia" w:asciiTheme="minorEastAsia" w:hAnsiTheme="minorEastAsia"/>
                <w:color w:val="auto"/>
                <w:sz w:val="24"/>
                <w:szCs w:val="24"/>
              </w:rPr>
              <w:t>出质份额占</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cs="宋体" w:asciiTheme="minorEastAsia" w:hAnsiTheme="minorEastAsia"/>
                <w:color w:val="auto"/>
                <w:sz w:val="24"/>
                <w:szCs w:val="24"/>
              </w:rPr>
            </w:pPr>
            <w:r>
              <w:rPr>
                <w:rFonts w:hint="eastAsia" w:asciiTheme="minorEastAsia" w:hAnsiTheme="minorEastAsia"/>
                <w:color w:val="auto"/>
                <w:sz w:val="24"/>
                <w:szCs w:val="24"/>
              </w:rPr>
              <w:t>持股份额比例</w:t>
            </w:r>
          </w:p>
        </w:tc>
      </w:tr>
      <w:tr>
        <w:tblPrEx>
          <w:tblLayout w:type="fixed"/>
          <w:tblCellMar>
            <w:top w:w="0" w:type="dxa"/>
            <w:left w:w="0" w:type="dxa"/>
            <w:bottom w:w="0" w:type="dxa"/>
            <w:right w:w="0" w:type="dxa"/>
          </w:tblCellMar>
        </w:tblPrEx>
        <w:trPr>
          <w:trHeight w:val="450" w:hRule="atLeast"/>
          <w:jc w:val="center"/>
        </w:trPr>
        <w:tc>
          <w:tcPr>
            <w:tcW w:w="3870" w:type="dxa"/>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江西崇义农村商业银行股份有限公司</w:t>
            </w:r>
          </w:p>
        </w:tc>
        <w:tc>
          <w:tcPr>
            <w:tcW w:w="135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1751.22</w:t>
            </w:r>
          </w:p>
        </w:tc>
        <w:tc>
          <w:tcPr>
            <w:tcW w:w="120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500" w:lineRule="exact"/>
              <w:jc w:val="center"/>
              <w:rPr>
                <w:rFonts w:asciiTheme="minorEastAsia" w:hAnsiTheme="minorEastAsia"/>
                <w:color w:val="auto"/>
                <w:sz w:val="24"/>
                <w:szCs w:val="24"/>
              </w:rPr>
            </w:pPr>
            <w:r>
              <w:rPr>
                <w:rFonts w:hint="eastAsia" w:asciiTheme="minorEastAsia" w:hAnsiTheme="minorEastAsia"/>
                <w:color w:val="auto"/>
                <w:sz w:val="24"/>
                <w:szCs w:val="24"/>
              </w:rPr>
              <w:t>0</w:t>
            </w:r>
          </w:p>
        </w:tc>
        <w:tc>
          <w:tcPr>
            <w:tcW w:w="190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500" w:lineRule="exact"/>
              <w:jc w:val="center"/>
              <w:rPr>
                <w:rFonts w:asciiTheme="minorEastAsia" w:hAnsiTheme="minorEastAsia"/>
                <w:color w:val="auto"/>
                <w:sz w:val="24"/>
                <w:szCs w:val="24"/>
              </w:rPr>
            </w:pPr>
            <w:r>
              <w:rPr>
                <w:rFonts w:hint="eastAsia" w:asciiTheme="minorEastAsia" w:hAnsiTheme="minorEastAsia"/>
                <w:color w:val="auto"/>
                <w:sz w:val="24"/>
                <w:szCs w:val="24"/>
              </w:rPr>
              <w:t>0</w:t>
            </w:r>
          </w:p>
        </w:tc>
      </w:tr>
      <w:tr>
        <w:tblPrEx>
          <w:tblLayout w:type="fixed"/>
          <w:tblCellMar>
            <w:top w:w="0" w:type="dxa"/>
            <w:left w:w="0" w:type="dxa"/>
            <w:bottom w:w="0" w:type="dxa"/>
            <w:right w:w="0" w:type="dxa"/>
          </w:tblCellMar>
        </w:tblPrEx>
        <w:trPr>
          <w:trHeight w:val="450" w:hRule="atLeast"/>
          <w:jc w:val="center"/>
        </w:trPr>
        <w:tc>
          <w:tcPr>
            <w:tcW w:w="3870" w:type="dxa"/>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江西定南农村商业银行股份有限公司</w:t>
            </w:r>
          </w:p>
        </w:tc>
        <w:tc>
          <w:tcPr>
            <w:tcW w:w="135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1626.01</w:t>
            </w:r>
          </w:p>
        </w:tc>
        <w:tc>
          <w:tcPr>
            <w:tcW w:w="120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500" w:lineRule="exact"/>
              <w:jc w:val="center"/>
              <w:rPr>
                <w:rFonts w:asciiTheme="minorEastAsia" w:hAnsiTheme="minorEastAsia"/>
                <w:color w:val="auto"/>
                <w:sz w:val="24"/>
                <w:szCs w:val="24"/>
              </w:rPr>
            </w:pPr>
            <w:r>
              <w:rPr>
                <w:rFonts w:hint="eastAsia" w:asciiTheme="minorEastAsia" w:hAnsiTheme="minorEastAsia"/>
                <w:color w:val="auto"/>
                <w:sz w:val="24"/>
                <w:szCs w:val="24"/>
              </w:rPr>
              <w:t>0</w:t>
            </w:r>
          </w:p>
        </w:tc>
        <w:tc>
          <w:tcPr>
            <w:tcW w:w="190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500" w:lineRule="exact"/>
              <w:jc w:val="center"/>
              <w:rPr>
                <w:rFonts w:asciiTheme="minorEastAsia" w:hAnsiTheme="minorEastAsia"/>
                <w:color w:val="auto"/>
                <w:sz w:val="24"/>
                <w:szCs w:val="24"/>
              </w:rPr>
            </w:pPr>
            <w:r>
              <w:rPr>
                <w:rFonts w:hint="eastAsia" w:asciiTheme="minorEastAsia" w:hAnsiTheme="minorEastAsia"/>
                <w:color w:val="auto"/>
                <w:sz w:val="24"/>
                <w:szCs w:val="24"/>
              </w:rPr>
              <w:t>0</w:t>
            </w:r>
          </w:p>
        </w:tc>
      </w:tr>
      <w:tr>
        <w:tblPrEx>
          <w:tblLayout w:type="fixed"/>
          <w:tblCellMar>
            <w:top w:w="0" w:type="dxa"/>
            <w:left w:w="0" w:type="dxa"/>
            <w:bottom w:w="0" w:type="dxa"/>
            <w:right w:w="0" w:type="dxa"/>
          </w:tblCellMar>
        </w:tblPrEx>
        <w:trPr>
          <w:trHeight w:val="794" w:hRule="atLeast"/>
          <w:jc w:val="center"/>
        </w:trPr>
        <w:tc>
          <w:tcPr>
            <w:tcW w:w="3870" w:type="dxa"/>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大余县城市与乡村发展投资</w:t>
            </w:r>
          </w:p>
          <w:p>
            <w:pPr>
              <w:widowControl/>
              <w:spacing w:line="500" w:lineRule="exact"/>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集团有限责任公司</w:t>
            </w:r>
          </w:p>
        </w:tc>
        <w:tc>
          <w:tcPr>
            <w:tcW w:w="135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1515.00</w:t>
            </w:r>
          </w:p>
        </w:tc>
        <w:tc>
          <w:tcPr>
            <w:tcW w:w="120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0</w:t>
            </w:r>
          </w:p>
        </w:tc>
        <w:tc>
          <w:tcPr>
            <w:tcW w:w="190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0</w:t>
            </w:r>
          </w:p>
        </w:tc>
      </w:tr>
      <w:tr>
        <w:tblPrEx>
          <w:tblLayout w:type="fixed"/>
          <w:tblCellMar>
            <w:top w:w="0" w:type="dxa"/>
            <w:left w:w="0" w:type="dxa"/>
            <w:bottom w:w="0" w:type="dxa"/>
            <w:right w:w="0" w:type="dxa"/>
          </w:tblCellMar>
        </w:tblPrEx>
        <w:trPr>
          <w:trHeight w:val="450" w:hRule="atLeast"/>
          <w:jc w:val="center"/>
        </w:trPr>
        <w:tc>
          <w:tcPr>
            <w:tcW w:w="3870" w:type="dxa"/>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李连生</w:t>
            </w:r>
          </w:p>
        </w:tc>
        <w:tc>
          <w:tcPr>
            <w:tcW w:w="135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260.13</w:t>
            </w:r>
          </w:p>
        </w:tc>
        <w:tc>
          <w:tcPr>
            <w:tcW w:w="120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heme="minorEastAsia" w:hAnsiTheme="minorEastAsia"/>
                <w:color w:val="auto"/>
                <w:sz w:val="24"/>
                <w:szCs w:val="24"/>
              </w:rPr>
            </w:pPr>
            <w:r>
              <w:rPr>
                <w:rFonts w:hint="eastAsia" w:asciiTheme="minorEastAsia" w:hAnsiTheme="minorEastAsia"/>
                <w:color w:val="auto"/>
                <w:sz w:val="24"/>
                <w:szCs w:val="24"/>
              </w:rPr>
              <w:t>0</w:t>
            </w:r>
          </w:p>
        </w:tc>
        <w:tc>
          <w:tcPr>
            <w:tcW w:w="190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heme="minorEastAsia" w:hAnsiTheme="minorEastAsia"/>
                <w:color w:val="auto"/>
                <w:sz w:val="24"/>
                <w:szCs w:val="24"/>
              </w:rPr>
            </w:pPr>
            <w:r>
              <w:rPr>
                <w:rFonts w:hint="eastAsia" w:asciiTheme="minorEastAsia" w:hAnsiTheme="minorEastAsia"/>
                <w:color w:val="auto"/>
                <w:sz w:val="24"/>
                <w:szCs w:val="24"/>
              </w:rPr>
              <w:t>0</w:t>
            </w:r>
          </w:p>
        </w:tc>
      </w:tr>
      <w:tr>
        <w:tblPrEx>
          <w:tblLayout w:type="fixed"/>
          <w:tblCellMar>
            <w:top w:w="0" w:type="dxa"/>
            <w:left w:w="0" w:type="dxa"/>
            <w:bottom w:w="0" w:type="dxa"/>
            <w:right w:w="0" w:type="dxa"/>
          </w:tblCellMar>
        </w:tblPrEx>
        <w:trPr>
          <w:trHeight w:val="450" w:hRule="atLeast"/>
          <w:jc w:val="center"/>
        </w:trPr>
        <w:tc>
          <w:tcPr>
            <w:tcW w:w="3870" w:type="dxa"/>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eastAsia" w:cs="宋体" w:asciiTheme="minorEastAsia" w:hAnsiTheme="minorEastAsia"/>
                <w:color w:val="auto"/>
                <w:kern w:val="0"/>
                <w:sz w:val="24"/>
                <w:szCs w:val="24"/>
              </w:rPr>
            </w:pPr>
            <w:r>
              <w:rPr>
                <w:rFonts w:hint="eastAsia" w:cs="宋体" w:asciiTheme="minorEastAsia" w:hAnsiTheme="minorEastAsia"/>
                <w:color w:val="auto"/>
                <w:kern w:val="0"/>
                <w:sz w:val="24"/>
                <w:szCs w:val="24"/>
              </w:rPr>
              <w:t>董晨光</w:t>
            </w:r>
          </w:p>
        </w:tc>
        <w:tc>
          <w:tcPr>
            <w:tcW w:w="135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19.73</w:t>
            </w:r>
          </w:p>
        </w:tc>
        <w:tc>
          <w:tcPr>
            <w:tcW w:w="120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eastAsia" w:asciiTheme="minorEastAsia" w:hAnsiTheme="minorEastAsia" w:eastAsiaTheme="minorEastAsia"/>
                <w:color w:val="auto"/>
                <w:sz w:val="24"/>
                <w:szCs w:val="24"/>
                <w:lang w:val="en-US" w:eastAsia="zh-CN"/>
              </w:rPr>
            </w:pPr>
            <w:r>
              <w:rPr>
                <w:rFonts w:hint="eastAsia" w:asciiTheme="minorEastAsia" w:hAnsiTheme="minorEastAsia"/>
                <w:color w:val="auto"/>
                <w:sz w:val="24"/>
                <w:szCs w:val="24"/>
                <w:lang w:val="en-US" w:eastAsia="zh-CN"/>
              </w:rPr>
              <w:t>0</w:t>
            </w:r>
          </w:p>
        </w:tc>
        <w:tc>
          <w:tcPr>
            <w:tcW w:w="190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eastAsia" w:asciiTheme="minorEastAsia" w:hAnsiTheme="minorEastAsia" w:eastAsiaTheme="minorEastAsia"/>
                <w:color w:val="auto"/>
                <w:sz w:val="24"/>
                <w:szCs w:val="24"/>
                <w:lang w:val="en-US" w:eastAsia="zh-CN"/>
              </w:rPr>
            </w:pPr>
            <w:r>
              <w:rPr>
                <w:rFonts w:hint="eastAsia" w:asciiTheme="minorEastAsia" w:hAnsiTheme="minorEastAsia"/>
                <w:color w:val="auto"/>
                <w:sz w:val="24"/>
                <w:szCs w:val="24"/>
                <w:lang w:val="en-US" w:eastAsia="zh-CN"/>
              </w:rPr>
              <w:t>0</w:t>
            </w:r>
          </w:p>
        </w:tc>
      </w:tr>
      <w:tr>
        <w:tblPrEx>
          <w:tblLayout w:type="fixed"/>
          <w:tblCellMar>
            <w:top w:w="0" w:type="dxa"/>
            <w:left w:w="0" w:type="dxa"/>
            <w:bottom w:w="0" w:type="dxa"/>
            <w:right w:w="0" w:type="dxa"/>
          </w:tblCellMar>
        </w:tblPrEx>
        <w:trPr>
          <w:trHeight w:val="450" w:hRule="atLeast"/>
          <w:jc w:val="center"/>
        </w:trPr>
        <w:tc>
          <w:tcPr>
            <w:tcW w:w="3870" w:type="dxa"/>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eastAsia="zh-CN"/>
              </w:rPr>
              <w:t>彭余国</w:t>
            </w:r>
          </w:p>
        </w:tc>
        <w:tc>
          <w:tcPr>
            <w:tcW w:w="135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35.32</w:t>
            </w:r>
          </w:p>
        </w:tc>
        <w:tc>
          <w:tcPr>
            <w:tcW w:w="120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eastAsia" w:asciiTheme="minorEastAsia" w:hAnsiTheme="minorEastAsia" w:eastAsiaTheme="minorEastAsia"/>
                <w:color w:val="auto"/>
                <w:sz w:val="24"/>
                <w:szCs w:val="24"/>
                <w:lang w:val="en-US" w:eastAsia="zh-CN"/>
              </w:rPr>
            </w:pPr>
            <w:r>
              <w:rPr>
                <w:rFonts w:hint="eastAsia" w:asciiTheme="minorEastAsia" w:hAnsiTheme="minorEastAsia"/>
                <w:color w:val="auto"/>
                <w:sz w:val="24"/>
                <w:szCs w:val="24"/>
                <w:lang w:val="en-US" w:eastAsia="zh-CN"/>
              </w:rPr>
              <w:t>0</w:t>
            </w:r>
          </w:p>
        </w:tc>
        <w:tc>
          <w:tcPr>
            <w:tcW w:w="190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eastAsia" w:asciiTheme="minorEastAsia" w:hAnsiTheme="minorEastAsia" w:eastAsiaTheme="minorEastAsia"/>
                <w:color w:val="auto"/>
                <w:sz w:val="24"/>
                <w:szCs w:val="24"/>
                <w:lang w:val="en-US" w:eastAsia="zh-CN"/>
              </w:rPr>
            </w:pPr>
            <w:r>
              <w:rPr>
                <w:rFonts w:hint="eastAsia" w:asciiTheme="minorEastAsia" w:hAnsiTheme="minorEastAsia"/>
                <w:color w:val="auto"/>
                <w:sz w:val="24"/>
                <w:szCs w:val="24"/>
                <w:lang w:val="en-US" w:eastAsia="zh-CN"/>
              </w:rPr>
              <w:t>0</w:t>
            </w:r>
          </w:p>
        </w:tc>
      </w:tr>
      <w:tr>
        <w:tblPrEx>
          <w:tblLayout w:type="fixed"/>
          <w:tblCellMar>
            <w:top w:w="0" w:type="dxa"/>
            <w:left w:w="0" w:type="dxa"/>
            <w:bottom w:w="0" w:type="dxa"/>
            <w:right w:w="0" w:type="dxa"/>
          </w:tblCellMar>
        </w:tblPrEx>
        <w:trPr>
          <w:trHeight w:val="450" w:hRule="atLeast"/>
          <w:jc w:val="center"/>
        </w:trPr>
        <w:tc>
          <w:tcPr>
            <w:tcW w:w="3870" w:type="dxa"/>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eastAsia="zh-CN"/>
              </w:rPr>
              <w:t>赖学文</w:t>
            </w:r>
          </w:p>
        </w:tc>
        <w:tc>
          <w:tcPr>
            <w:tcW w:w="135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10.10</w:t>
            </w:r>
          </w:p>
        </w:tc>
        <w:tc>
          <w:tcPr>
            <w:tcW w:w="120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eastAsia" w:asciiTheme="minorEastAsia" w:hAnsiTheme="minorEastAsia" w:eastAsiaTheme="minorEastAsia"/>
                <w:color w:val="auto"/>
                <w:sz w:val="24"/>
                <w:szCs w:val="24"/>
                <w:lang w:val="en-US" w:eastAsia="zh-CN"/>
              </w:rPr>
            </w:pPr>
            <w:r>
              <w:rPr>
                <w:rFonts w:hint="eastAsia" w:asciiTheme="minorEastAsia" w:hAnsiTheme="minorEastAsia"/>
                <w:color w:val="auto"/>
                <w:sz w:val="24"/>
                <w:szCs w:val="24"/>
                <w:lang w:val="en-US" w:eastAsia="zh-CN"/>
              </w:rPr>
              <w:t>0</w:t>
            </w:r>
          </w:p>
        </w:tc>
        <w:tc>
          <w:tcPr>
            <w:tcW w:w="190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eastAsia" w:asciiTheme="minorEastAsia" w:hAnsiTheme="minorEastAsia" w:eastAsiaTheme="minorEastAsia"/>
                <w:color w:val="auto"/>
                <w:sz w:val="24"/>
                <w:szCs w:val="24"/>
                <w:lang w:val="en-US" w:eastAsia="zh-CN"/>
              </w:rPr>
            </w:pPr>
            <w:r>
              <w:rPr>
                <w:rFonts w:hint="eastAsia" w:asciiTheme="minorEastAsia" w:hAnsiTheme="minorEastAsia"/>
                <w:color w:val="auto"/>
                <w:sz w:val="24"/>
                <w:szCs w:val="24"/>
                <w:lang w:val="en-US" w:eastAsia="zh-CN"/>
              </w:rPr>
              <w:t>0</w:t>
            </w:r>
          </w:p>
        </w:tc>
      </w:tr>
      <w:tr>
        <w:tblPrEx>
          <w:tblLayout w:type="fixed"/>
          <w:tblCellMar>
            <w:top w:w="0" w:type="dxa"/>
            <w:left w:w="0" w:type="dxa"/>
            <w:bottom w:w="0" w:type="dxa"/>
            <w:right w:w="0" w:type="dxa"/>
          </w:tblCellMar>
        </w:tblPrEx>
        <w:trPr>
          <w:trHeight w:val="450" w:hRule="atLeast"/>
          <w:jc w:val="center"/>
        </w:trPr>
        <w:tc>
          <w:tcPr>
            <w:tcW w:w="3870" w:type="dxa"/>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eastAsia" w:cs="宋体" w:asciiTheme="minorEastAsia" w:hAnsiTheme="minorEastAsia"/>
                <w:color w:val="auto"/>
                <w:kern w:val="0"/>
                <w:sz w:val="24"/>
                <w:szCs w:val="24"/>
                <w:highlight w:val="none"/>
                <w:lang w:eastAsia="zh-CN"/>
              </w:rPr>
            </w:pPr>
            <w:r>
              <w:rPr>
                <w:rFonts w:hint="eastAsia" w:cs="宋体" w:asciiTheme="minorEastAsia" w:hAnsiTheme="minorEastAsia"/>
                <w:color w:val="auto"/>
                <w:kern w:val="0"/>
                <w:sz w:val="24"/>
                <w:szCs w:val="24"/>
                <w:highlight w:val="none"/>
                <w:lang w:eastAsia="zh-CN"/>
              </w:rPr>
              <w:t>刘承斌</w:t>
            </w:r>
          </w:p>
        </w:tc>
        <w:tc>
          <w:tcPr>
            <w:tcW w:w="135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eastAsia"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29.5</w:t>
            </w:r>
          </w:p>
        </w:tc>
        <w:tc>
          <w:tcPr>
            <w:tcW w:w="120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default" w:asciiTheme="minorEastAsia" w:hAnsiTheme="minorEastAsia"/>
                <w:color w:val="auto"/>
                <w:sz w:val="24"/>
                <w:szCs w:val="24"/>
                <w:lang w:val="en-US" w:eastAsia="zh-CN"/>
              </w:rPr>
            </w:pPr>
            <w:r>
              <w:rPr>
                <w:rFonts w:hint="eastAsia" w:asciiTheme="minorEastAsia" w:hAnsiTheme="minorEastAsia"/>
                <w:color w:val="auto"/>
                <w:sz w:val="24"/>
                <w:szCs w:val="24"/>
                <w:lang w:val="en-US" w:eastAsia="zh-CN"/>
              </w:rPr>
              <w:t>0</w:t>
            </w:r>
          </w:p>
        </w:tc>
        <w:tc>
          <w:tcPr>
            <w:tcW w:w="190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default" w:asciiTheme="minorEastAsia" w:hAnsiTheme="minorEastAsia"/>
                <w:color w:val="auto"/>
                <w:sz w:val="24"/>
                <w:szCs w:val="24"/>
                <w:lang w:val="en-US" w:eastAsia="zh-CN"/>
              </w:rPr>
            </w:pPr>
            <w:r>
              <w:rPr>
                <w:rFonts w:hint="eastAsia" w:asciiTheme="minorEastAsia" w:hAnsiTheme="minorEastAsia"/>
                <w:color w:val="auto"/>
                <w:sz w:val="24"/>
                <w:szCs w:val="24"/>
                <w:lang w:val="en-US" w:eastAsia="zh-CN"/>
              </w:rPr>
              <w:t>0</w:t>
            </w:r>
          </w:p>
        </w:tc>
      </w:tr>
      <w:tr>
        <w:tblPrEx>
          <w:tblLayout w:type="fixed"/>
          <w:tblCellMar>
            <w:top w:w="0" w:type="dxa"/>
            <w:left w:w="0" w:type="dxa"/>
            <w:bottom w:w="0" w:type="dxa"/>
            <w:right w:w="0" w:type="dxa"/>
          </w:tblCellMar>
        </w:tblPrEx>
        <w:trPr>
          <w:trHeight w:val="450" w:hRule="atLeast"/>
          <w:jc w:val="center"/>
        </w:trPr>
        <w:tc>
          <w:tcPr>
            <w:tcW w:w="3870" w:type="dxa"/>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eastAsia" w:cs="宋体" w:asciiTheme="minorEastAsia" w:hAnsiTheme="minorEastAsia"/>
                <w:color w:val="auto"/>
                <w:kern w:val="0"/>
                <w:sz w:val="24"/>
                <w:szCs w:val="24"/>
                <w:highlight w:val="none"/>
                <w:lang w:eastAsia="zh-CN"/>
              </w:rPr>
            </w:pPr>
            <w:r>
              <w:rPr>
                <w:rFonts w:hint="eastAsia" w:cs="宋体" w:asciiTheme="minorEastAsia" w:hAnsiTheme="minorEastAsia"/>
                <w:color w:val="auto"/>
                <w:kern w:val="0"/>
                <w:sz w:val="24"/>
                <w:szCs w:val="24"/>
                <w:highlight w:val="none"/>
                <w:lang w:eastAsia="zh-CN"/>
              </w:rPr>
              <w:t>王红生</w:t>
            </w:r>
          </w:p>
        </w:tc>
        <w:tc>
          <w:tcPr>
            <w:tcW w:w="135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eastAsia"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5.94</w:t>
            </w:r>
          </w:p>
        </w:tc>
        <w:tc>
          <w:tcPr>
            <w:tcW w:w="120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default" w:asciiTheme="minorEastAsia" w:hAnsiTheme="minorEastAsia"/>
                <w:color w:val="auto"/>
                <w:sz w:val="24"/>
                <w:szCs w:val="24"/>
                <w:lang w:val="en-US" w:eastAsia="zh-CN"/>
              </w:rPr>
            </w:pPr>
            <w:r>
              <w:rPr>
                <w:rFonts w:hint="eastAsia" w:asciiTheme="minorEastAsia" w:hAnsiTheme="minorEastAsia"/>
                <w:color w:val="auto"/>
                <w:sz w:val="24"/>
                <w:szCs w:val="24"/>
                <w:lang w:val="en-US" w:eastAsia="zh-CN"/>
              </w:rPr>
              <w:t>0</w:t>
            </w:r>
          </w:p>
        </w:tc>
        <w:tc>
          <w:tcPr>
            <w:tcW w:w="190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default" w:asciiTheme="minorEastAsia" w:hAnsiTheme="minorEastAsia"/>
                <w:color w:val="auto"/>
                <w:sz w:val="24"/>
                <w:szCs w:val="24"/>
                <w:lang w:val="en-US" w:eastAsia="zh-CN"/>
              </w:rPr>
            </w:pPr>
            <w:r>
              <w:rPr>
                <w:rFonts w:hint="eastAsia" w:asciiTheme="minorEastAsia" w:hAnsiTheme="minorEastAsia"/>
                <w:color w:val="auto"/>
                <w:sz w:val="24"/>
                <w:szCs w:val="24"/>
                <w:lang w:val="en-US" w:eastAsia="zh-CN"/>
              </w:rPr>
              <w:t>0</w:t>
            </w:r>
          </w:p>
        </w:tc>
      </w:tr>
      <w:tr>
        <w:tblPrEx>
          <w:tblLayout w:type="fixed"/>
          <w:tblCellMar>
            <w:top w:w="0" w:type="dxa"/>
            <w:left w:w="0" w:type="dxa"/>
            <w:bottom w:w="0" w:type="dxa"/>
            <w:right w:w="0" w:type="dxa"/>
          </w:tblCellMar>
        </w:tblPrEx>
        <w:trPr>
          <w:trHeight w:val="450" w:hRule="atLeast"/>
          <w:jc w:val="center"/>
        </w:trPr>
        <w:tc>
          <w:tcPr>
            <w:tcW w:w="3870" w:type="dxa"/>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eastAsia" w:cs="宋体" w:asciiTheme="minorEastAsia" w:hAnsiTheme="minorEastAsia"/>
                <w:color w:val="auto"/>
                <w:kern w:val="0"/>
                <w:sz w:val="24"/>
                <w:szCs w:val="24"/>
                <w:highlight w:val="none"/>
                <w:lang w:eastAsia="zh-CN"/>
              </w:rPr>
            </w:pPr>
            <w:r>
              <w:rPr>
                <w:rFonts w:hint="eastAsia" w:cs="宋体" w:asciiTheme="minorEastAsia" w:hAnsiTheme="minorEastAsia"/>
                <w:color w:val="auto"/>
                <w:kern w:val="0"/>
                <w:sz w:val="24"/>
                <w:szCs w:val="24"/>
                <w:highlight w:val="none"/>
                <w:lang w:eastAsia="zh-CN"/>
              </w:rPr>
              <w:t>胡涛</w:t>
            </w:r>
          </w:p>
        </w:tc>
        <w:tc>
          <w:tcPr>
            <w:tcW w:w="135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eastAsia"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12.18</w:t>
            </w:r>
          </w:p>
        </w:tc>
        <w:tc>
          <w:tcPr>
            <w:tcW w:w="120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default" w:asciiTheme="minorEastAsia" w:hAnsiTheme="minorEastAsia"/>
                <w:color w:val="auto"/>
                <w:sz w:val="24"/>
                <w:szCs w:val="24"/>
                <w:lang w:val="en-US" w:eastAsia="zh-CN"/>
              </w:rPr>
            </w:pPr>
            <w:r>
              <w:rPr>
                <w:rFonts w:hint="eastAsia" w:asciiTheme="minorEastAsia" w:hAnsiTheme="minorEastAsia"/>
                <w:color w:val="auto"/>
                <w:sz w:val="24"/>
                <w:szCs w:val="24"/>
                <w:lang w:val="en-US" w:eastAsia="zh-CN"/>
              </w:rPr>
              <w:t>0</w:t>
            </w:r>
          </w:p>
        </w:tc>
        <w:tc>
          <w:tcPr>
            <w:tcW w:w="190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default" w:asciiTheme="minorEastAsia" w:hAnsiTheme="minorEastAsia"/>
                <w:color w:val="auto"/>
                <w:sz w:val="24"/>
                <w:szCs w:val="24"/>
                <w:lang w:val="en-US" w:eastAsia="zh-CN"/>
              </w:rPr>
            </w:pPr>
            <w:r>
              <w:rPr>
                <w:rFonts w:hint="eastAsia" w:asciiTheme="minorEastAsia" w:hAnsiTheme="minorEastAsia"/>
                <w:color w:val="auto"/>
                <w:sz w:val="24"/>
                <w:szCs w:val="24"/>
                <w:lang w:val="en-US" w:eastAsia="zh-CN"/>
              </w:rPr>
              <w:t>0</w:t>
            </w:r>
          </w:p>
        </w:tc>
      </w:tr>
      <w:tr>
        <w:tblPrEx>
          <w:tblLayout w:type="fixed"/>
          <w:tblCellMar>
            <w:top w:w="0" w:type="dxa"/>
            <w:left w:w="0" w:type="dxa"/>
            <w:bottom w:w="0" w:type="dxa"/>
            <w:right w:w="0" w:type="dxa"/>
          </w:tblCellMar>
        </w:tblPrEx>
        <w:trPr>
          <w:trHeight w:val="450" w:hRule="atLeast"/>
          <w:jc w:val="center"/>
        </w:trPr>
        <w:tc>
          <w:tcPr>
            <w:tcW w:w="3870" w:type="dxa"/>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eastAsia="zh-CN"/>
              </w:rPr>
              <w:t>魏溢璇</w:t>
            </w:r>
          </w:p>
        </w:tc>
        <w:tc>
          <w:tcPr>
            <w:tcW w:w="135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5.05</w:t>
            </w:r>
          </w:p>
        </w:tc>
        <w:tc>
          <w:tcPr>
            <w:tcW w:w="120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heme="minorEastAsia" w:hAnsiTheme="minorEastAsia"/>
                <w:color w:val="auto"/>
                <w:sz w:val="24"/>
                <w:szCs w:val="24"/>
              </w:rPr>
            </w:pPr>
            <w:r>
              <w:rPr>
                <w:rFonts w:hint="eastAsia" w:asciiTheme="minorEastAsia" w:hAnsiTheme="minorEastAsia"/>
                <w:color w:val="auto"/>
                <w:sz w:val="24"/>
                <w:szCs w:val="24"/>
              </w:rPr>
              <w:t>0</w:t>
            </w:r>
          </w:p>
        </w:tc>
        <w:tc>
          <w:tcPr>
            <w:tcW w:w="190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heme="minorEastAsia" w:hAnsiTheme="minorEastAsia"/>
                <w:color w:val="auto"/>
                <w:sz w:val="24"/>
                <w:szCs w:val="24"/>
              </w:rPr>
            </w:pPr>
            <w:r>
              <w:rPr>
                <w:rFonts w:hint="eastAsia" w:asciiTheme="minorEastAsia" w:hAnsiTheme="minorEastAsia"/>
                <w:color w:val="auto"/>
                <w:sz w:val="24"/>
                <w:szCs w:val="24"/>
              </w:rPr>
              <w:t>0</w:t>
            </w:r>
          </w:p>
        </w:tc>
      </w:tr>
    </w:tbl>
    <w:p>
      <w:pPr>
        <w:pStyle w:val="6"/>
        <w:keepNext w:val="0"/>
        <w:keepLines w:val="0"/>
        <w:pageBreakBefore w:val="0"/>
        <w:widowControl/>
        <w:shd w:val="clear" w:color="auto" w:fill="FFFFFF"/>
        <w:tabs>
          <w:tab w:val="left" w:pos="3900"/>
        </w:tabs>
        <w:kinsoku/>
        <w:wordWrap/>
        <w:overflowPunct/>
        <w:topLinePunct w:val="0"/>
        <w:autoSpaceDE/>
        <w:autoSpaceDN/>
        <w:bidi w:val="0"/>
        <w:adjustRightInd/>
        <w:snapToGrid/>
        <w:spacing w:line="500" w:lineRule="exact"/>
        <w:ind w:firstLine="643" w:firstLineChars="200"/>
        <w:jc w:val="left"/>
        <w:textAlignment w:val="auto"/>
        <w:outlineLvl w:val="9"/>
        <w:rPr>
          <w:rFonts w:ascii="仿宋_GB2312" w:eastAsia="仿宋_GB2312" w:cs="宋体" w:hAnsiTheme="minorEastAsia"/>
          <w:b/>
          <w:color w:val="auto"/>
          <w:kern w:val="0"/>
          <w:sz w:val="32"/>
          <w:szCs w:val="32"/>
        </w:rPr>
      </w:pPr>
      <w:r>
        <w:rPr>
          <w:rFonts w:hint="eastAsia" w:ascii="仿宋_GB2312" w:eastAsia="仿宋_GB2312" w:cs="仿宋_GB2312" w:hAnsiTheme="minorEastAsia"/>
          <w:b/>
          <w:color w:val="auto"/>
          <w:sz w:val="32"/>
          <w:szCs w:val="32"/>
          <w:shd w:val="clear" w:color="auto" w:fill="FFFFFF"/>
        </w:rPr>
        <w:t>5.6.3</w:t>
      </w:r>
      <w:r>
        <w:rPr>
          <w:rFonts w:hint="eastAsia" w:ascii="仿宋_GB2312" w:eastAsia="仿宋_GB2312" w:cs="宋体" w:hAnsiTheme="minorEastAsia"/>
          <w:b/>
          <w:color w:val="auto"/>
          <w:kern w:val="0"/>
          <w:sz w:val="32"/>
          <w:szCs w:val="32"/>
        </w:rPr>
        <w:t>其他情况</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5"/>
        <w:jc w:val="left"/>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至202</w:t>
      </w:r>
      <w:r>
        <w:rPr>
          <w:rFonts w:hint="eastAsia" w:ascii="仿宋_GB2312" w:eastAsia="仿宋_GB2312" w:cs="宋体" w:hAnsiTheme="minorEastAsia"/>
          <w:color w:val="auto"/>
          <w:kern w:val="0"/>
          <w:sz w:val="32"/>
          <w:szCs w:val="32"/>
          <w:lang w:val="en-US" w:eastAsia="zh-CN"/>
        </w:rPr>
        <w:t>5</w:t>
      </w:r>
      <w:r>
        <w:rPr>
          <w:rFonts w:hint="eastAsia" w:ascii="仿宋_GB2312" w:eastAsia="仿宋_GB2312" w:cs="宋体" w:hAnsiTheme="minorEastAsia"/>
          <w:color w:val="auto"/>
          <w:kern w:val="0"/>
          <w:sz w:val="32"/>
          <w:szCs w:val="32"/>
        </w:rPr>
        <w:t>年末，本行被质押股权涉及冻结的</w:t>
      </w:r>
      <w:r>
        <w:rPr>
          <w:rFonts w:hint="eastAsia" w:ascii="仿宋_GB2312" w:eastAsia="仿宋_GB2312" w:cs="宋体" w:hAnsiTheme="minorEastAsia"/>
          <w:color w:val="auto"/>
          <w:kern w:val="0"/>
          <w:sz w:val="32"/>
          <w:szCs w:val="32"/>
          <w:lang w:val="en-US" w:eastAsia="zh-CN"/>
        </w:rPr>
        <w:t>1户，冻结股权</w:t>
      </w:r>
      <w:r>
        <w:rPr>
          <w:rFonts w:hint="eastAsia" w:ascii="仿宋_GB2312" w:eastAsia="仿宋_GB2312" w:cs="宋体" w:hAnsiTheme="minorEastAsia"/>
          <w:color w:val="auto"/>
          <w:kern w:val="0"/>
          <w:sz w:val="32"/>
          <w:szCs w:val="32"/>
          <w:highlight w:val="none"/>
          <w:lang w:val="en-US" w:eastAsia="zh-CN"/>
        </w:rPr>
        <w:t>390.91</w:t>
      </w:r>
      <w:r>
        <w:rPr>
          <w:rFonts w:hint="eastAsia" w:ascii="仿宋_GB2312" w:eastAsia="仿宋_GB2312" w:cs="宋体" w:hAnsiTheme="minorEastAsia"/>
          <w:color w:val="auto"/>
          <w:kern w:val="0"/>
          <w:sz w:val="32"/>
          <w:szCs w:val="32"/>
          <w:lang w:val="en-US" w:eastAsia="zh-CN"/>
        </w:rPr>
        <w:t>万元</w:t>
      </w:r>
      <w:r>
        <w:rPr>
          <w:rFonts w:hint="eastAsia" w:ascii="仿宋_GB2312" w:eastAsia="仿宋_GB2312" w:cs="宋体" w:hAnsiTheme="minorEastAsia"/>
          <w:color w:val="auto"/>
          <w:kern w:val="0"/>
          <w:sz w:val="32"/>
          <w:szCs w:val="32"/>
        </w:rPr>
        <w:t>；已出质股东户数</w:t>
      </w:r>
      <w:r>
        <w:rPr>
          <w:rFonts w:hint="eastAsia" w:ascii="仿宋_GB2312" w:eastAsia="仿宋_GB2312" w:cs="宋体" w:hAnsiTheme="minorEastAsia"/>
          <w:color w:val="auto"/>
          <w:kern w:val="0"/>
          <w:sz w:val="32"/>
          <w:szCs w:val="32"/>
          <w:lang w:val="en-US" w:eastAsia="zh-CN"/>
        </w:rPr>
        <w:t>10</w:t>
      </w:r>
      <w:r>
        <w:rPr>
          <w:rFonts w:hint="eastAsia" w:ascii="仿宋_GB2312" w:eastAsia="仿宋_GB2312" w:cs="宋体" w:hAnsiTheme="minorEastAsia"/>
          <w:color w:val="auto"/>
          <w:kern w:val="0"/>
          <w:sz w:val="32"/>
          <w:szCs w:val="32"/>
        </w:rPr>
        <w:t>户、出质股金金额</w:t>
      </w:r>
      <w:r>
        <w:rPr>
          <w:rFonts w:hint="eastAsia" w:ascii="仿宋_GB2312" w:hAnsi="宋体" w:eastAsia="仿宋_GB2312" w:cs="仿宋_GB2312"/>
          <w:color w:val="auto"/>
          <w:sz w:val="32"/>
          <w:szCs w:val="32"/>
          <w:shd w:val="clear" w:color="auto" w:fill="FFFFFF"/>
          <w:lang w:val="en-US" w:eastAsia="zh-CN"/>
        </w:rPr>
        <w:t>2434.76</w:t>
      </w:r>
      <w:r>
        <w:rPr>
          <w:rFonts w:hint="eastAsia" w:ascii="仿宋_GB2312" w:eastAsia="仿宋_GB2312" w:cs="宋体" w:hAnsiTheme="minorEastAsia"/>
          <w:color w:val="auto"/>
          <w:kern w:val="0"/>
          <w:sz w:val="32"/>
          <w:szCs w:val="32"/>
        </w:rPr>
        <w:t>万元均被依法限制了表决权；202</w:t>
      </w:r>
      <w:r>
        <w:rPr>
          <w:rFonts w:hint="eastAsia" w:ascii="仿宋_GB2312" w:eastAsia="仿宋_GB2312" w:cs="宋体" w:hAnsiTheme="minorEastAsia"/>
          <w:color w:val="auto"/>
          <w:kern w:val="0"/>
          <w:sz w:val="32"/>
          <w:szCs w:val="32"/>
          <w:lang w:val="en-US" w:eastAsia="zh-CN"/>
        </w:rPr>
        <w:t>5</w:t>
      </w:r>
      <w:r>
        <w:rPr>
          <w:rFonts w:hint="eastAsia" w:ascii="仿宋_GB2312" w:eastAsia="仿宋_GB2312" w:cs="宋体" w:hAnsiTheme="minorEastAsia"/>
          <w:color w:val="auto"/>
          <w:kern w:val="0"/>
          <w:sz w:val="32"/>
          <w:szCs w:val="32"/>
        </w:rPr>
        <w:t>年度</w:t>
      </w:r>
      <w:r>
        <w:rPr>
          <w:rFonts w:hint="eastAsia" w:ascii="仿宋_GB2312" w:eastAsia="仿宋_GB2312" w:cs="宋体" w:hAnsiTheme="minorEastAsia"/>
          <w:color w:val="auto"/>
          <w:kern w:val="0"/>
          <w:sz w:val="32"/>
          <w:szCs w:val="32"/>
          <w:lang w:eastAsia="zh-CN"/>
        </w:rPr>
        <w:t>已</w:t>
      </w:r>
      <w:r>
        <w:rPr>
          <w:rFonts w:hint="eastAsia" w:ascii="仿宋_GB2312" w:eastAsia="仿宋_GB2312" w:cs="宋体" w:hAnsiTheme="minorEastAsia"/>
          <w:color w:val="auto"/>
          <w:kern w:val="0"/>
          <w:sz w:val="32"/>
          <w:szCs w:val="32"/>
        </w:rPr>
        <w:t>质押股权</w:t>
      </w:r>
      <w:r>
        <w:rPr>
          <w:rFonts w:hint="eastAsia" w:ascii="仿宋_GB2312" w:eastAsia="仿宋_GB2312" w:cs="宋体" w:hAnsiTheme="minorEastAsia"/>
          <w:color w:val="auto"/>
          <w:kern w:val="0"/>
          <w:sz w:val="32"/>
          <w:szCs w:val="32"/>
          <w:lang w:eastAsia="zh-CN"/>
        </w:rPr>
        <w:t>被司法拍</w:t>
      </w:r>
      <w:r>
        <w:rPr>
          <w:rFonts w:hint="eastAsia" w:ascii="仿宋_GB2312" w:eastAsia="仿宋_GB2312" w:cs="宋体" w:hAnsiTheme="minorEastAsia"/>
          <w:color w:val="auto"/>
          <w:kern w:val="0"/>
          <w:sz w:val="32"/>
          <w:szCs w:val="32"/>
        </w:rPr>
        <w:t>卖</w:t>
      </w:r>
      <w:r>
        <w:rPr>
          <w:rFonts w:hint="eastAsia" w:ascii="仿宋_GB2312" w:eastAsia="仿宋_GB2312" w:cs="宋体" w:hAnsiTheme="minorEastAsia"/>
          <w:color w:val="auto"/>
          <w:kern w:val="0"/>
          <w:sz w:val="32"/>
          <w:szCs w:val="32"/>
          <w:lang w:val="en-US" w:eastAsia="zh-CN"/>
        </w:rPr>
        <w:t>2户</w:t>
      </w:r>
      <w:r>
        <w:rPr>
          <w:rFonts w:hint="eastAsia" w:ascii="仿宋_GB2312" w:eastAsia="仿宋_GB2312" w:cs="宋体" w:hAnsiTheme="minorEastAsia"/>
          <w:color w:val="auto"/>
          <w:kern w:val="0"/>
          <w:sz w:val="32"/>
          <w:szCs w:val="32"/>
        </w:rPr>
        <w:t>。</w:t>
      </w:r>
    </w:p>
    <w:p>
      <w:pPr>
        <w:pStyle w:val="6"/>
        <w:keepNext w:val="0"/>
        <w:keepLines w:val="0"/>
        <w:pageBreakBefore w:val="0"/>
        <w:widowControl/>
        <w:shd w:val="clear" w:color="auto" w:fill="FFFFFF"/>
        <w:kinsoku/>
        <w:wordWrap/>
        <w:overflowPunct/>
        <w:topLinePunct w:val="0"/>
        <w:autoSpaceDE/>
        <w:autoSpaceDN/>
        <w:bidi w:val="0"/>
        <w:adjustRightInd/>
        <w:snapToGrid/>
        <w:spacing w:line="500" w:lineRule="exact"/>
        <w:ind w:firstLine="600"/>
        <w:jc w:val="left"/>
        <w:textAlignment w:val="auto"/>
        <w:outlineLvl w:val="9"/>
        <w:rPr>
          <w:rFonts w:hint="eastAsia" w:ascii="仿宋_GB2312" w:eastAsia="仿宋_GB2312" w:cs="宋体" w:hAnsiTheme="minorEastAsia"/>
          <w:b/>
          <w:color w:val="auto"/>
          <w:kern w:val="0"/>
          <w:sz w:val="32"/>
          <w:szCs w:val="32"/>
          <w:lang w:eastAsia="zh-CN"/>
        </w:rPr>
      </w:pPr>
      <w:r>
        <w:rPr>
          <w:rFonts w:hint="eastAsia" w:ascii="仿宋_GB2312" w:eastAsia="仿宋_GB2312" w:cs="宋体" w:hAnsiTheme="minorEastAsia"/>
          <w:b/>
          <w:bCs/>
          <w:color w:val="auto"/>
          <w:kern w:val="0"/>
          <w:sz w:val="32"/>
          <w:szCs w:val="32"/>
        </w:rPr>
        <w:t>5.7关联交易情况</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eastAsia="仿宋_GB2312" w:cs="仿宋_GB2312" w:hAnsiTheme="minorEastAsia"/>
          <w:b/>
          <w:bCs w:val="0"/>
          <w:color w:val="auto"/>
          <w:sz w:val="32"/>
          <w:szCs w:val="32"/>
          <w:shd w:val="clear" w:color="auto" w:fill="FFFFFF"/>
        </w:rPr>
      </w:pPr>
      <w:r>
        <w:rPr>
          <w:rFonts w:hint="eastAsia" w:ascii="仿宋_GB2312" w:eastAsia="仿宋_GB2312" w:cs="仿宋_GB2312" w:hAnsiTheme="minorEastAsia"/>
          <w:b/>
          <w:bCs w:val="0"/>
          <w:color w:val="auto"/>
          <w:sz w:val="32"/>
          <w:szCs w:val="32"/>
          <w:shd w:val="clear" w:color="auto" w:fill="FFFFFF"/>
        </w:rPr>
        <w:t>5.7.1关联方认定情况</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仿宋_GB2312" w:hAnsiTheme="minorEastAsia"/>
          <w:b w:val="0"/>
          <w:bCs/>
          <w:color w:val="auto"/>
          <w:sz w:val="32"/>
          <w:szCs w:val="32"/>
          <w:shd w:val="clear" w:color="auto" w:fill="FFFFFF"/>
        </w:rPr>
      </w:pPr>
      <w:r>
        <w:rPr>
          <w:rFonts w:hint="eastAsia" w:ascii="仿宋_GB2312" w:eastAsia="仿宋_GB2312" w:cs="仿宋_GB2312" w:hAnsiTheme="minorEastAsia"/>
          <w:b w:val="0"/>
          <w:bCs/>
          <w:color w:val="auto"/>
          <w:sz w:val="32"/>
          <w:szCs w:val="32"/>
          <w:shd w:val="clear" w:color="auto" w:fill="FFFFFF"/>
        </w:rPr>
        <w:t>根据《银行保险机构关联交易管理办法》（中国银行保险监督管理委员会令[2022年第1号]）规定，本行按季对关联方名单进行了梳理、更新和认定。截至2025年末，本行关联方304户，其中关联法人或非法人组织33户，关联自然人271户。</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eastAsia="仿宋_GB2312" w:cs="仿宋_GB2312" w:hAnsiTheme="minorEastAsia"/>
          <w:b/>
          <w:bCs w:val="0"/>
          <w:color w:val="auto"/>
          <w:sz w:val="32"/>
          <w:szCs w:val="32"/>
          <w:shd w:val="clear" w:color="auto" w:fill="FFFFFF"/>
        </w:rPr>
      </w:pPr>
      <w:r>
        <w:rPr>
          <w:rFonts w:hint="eastAsia" w:ascii="仿宋_GB2312" w:eastAsia="仿宋_GB2312" w:cs="仿宋_GB2312" w:hAnsiTheme="minorEastAsia"/>
          <w:b/>
          <w:bCs w:val="0"/>
          <w:color w:val="auto"/>
          <w:sz w:val="32"/>
          <w:szCs w:val="32"/>
          <w:shd w:val="clear" w:color="auto" w:fill="FFFFFF"/>
        </w:rPr>
        <w:t>5.7.2关联交易控制委员会运作情况</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仿宋_GB2312" w:hAnsiTheme="minorEastAsia"/>
          <w:b w:val="0"/>
          <w:bCs/>
          <w:color w:val="auto"/>
          <w:sz w:val="32"/>
          <w:szCs w:val="32"/>
          <w:shd w:val="clear" w:color="auto" w:fill="FFFFFF"/>
        </w:rPr>
      </w:pPr>
      <w:r>
        <w:rPr>
          <w:rFonts w:hint="eastAsia" w:ascii="仿宋_GB2312" w:eastAsia="仿宋_GB2312" w:cs="仿宋_GB2312" w:hAnsiTheme="minorEastAsia"/>
          <w:b w:val="0"/>
          <w:bCs/>
          <w:color w:val="auto"/>
          <w:sz w:val="32"/>
          <w:szCs w:val="32"/>
          <w:highlight w:val="none"/>
          <w:shd w:val="clear" w:color="auto" w:fill="FFFFFF"/>
        </w:rPr>
        <w:t>202</w:t>
      </w:r>
      <w:r>
        <w:rPr>
          <w:rFonts w:hint="eastAsia" w:ascii="仿宋_GB2312" w:eastAsia="仿宋_GB2312" w:cs="仿宋_GB2312" w:hAnsiTheme="minorEastAsia"/>
          <w:b w:val="0"/>
          <w:bCs/>
          <w:color w:val="auto"/>
          <w:sz w:val="32"/>
          <w:szCs w:val="32"/>
          <w:highlight w:val="none"/>
          <w:shd w:val="clear" w:color="auto" w:fill="FFFFFF"/>
          <w:lang w:val="en-US" w:eastAsia="zh-CN"/>
        </w:rPr>
        <w:t>5</w:t>
      </w:r>
      <w:r>
        <w:rPr>
          <w:rFonts w:hint="eastAsia" w:ascii="仿宋_GB2312" w:eastAsia="仿宋_GB2312" w:cs="仿宋_GB2312" w:hAnsiTheme="minorEastAsia"/>
          <w:b w:val="0"/>
          <w:bCs/>
          <w:color w:val="auto"/>
          <w:sz w:val="32"/>
          <w:szCs w:val="32"/>
          <w:highlight w:val="none"/>
          <w:shd w:val="clear" w:color="auto" w:fill="FFFFFF"/>
        </w:rPr>
        <w:t>年，董事会关联交易控制委员会共召开了</w:t>
      </w:r>
      <w:r>
        <w:rPr>
          <w:rFonts w:hint="eastAsia" w:ascii="仿宋_GB2312" w:eastAsia="仿宋_GB2312" w:cs="仿宋_GB2312" w:hAnsiTheme="minorEastAsia"/>
          <w:b w:val="0"/>
          <w:bCs/>
          <w:color w:val="auto"/>
          <w:sz w:val="32"/>
          <w:szCs w:val="32"/>
          <w:highlight w:val="none"/>
          <w:shd w:val="clear" w:color="auto" w:fill="FFFFFF"/>
          <w:lang w:val="en-US" w:eastAsia="zh-CN"/>
        </w:rPr>
        <w:t>6</w:t>
      </w:r>
      <w:r>
        <w:rPr>
          <w:rFonts w:hint="eastAsia" w:ascii="仿宋_GB2312" w:eastAsia="仿宋_GB2312" w:cs="仿宋_GB2312" w:hAnsiTheme="minorEastAsia"/>
          <w:b w:val="0"/>
          <w:bCs/>
          <w:color w:val="auto"/>
          <w:sz w:val="32"/>
          <w:szCs w:val="32"/>
          <w:highlight w:val="none"/>
          <w:shd w:val="clear" w:color="auto" w:fill="FFFFFF"/>
        </w:rPr>
        <w:t>次会议，会议内容主要包括：修订本行关联交易管理办法、审查、审议重大关联交易事项、审议每季关联交易信息披露报告、听取每季关联交易情况报告、向董事会提交各项关联交易议案等。</w:t>
      </w:r>
      <w:r>
        <w:rPr>
          <w:rFonts w:hint="eastAsia" w:ascii="仿宋_GB2312" w:eastAsia="仿宋_GB2312" w:cs="仿宋_GB2312" w:hAnsiTheme="minorEastAsia"/>
          <w:b w:val="0"/>
          <w:bCs/>
          <w:color w:val="auto"/>
          <w:sz w:val="32"/>
          <w:szCs w:val="32"/>
          <w:shd w:val="clear" w:color="auto" w:fill="FFFFFF"/>
        </w:rPr>
        <w:t>本行关联交易控制委员会能维持专业、独立运作，保证了关联交易事项能够按照“公平、公正、公允”的商业原则和有利于全体股东利益的原则进行。</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eastAsia="仿宋_GB2312" w:cs="仿宋_GB2312" w:hAnsiTheme="minorEastAsia"/>
          <w:b/>
          <w:bCs w:val="0"/>
          <w:color w:val="auto"/>
          <w:sz w:val="32"/>
          <w:szCs w:val="32"/>
          <w:shd w:val="clear" w:color="auto" w:fill="FFFFFF"/>
        </w:rPr>
      </w:pPr>
      <w:r>
        <w:rPr>
          <w:rFonts w:hint="eastAsia" w:ascii="仿宋_GB2312" w:eastAsia="仿宋_GB2312" w:cs="仿宋_GB2312" w:hAnsiTheme="minorEastAsia"/>
          <w:b/>
          <w:bCs w:val="0"/>
          <w:color w:val="auto"/>
          <w:sz w:val="32"/>
          <w:szCs w:val="32"/>
          <w:shd w:val="clear" w:color="auto" w:fill="FFFFFF"/>
        </w:rPr>
        <w:t>5.7.3关联交易审批情况</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仿宋_GB2312" w:hAnsiTheme="minorEastAsia"/>
          <w:b w:val="0"/>
          <w:bCs/>
          <w:color w:val="auto"/>
          <w:sz w:val="32"/>
          <w:szCs w:val="32"/>
          <w:shd w:val="clear" w:color="auto" w:fill="FFFFFF"/>
        </w:rPr>
      </w:pPr>
      <w:r>
        <w:rPr>
          <w:rFonts w:hint="eastAsia" w:ascii="仿宋_GB2312" w:eastAsia="仿宋_GB2312" w:cs="仿宋_GB2312" w:hAnsiTheme="minorEastAsia"/>
          <w:b w:val="0"/>
          <w:bCs/>
          <w:color w:val="auto"/>
          <w:sz w:val="32"/>
          <w:szCs w:val="32"/>
          <w:shd w:val="clear" w:color="auto" w:fill="FFFFFF"/>
        </w:rPr>
        <w:t>202</w:t>
      </w:r>
      <w:r>
        <w:rPr>
          <w:rFonts w:hint="eastAsia" w:ascii="仿宋_GB2312" w:eastAsia="仿宋_GB2312" w:cs="仿宋_GB2312" w:hAnsiTheme="minorEastAsia"/>
          <w:b w:val="0"/>
          <w:bCs/>
          <w:color w:val="auto"/>
          <w:sz w:val="32"/>
          <w:szCs w:val="32"/>
          <w:shd w:val="clear" w:color="auto" w:fill="FFFFFF"/>
          <w:lang w:val="en-US" w:eastAsia="zh-CN"/>
        </w:rPr>
        <w:t>5</w:t>
      </w:r>
      <w:r>
        <w:rPr>
          <w:rFonts w:hint="eastAsia" w:ascii="仿宋_GB2312" w:eastAsia="仿宋_GB2312" w:cs="仿宋_GB2312" w:hAnsiTheme="minorEastAsia"/>
          <w:b w:val="0"/>
          <w:bCs/>
          <w:color w:val="auto"/>
          <w:sz w:val="32"/>
          <w:szCs w:val="32"/>
          <w:shd w:val="clear" w:color="auto" w:fill="FFFFFF"/>
        </w:rPr>
        <w:t>年，本行严格按照监管机构规定及本行相关制度要求，履行关联交易审批手续。一般关联交易按照本行内部授权程序审批，并报关联交易控制委员会备案；重大关联交易经本行关联交易控制委员会审查后，提交董事会批准。</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eastAsia="仿宋_GB2312" w:cs="仿宋_GB2312" w:hAnsiTheme="minorEastAsia"/>
          <w:b/>
          <w:bCs w:val="0"/>
          <w:color w:val="auto"/>
          <w:sz w:val="32"/>
          <w:szCs w:val="32"/>
          <w:shd w:val="clear" w:color="auto" w:fill="FFFFFF"/>
        </w:rPr>
      </w:pPr>
      <w:r>
        <w:rPr>
          <w:rFonts w:hint="eastAsia" w:ascii="仿宋_GB2312" w:eastAsia="仿宋_GB2312" w:cs="仿宋_GB2312" w:hAnsiTheme="minorEastAsia"/>
          <w:b/>
          <w:bCs w:val="0"/>
          <w:color w:val="auto"/>
          <w:sz w:val="32"/>
          <w:szCs w:val="32"/>
          <w:shd w:val="clear" w:color="auto" w:fill="FFFFFF"/>
        </w:rPr>
        <w:t>5.7.4关联交易定价情况</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仿宋_GB2312" w:hAnsiTheme="minorEastAsia"/>
          <w:b w:val="0"/>
          <w:bCs/>
          <w:color w:val="auto"/>
          <w:sz w:val="32"/>
          <w:szCs w:val="32"/>
          <w:shd w:val="clear" w:color="auto" w:fill="FFFFFF"/>
        </w:rPr>
      </w:pPr>
      <w:r>
        <w:rPr>
          <w:rFonts w:hint="eastAsia" w:ascii="仿宋_GB2312" w:eastAsia="仿宋_GB2312" w:cs="仿宋_GB2312" w:hAnsiTheme="minorEastAsia"/>
          <w:b w:val="0"/>
          <w:bCs/>
          <w:color w:val="auto"/>
          <w:sz w:val="32"/>
          <w:szCs w:val="32"/>
          <w:shd w:val="clear" w:color="auto" w:fill="FFFFFF"/>
        </w:rPr>
        <w:t>202</w:t>
      </w:r>
      <w:r>
        <w:rPr>
          <w:rFonts w:hint="eastAsia" w:ascii="仿宋_GB2312" w:eastAsia="仿宋_GB2312" w:cs="仿宋_GB2312" w:hAnsiTheme="minorEastAsia"/>
          <w:b w:val="0"/>
          <w:bCs/>
          <w:color w:val="auto"/>
          <w:sz w:val="32"/>
          <w:szCs w:val="32"/>
          <w:shd w:val="clear" w:color="auto" w:fill="FFFFFF"/>
          <w:lang w:val="en-US" w:eastAsia="zh-CN"/>
        </w:rPr>
        <w:t>5</w:t>
      </w:r>
      <w:r>
        <w:rPr>
          <w:rFonts w:hint="eastAsia" w:ascii="仿宋_GB2312" w:eastAsia="仿宋_GB2312" w:cs="仿宋_GB2312" w:hAnsiTheme="minorEastAsia"/>
          <w:b w:val="0"/>
          <w:bCs/>
          <w:color w:val="auto"/>
          <w:sz w:val="32"/>
          <w:szCs w:val="32"/>
          <w:shd w:val="clear" w:color="auto" w:fill="FFFFFF"/>
        </w:rPr>
        <w:t>年，本行与关联方的关联交易坚持遵循一般商业条款和正常业务程序进行，其定价原则与独立第三方交易一致，即以不优于对非关联方同类交易的条件进行，不存在给其他股东合法权益造成损害的情形，具备合理性和公允性。</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eastAsia="仿宋_GB2312" w:cs="仿宋_GB2312" w:hAnsiTheme="minorEastAsia"/>
          <w:b/>
          <w:bCs w:val="0"/>
          <w:color w:val="auto"/>
          <w:sz w:val="32"/>
          <w:szCs w:val="32"/>
          <w:shd w:val="clear" w:color="auto" w:fill="FFFFFF"/>
        </w:rPr>
      </w:pPr>
      <w:r>
        <w:rPr>
          <w:rFonts w:hint="eastAsia" w:ascii="仿宋_GB2312" w:eastAsia="仿宋_GB2312" w:cs="仿宋_GB2312" w:hAnsiTheme="minorEastAsia"/>
          <w:b/>
          <w:bCs w:val="0"/>
          <w:color w:val="auto"/>
          <w:sz w:val="32"/>
          <w:szCs w:val="32"/>
          <w:shd w:val="clear" w:color="auto" w:fill="FFFFFF"/>
        </w:rPr>
        <w:t>5.7.5监管规定执行情况</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仿宋_GB2312" w:hAnsiTheme="minorEastAsia"/>
          <w:b w:val="0"/>
          <w:bCs/>
          <w:color w:val="auto"/>
          <w:sz w:val="32"/>
          <w:szCs w:val="32"/>
          <w:shd w:val="clear" w:color="auto" w:fill="FFFFFF"/>
        </w:rPr>
      </w:pPr>
      <w:r>
        <w:rPr>
          <w:rFonts w:hint="eastAsia" w:ascii="仿宋_GB2312" w:eastAsia="仿宋_GB2312" w:cs="仿宋_GB2312" w:hAnsiTheme="minorEastAsia"/>
          <w:b w:val="0"/>
          <w:bCs/>
          <w:color w:val="auto"/>
          <w:sz w:val="32"/>
          <w:szCs w:val="32"/>
          <w:shd w:val="clear" w:color="auto" w:fill="FFFFFF"/>
        </w:rPr>
        <w:t>截至202</w:t>
      </w:r>
      <w:r>
        <w:rPr>
          <w:rFonts w:hint="eastAsia" w:ascii="仿宋_GB2312" w:eastAsia="仿宋_GB2312" w:cs="仿宋_GB2312" w:hAnsiTheme="minorEastAsia"/>
          <w:b w:val="0"/>
          <w:bCs/>
          <w:color w:val="auto"/>
          <w:sz w:val="32"/>
          <w:szCs w:val="32"/>
          <w:shd w:val="clear" w:color="auto" w:fill="FFFFFF"/>
          <w:lang w:val="en-US" w:eastAsia="zh-CN"/>
        </w:rPr>
        <w:t>5</w:t>
      </w:r>
      <w:r>
        <w:rPr>
          <w:rFonts w:hint="eastAsia" w:ascii="仿宋_GB2312" w:eastAsia="仿宋_GB2312" w:cs="仿宋_GB2312" w:hAnsiTheme="minorEastAsia"/>
          <w:b w:val="0"/>
          <w:bCs/>
          <w:color w:val="auto"/>
          <w:sz w:val="32"/>
          <w:szCs w:val="32"/>
          <w:shd w:val="clear" w:color="auto" w:fill="FFFFFF"/>
        </w:rPr>
        <w:t>年末，</w:t>
      </w:r>
      <w:r>
        <w:rPr>
          <w:rFonts w:hint="eastAsia" w:ascii="仿宋_GB2312" w:eastAsia="仿宋_GB2312" w:cs="仿宋_GB2312" w:hAnsiTheme="minorEastAsia"/>
          <w:b w:val="0"/>
          <w:bCs/>
          <w:color w:val="auto"/>
          <w:sz w:val="32"/>
          <w:szCs w:val="32"/>
          <w:highlight w:val="none"/>
          <w:shd w:val="clear" w:color="auto" w:fill="FFFFFF"/>
        </w:rPr>
        <w:t>全部关联方授信余额9640万元，占资本净额比例10.36%；最大单一关联方授信余额4100万元，占资本净额比例4.40%；最大单一关联法人或非法人组织所在集团授信余额6520万元，占资本净额比例7%，上述指标均符合监管要求。</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eastAsia="仿宋_GB2312" w:cs="仿宋_GB2312" w:hAnsiTheme="minorEastAsia"/>
          <w:b/>
          <w:bCs w:val="0"/>
          <w:color w:val="auto"/>
          <w:sz w:val="32"/>
          <w:szCs w:val="32"/>
          <w:shd w:val="clear" w:color="auto" w:fill="FFFFFF"/>
        </w:rPr>
      </w:pPr>
      <w:r>
        <w:rPr>
          <w:rFonts w:hint="eastAsia" w:ascii="仿宋_GB2312" w:eastAsia="仿宋_GB2312" w:cs="仿宋_GB2312" w:hAnsiTheme="minorEastAsia"/>
          <w:b/>
          <w:bCs w:val="0"/>
          <w:color w:val="auto"/>
          <w:sz w:val="32"/>
          <w:szCs w:val="32"/>
          <w:shd w:val="clear" w:color="auto" w:fill="FFFFFF"/>
        </w:rPr>
        <w:t>5.7.6关联交易披露情况</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9"/>
        <w:rPr>
          <w:rFonts w:ascii="仿宋_GB2312" w:eastAsia="仿宋_GB2312" w:cs="仿宋_GB2312" w:hAnsiTheme="minorEastAsia"/>
          <w:b w:val="0"/>
          <w:bCs/>
          <w:color w:val="auto"/>
          <w:sz w:val="32"/>
          <w:szCs w:val="32"/>
          <w:highlight w:val="none"/>
        </w:rPr>
      </w:pPr>
      <w:r>
        <w:rPr>
          <w:rFonts w:hint="eastAsia" w:ascii="仿宋_GB2312" w:eastAsia="仿宋_GB2312" w:cs="仿宋_GB2312" w:hAnsiTheme="minorEastAsia"/>
          <w:b w:val="0"/>
          <w:bCs/>
          <w:color w:val="auto"/>
          <w:sz w:val="32"/>
          <w:szCs w:val="32"/>
          <w:shd w:val="clear" w:color="auto" w:fill="FFFFFF"/>
        </w:rPr>
        <w:t>2025年本行严格按照监管机构有关规定，及时、准确、完整地披露了本行关联交易情况。</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六、风险管理情况</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jc w:val="left"/>
        <w:textAlignment w:val="auto"/>
        <w:outlineLvl w:val="9"/>
        <w:rPr>
          <w:rFonts w:ascii="仿宋_GB2312" w:eastAsia="仿宋_GB2312" w:cs="宋体" w:hAnsiTheme="minorEastAsia"/>
          <w:b/>
          <w:bCs/>
          <w:color w:val="auto"/>
          <w:kern w:val="0"/>
          <w:sz w:val="32"/>
          <w:szCs w:val="32"/>
        </w:rPr>
      </w:pPr>
      <w:r>
        <w:rPr>
          <w:rFonts w:hint="eastAsia" w:ascii="仿宋_GB2312" w:eastAsia="仿宋_GB2312" w:cs="宋体" w:hAnsiTheme="minorEastAsia"/>
          <w:b/>
          <w:bCs/>
          <w:color w:val="auto"/>
          <w:kern w:val="0"/>
          <w:sz w:val="32"/>
          <w:szCs w:val="32"/>
        </w:rPr>
        <w:t>6.1主要监管指标情况</w:t>
      </w:r>
    </w:p>
    <w:p>
      <w:pPr>
        <w:widowControl/>
        <w:shd w:val="clear" w:color="auto" w:fill="FFFFFF"/>
        <w:tabs>
          <w:tab w:val="left" w:pos="630"/>
        </w:tabs>
        <w:spacing w:line="500" w:lineRule="exact"/>
        <w:ind w:firstLine="4480" w:firstLineChars="1400"/>
        <w:jc w:val="left"/>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单位：</w:t>
      </w:r>
      <w:r>
        <w:rPr>
          <w:rFonts w:hint="eastAsia" w:ascii="仿宋_GB2312" w:eastAsia="仿宋_GB2312" w:cs="宋体" w:hAnsiTheme="minorEastAsia"/>
          <w:color w:val="auto"/>
          <w:kern w:val="0"/>
          <w:sz w:val="32"/>
          <w:szCs w:val="32"/>
          <w:lang w:eastAsia="zh-CN"/>
        </w:rPr>
        <w:t>人民币</w:t>
      </w:r>
      <w:r>
        <w:rPr>
          <w:rFonts w:hint="eastAsia" w:ascii="仿宋_GB2312" w:eastAsia="仿宋_GB2312" w:cs="宋体" w:hAnsiTheme="minorEastAsia"/>
          <w:color w:val="auto"/>
          <w:kern w:val="0"/>
          <w:sz w:val="32"/>
          <w:szCs w:val="32"/>
          <w:lang w:val="en-US" w:eastAsia="zh-CN"/>
        </w:rPr>
        <w:t xml:space="preserve">  </w:t>
      </w:r>
      <w:r>
        <w:rPr>
          <w:rFonts w:hint="eastAsia" w:ascii="仿宋_GB2312" w:eastAsia="仿宋_GB2312" w:cs="宋体" w:hAnsiTheme="minorEastAsia"/>
          <w:color w:val="auto"/>
          <w:kern w:val="0"/>
          <w:sz w:val="32"/>
          <w:szCs w:val="32"/>
          <w:lang w:eastAsia="zh-CN"/>
        </w:rPr>
        <w:t>万元</w:t>
      </w:r>
      <w:r>
        <w:rPr>
          <w:rFonts w:hint="eastAsia" w:ascii="仿宋_GB2312" w:eastAsia="仿宋_GB2312" w:cs="宋体" w:hAnsiTheme="minorEastAsia"/>
          <w:color w:val="auto"/>
          <w:kern w:val="0"/>
          <w:sz w:val="32"/>
          <w:szCs w:val="32"/>
        </w:rPr>
        <w:t xml:space="preserve"> </w:t>
      </w:r>
      <w:r>
        <w:rPr>
          <w:rFonts w:hint="eastAsia" w:ascii="仿宋_GB2312" w:eastAsia="仿宋_GB2312" w:cs="宋体" w:hAnsiTheme="minorEastAsia"/>
          <w:color w:val="auto"/>
          <w:kern w:val="0"/>
          <w:sz w:val="32"/>
          <w:szCs w:val="32"/>
          <w:lang w:eastAsia="zh-CN"/>
        </w:rPr>
        <w:t>、</w:t>
      </w:r>
      <w:r>
        <w:rPr>
          <w:rFonts w:hint="eastAsia" w:ascii="仿宋_GB2312" w:eastAsia="仿宋_GB2312" w:cs="宋体" w:hAnsiTheme="minorEastAsia"/>
          <w:color w:val="auto"/>
          <w:kern w:val="0"/>
          <w:sz w:val="32"/>
          <w:szCs w:val="32"/>
        </w:rPr>
        <w:t>%</w:t>
      </w:r>
    </w:p>
    <w:tbl>
      <w:tblPr>
        <w:tblStyle w:val="8"/>
        <w:tblW w:w="8522" w:type="dxa"/>
        <w:tblInd w:w="0" w:type="dxa"/>
        <w:tblLayout w:type="fixed"/>
        <w:tblCellMar>
          <w:top w:w="0" w:type="dxa"/>
          <w:left w:w="108" w:type="dxa"/>
          <w:bottom w:w="0" w:type="dxa"/>
          <w:right w:w="108" w:type="dxa"/>
        </w:tblCellMar>
      </w:tblPr>
      <w:tblGrid>
        <w:gridCol w:w="3361"/>
        <w:gridCol w:w="1749"/>
        <w:gridCol w:w="1749"/>
        <w:gridCol w:w="1663"/>
      </w:tblGrid>
      <w:tr>
        <w:tblPrEx>
          <w:tblLayout w:type="fixed"/>
          <w:tblCellMar>
            <w:top w:w="0" w:type="dxa"/>
            <w:left w:w="108" w:type="dxa"/>
            <w:bottom w:w="0" w:type="dxa"/>
            <w:right w:w="108" w:type="dxa"/>
          </w:tblCellMar>
        </w:tblPrEx>
        <w:trPr>
          <w:trHeight w:val="390" w:hRule="atLeast"/>
        </w:trPr>
        <w:tc>
          <w:tcPr>
            <w:tcW w:w="33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项目</w:t>
            </w:r>
          </w:p>
        </w:tc>
        <w:tc>
          <w:tcPr>
            <w:tcW w:w="174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202</w:t>
            </w:r>
            <w:r>
              <w:rPr>
                <w:rFonts w:hint="eastAsia" w:cs="宋体" w:asciiTheme="minorEastAsia" w:hAnsiTheme="minorEastAsia"/>
                <w:color w:val="auto"/>
                <w:kern w:val="0"/>
                <w:sz w:val="24"/>
                <w:szCs w:val="24"/>
                <w:lang w:val="en-US" w:eastAsia="zh-CN"/>
              </w:rPr>
              <w:t>4</w:t>
            </w:r>
            <w:r>
              <w:rPr>
                <w:rFonts w:hint="eastAsia" w:cs="宋体" w:asciiTheme="minorEastAsia" w:hAnsiTheme="minorEastAsia"/>
                <w:color w:val="auto"/>
                <w:kern w:val="0"/>
                <w:sz w:val="24"/>
                <w:szCs w:val="24"/>
              </w:rPr>
              <w:t>年末</w:t>
            </w:r>
          </w:p>
        </w:tc>
        <w:tc>
          <w:tcPr>
            <w:tcW w:w="174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202</w:t>
            </w:r>
            <w:r>
              <w:rPr>
                <w:rFonts w:hint="eastAsia" w:cs="宋体" w:asciiTheme="minorEastAsia" w:hAnsiTheme="minorEastAsia"/>
                <w:color w:val="auto"/>
                <w:kern w:val="0"/>
                <w:sz w:val="24"/>
                <w:szCs w:val="24"/>
                <w:lang w:val="en-US" w:eastAsia="zh-CN"/>
              </w:rPr>
              <w:t>5</w:t>
            </w:r>
            <w:r>
              <w:rPr>
                <w:rFonts w:hint="eastAsia" w:cs="宋体" w:asciiTheme="minorEastAsia" w:hAnsiTheme="minorEastAsia"/>
                <w:color w:val="auto"/>
                <w:kern w:val="0"/>
                <w:sz w:val="24"/>
                <w:szCs w:val="24"/>
              </w:rPr>
              <w:t>年末</w:t>
            </w:r>
          </w:p>
        </w:tc>
        <w:tc>
          <w:tcPr>
            <w:tcW w:w="166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监管要求</w:t>
            </w:r>
          </w:p>
        </w:tc>
      </w:tr>
      <w:tr>
        <w:tblPrEx>
          <w:tblLayout w:type="fixed"/>
          <w:tblCellMar>
            <w:top w:w="0" w:type="dxa"/>
            <w:left w:w="108" w:type="dxa"/>
            <w:bottom w:w="0" w:type="dxa"/>
            <w:right w:w="108" w:type="dxa"/>
          </w:tblCellMar>
        </w:tblPrEx>
        <w:trPr>
          <w:trHeight w:val="390" w:hRule="atLeast"/>
        </w:trPr>
        <w:tc>
          <w:tcPr>
            <w:tcW w:w="33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核心一级</w:t>
            </w:r>
            <w:r>
              <w:rPr>
                <w:rFonts w:hint="eastAsia" w:cs="宋体" w:asciiTheme="minorEastAsia" w:hAnsiTheme="minorEastAsia"/>
                <w:color w:val="auto"/>
                <w:kern w:val="0"/>
                <w:sz w:val="24"/>
                <w:szCs w:val="24"/>
                <w:highlight w:val="none"/>
              </w:rPr>
              <w:t>资本充足率</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9.44</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9.47</w:t>
            </w:r>
          </w:p>
        </w:tc>
        <w:tc>
          <w:tcPr>
            <w:tcW w:w="16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w:t>
            </w:r>
            <w:r>
              <w:rPr>
                <w:rFonts w:hint="eastAsia" w:cs="宋体" w:asciiTheme="minorEastAsia" w:hAnsiTheme="minorEastAsia"/>
                <w:color w:val="auto"/>
                <w:kern w:val="0"/>
                <w:sz w:val="24"/>
                <w:szCs w:val="24"/>
                <w:highlight w:val="none"/>
                <w:lang w:val="en-US" w:eastAsia="zh-CN"/>
              </w:rPr>
              <w:t>7</w:t>
            </w:r>
            <w:r>
              <w:rPr>
                <w:rFonts w:hint="eastAsia" w:cs="宋体" w:asciiTheme="minorEastAsia" w:hAnsiTheme="minorEastAsia"/>
                <w:color w:val="auto"/>
                <w:kern w:val="0"/>
                <w:sz w:val="24"/>
                <w:szCs w:val="24"/>
                <w:highlight w:val="none"/>
              </w:rPr>
              <w:t>.5%</w:t>
            </w:r>
          </w:p>
        </w:tc>
      </w:tr>
      <w:tr>
        <w:tblPrEx>
          <w:tblLayout w:type="fixed"/>
          <w:tblCellMar>
            <w:top w:w="0" w:type="dxa"/>
            <w:left w:w="108" w:type="dxa"/>
            <w:bottom w:w="0" w:type="dxa"/>
            <w:right w:w="108" w:type="dxa"/>
          </w:tblCellMar>
        </w:tblPrEx>
        <w:trPr>
          <w:trHeight w:val="390" w:hRule="atLeast"/>
        </w:trPr>
        <w:tc>
          <w:tcPr>
            <w:tcW w:w="33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资本充足率</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color w:val="auto"/>
                <w:kern w:val="0"/>
                <w:sz w:val="24"/>
                <w:szCs w:val="24"/>
                <w:highlight w:val="none"/>
                <w:lang w:val="en-US"/>
              </w:rPr>
            </w:pPr>
            <w:r>
              <w:rPr>
                <w:rFonts w:hint="eastAsia" w:cs="宋体" w:asciiTheme="minorEastAsia" w:hAnsiTheme="minorEastAsia"/>
                <w:color w:val="auto"/>
                <w:kern w:val="0"/>
                <w:sz w:val="24"/>
                <w:szCs w:val="24"/>
                <w:highlight w:val="none"/>
                <w:lang w:val="en-US" w:eastAsia="zh-CN"/>
              </w:rPr>
              <w:t>14.86</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15.83</w:t>
            </w:r>
          </w:p>
        </w:tc>
        <w:tc>
          <w:tcPr>
            <w:tcW w:w="166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w:t>
            </w:r>
            <w:r>
              <w:rPr>
                <w:rFonts w:hint="eastAsia" w:cs="宋体" w:asciiTheme="minorEastAsia" w:hAnsiTheme="minorEastAsia"/>
                <w:color w:val="auto"/>
                <w:kern w:val="0"/>
                <w:sz w:val="24"/>
                <w:szCs w:val="24"/>
                <w:highlight w:val="none"/>
                <w:lang w:val="en-US" w:eastAsia="zh-CN"/>
              </w:rPr>
              <w:t>8</w:t>
            </w:r>
            <w:r>
              <w:rPr>
                <w:rFonts w:hint="eastAsia" w:cs="宋体" w:asciiTheme="minorEastAsia" w:hAnsiTheme="minorEastAsia"/>
                <w:color w:val="auto"/>
                <w:kern w:val="0"/>
                <w:sz w:val="24"/>
                <w:szCs w:val="24"/>
                <w:highlight w:val="none"/>
              </w:rPr>
              <w:t>.5%</w:t>
            </w:r>
          </w:p>
        </w:tc>
      </w:tr>
      <w:tr>
        <w:tblPrEx>
          <w:tblLayout w:type="fixed"/>
          <w:tblCellMar>
            <w:top w:w="0" w:type="dxa"/>
            <w:left w:w="108" w:type="dxa"/>
            <w:bottom w:w="0" w:type="dxa"/>
            <w:right w:w="108" w:type="dxa"/>
          </w:tblCellMar>
        </w:tblPrEx>
        <w:trPr>
          <w:trHeight w:val="390" w:hRule="atLeast"/>
        </w:trPr>
        <w:tc>
          <w:tcPr>
            <w:tcW w:w="33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调整后表内资产余额</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lang w:val="en-US" w:eastAsia="zh-CN"/>
              </w:rPr>
            </w:pPr>
            <w:r>
              <w:rPr>
                <w:rFonts w:hint="default" w:cs="宋体" w:asciiTheme="minorEastAsia" w:hAnsiTheme="minorEastAsia" w:eastAsiaTheme="minorEastAsia"/>
                <w:color w:val="auto"/>
                <w:kern w:val="0"/>
                <w:sz w:val="24"/>
                <w:szCs w:val="24"/>
                <w:highlight w:val="none"/>
                <w:lang w:val="en-US" w:eastAsia="zh-CN"/>
              </w:rPr>
              <w:t>922947.11</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lang w:val="en-US" w:eastAsia="zh-CN"/>
              </w:rPr>
            </w:pPr>
            <w:r>
              <w:rPr>
                <w:rFonts w:hint="eastAsia" w:ascii="宋体" w:hAnsi="宋体" w:eastAsia="宋体" w:cs="宋体"/>
                <w:b w:val="0"/>
                <w:bCs/>
                <w:i w:val="0"/>
                <w:color w:val="auto"/>
                <w:kern w:val="0"/>
                <w:sz w:val="24"/>
                <w:szCs w:val="24"/>
                <w:highlight w:val="none"/>
                <w:u w:val="none"/>
                <w:lang w:val="en-US" w:eastAsia="zh-CN" w:bidi="ar"/>
              </w:rPr>
              <w:t>1006315.69</w:t>
            </w:r>
          </w:p>
        </w:tc>
        <w:tc>
          <w:tcPr>
            <w:tcW w:w="16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rPr>
            </w:pPr>
          </w:p>
        </w:tc>
      </w:tr>
      <w:tr>
        <w:tblPrEx>
          <w:tblLayout w:type="fixed"/>
          <w:tblCellMar>
            <w:top w:w="0" w:type="dxa"/>
            <w:left w:w="108" w:type="dxa"/>
            <w:bottom w:w="0" w:type="dxa"/>
            <w:right w:w="108" w:type="dxa"/>
          </w:tblCellMar>
        </w:tblPrEx>
        <w:trPr>
          <w:trHeight w:val="390" w:hRule="atLeast"/>
        </w:trPr>
        <w:tc>
          <w:tcPr>
            <w:tcW w:w="33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杠杆率</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5.44</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5.53</w:t>
            </w:r>
          </w:p>
        </w:tc>
        <w:tc>
          <w:tcPr>
            <w:tcW w:w="16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w:t>
            </w:r>
            <w:r>
              <w:rPr>
                <w:rFonts w:hint="eastAsia" w:cs="宋体" w:asciiTheme="minorEastAsia" w:hAnsiTheme="minorEastAsia"/>
                <w:color w:val="auto"/>
                <w:kern w:val="0"/>
                <w:sz w:val="24"/>
                <w:szCs w:val="24"/>
                <w:highlight w:val="none"/>
                <w:lang w:val="en-US" w:eastAsia="zh-CN"/>
              </w:rPr>
              <w:t>4</w:t>
            </w:r>
            <w:r>
              <w:rPr>
                <w:rFonts w:hint="eastAsia" w:cs="宋体" w:asciiTheme="minorEastAsia" w:hAnsiTheme="minorEastAsia"/>
                <w:color w:val="auto"/>
                <w:kern w:val="0"/>
                <w:sz w:val="24"/>
                <w:szCs w:val="24"/>
                <w:highlight w:val="none"/>
              </w:rPr>
              <w:t>%</w:t>
            </w:r>
          </w:p>
        </w:tc>
      </w:tr>
      <w:tr>
        <w:tblPrEx>
          <w:tblLayout w:type="fixed"/>
          <w:tblCellMar>
            <w:top w:w="0" w:type="dxa"/>
            <w:left w:w="108" w:type="dxa"/>
            <w:bottom w:w="0" w:type="dxa"/>
            <w:right w:w="108" w:type="dxa"/>
          </w:tblCellMar>
        </w:tblPrEx>
        <w:trPr>
          <w:trHeight w:val="390" w:hRule="atLeast"/>
        </w:trPr>
        <w:tc>
          <w:tcPr>
            <w:tcW w:w="33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流动性比例</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42.09</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52.14</w:t>
            </w:r>
          </w:p>
        </w:tc>
        <w:tc>
          <w:tcPr>
            <w:tcW w:w="166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≥25%</w:t>
            </w:r>
          </w:p>
        </w:tc>
      </w:tr>
      <w:tr>
        <w:tblPrEx>
          <w:tblLayout w:type="fixed"/>
          <w:tblCellMar>
            <w:top w:w="0" w:type="dxa"/>
            <w:left w:w="108" w:type="dxa"/>
            <w:bottom w:w="0" w:type="dxa"/>
            <w:right w:w="108" w:type="dxa"/>
          </w:tblCellMar>
        </w:tblPrEx>
        <w:trPr>
          <w:trHeight w:val="390" w:hRule="atLeast"/>
        </w:trPr>
        <w:tc>
          <w:tcPr>
            <w:tcW w:w="33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优质流动性充足率</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284.21</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413.33</w:t>
            </w:r>
          </w:p>
        </w:tc>
        <w:tc>
          <w:tcPr>
            <w:tcW w:w="16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≥1</w:t>
            </w:r>
            <w:r>
              <w:rPr>
                <w:rFonts w:hint="eastAsia" w:cs="宋体" w:asciiTheme="minorEastAsia" w:hAnsiTheme="minorEastAsia"/>
                <w:color w:val="auto"/>
                <w:kern w:val="0"/>
                <w:sz w:val="24"/>
                <w:szCs w:val="24"/>
                <w:highlight w:val="none"/>
                <w:lang w:val="en-US" w:eastAsia="zh-CN"/>
              </w:rPr>
              <w:t>00</w:t>
            </w:r>
            <w:r>
              <w:rPr>
                <w:rFonts w:hint="eastAsia" w:cs="宋体" w:asciiTheme="minorEastAsia" w:hAnsiTheme="minorEastAsia"/>
                <w:color w:val="auto"/>
                <w:kern w:val="0"/>
                <w:sz w:val="24"/>
                <w:szCs w:val="24"/>
                <w:highlight w:val="none"/>
              </w:rPr>
              <w:t>%</w:t>
            </w:r>
          </w:p>
        </w:tc>
      </w:tr>
      <w:tr>
        <w:tblPrEx>
          <w:tblLayout w:type="fixed"/>
          <w:tblCellMar>
            <w:top w:w="0" w:type="dxa"/>
            <w:left w:w="108" w:type="dxa"/>
            <w:bottom w:w="0" w:type="dxa"/>
            <w:right w:w="108" w:type="dxa"/>
          </w:tblCellMar>
        </w:tblPrEx>
        <w:trPr>
          <w:trHeight w:val="390" w:hRule="atLeast"/>
        </w:trPr>
        <w:tc>
          <w:tcPr>
            <w:tcW w:w="33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流动性匹配率</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137.59</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149.70</w:t>
            </w:r>
          </w:p>
        </w:tc>
        <w:tc>
          <w:tcPr>
            <w:tcW w:w="16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≥1</w:t>
            </w:r>
            <w:r>
              <w:rPr>
                <w:rFonts w:hint="eastAsia" w:cs="宋体" w:asciiTheme="minorEastAsia" w:hAnsiTheme="minorEastAsia"/>
                <w:color w:val="auto"/>
                <w:kern w:val="0"/>
                <w:sz w:val="24"/>
                <w:szCs w:val="24"/>
                <w:highlight w:val="none"/>
                <w:lang w:val="en-US" w:eastAsia="zh-CN"/>
              </w:rPr>
              <w:t>00</w:t>
            </w:r>
            <w:r>
              <w:rPr>
                <w:rFonts w:hint="eastAsia" w:cs="宋体" w:asciiTheme="minorEastAsia" w:hAnsiTheme="minorEastAsia"/>
                <w:color w:val="auto"/>
                <w:kern w:val="0"/>
                <w:sz w:val="24"/>
                <w:szCs w:val="24"/>
                <w:highlight w:val="none"/>
              </w:rPr>
              <w:t>%</w:t>
            </w:r>
          </w:p>
        </w:tc>
      </w:tr>
      <w:tr>
        <w:tblPrEx>
          <w:tblLayout w:type="fixed"/>
          <w:tblCellMar>
            <w:top w:w="0" w:type="dxa"/>
            <w:left w:w="108" w:type="dxa"/>
            <w:bottom w:w="0" w:type="dxa"/>
            <w:right w:w="108" w:type="dxa"/>
          </w:tblCellMar>
        </w:tblPrEx>
        <w:trPr>
          <w:trHeight w:val="414" w:hRule="atLeast"/>
        </w:trPr>
        <w:tc>
          <w:tcPr>
            <w:tcW w:w="33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不良贷款率</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2.66</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2.23</w:t>
            </w:r>
          </w:p>
        </w:tc>
        <w:tc>
          <w:tcPr>
            <w:tcW w:w="166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≤5%</w:t>
            </w:r>
          </w:p>
        </w:tc>
      </w:tr>
      <w:tr>
        <w:tblPrEx>
          <w:tblLayout w:type="fixed"/>
          <w:tblCellMar>
            <w:top w:w="0" w:type="dxa"/>
            <w:left w:w="108" w:type="dxa"/>
            <w:bottom w:w="0" w:type="dxa"/>
            <w:right w:w="108" w:type="dxa"/>
          </w:tblCellMar>
        </w:tblPrEx>
        <w:trPr>
          <w:trHeight w:val="390" w:hRule="atLeast"/>
        </w:trPr>
        <w:tc>
          <w:tcPr>
            <w:tcW w:w="33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成本收入比率</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29.30</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27.51</w:t>
            </w:r>
          </w:p>
        </w:tc>
        <w:tc>
          <w:tcPr>
            <w:tcW w:w="166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≤35%</w:t>
            </w:r>
          </w:p>
        </w:tc>
      </w:tr>
      <w:tr>
        <w:tblPrEx>
          <w:tblLayout w:type="fixed"/>
          <w:tblCellMar>
            <w:top w:w="0" w:type="dxa"/>
            <w:left w:w="108" w:type="dxa"/>
            <w:bottom w:w="0" w:type="dxa"/>
            <w:right w:w="108" w:type="dxa"/>
          </w:tblCellMar>
        </w:tblPrEx>
        <w:trPr>
          <w:trHeight w:val="390" w:hRule="atLeast"/>
        </w:trPr>
        <w:tc>
          <w:tcPr>
            <w:tcW w:w="33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贷款拨备率</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6.92</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6.72</w:t>
            </w:r>
          </w:p>
        </w:tc>
        <w:tc>
          <w:tcPr>
            <w:tcW w:w="166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≥2.5%</w:t>
            </w:r>
          </w:p>
        </w:tc>
      </w:tr>
      <w:tr>
        <w:tblPrEx>
          <w:tblLayout w:type="fixed"/>
          <w:tblCellMar>
            <w:top w:w="0" w:type="dxa"/>
            <w:left w:w="108" w:type="dxa"/>
            <w:bottom w:w="0" w:type="dxa"/>
            <w:right w:w="108" w:type="dxa"/>
          </w:tblCellMar>
        </w:tblPrEx>
        <w:trPr>
          <w:trHeight w:val="390" w:hRule="atLeast"/>
        </w:trPr>
        <w:tc>
          <w:tcPr>
            <w:tcW w:w="33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贷款损失准备覆盖率</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lang w:val="en-US" w:eastAsia="zh-CN"/>
              </w:rPr>
              <w:t>260.68</w:t>
            </w:r>
          </w:p>
        </w:tc>
        <w:tc>
          <w:tcPr>
            <w:tcW w:w="1749" w:type="dxa"/>
            <w:tcBorders>
              <w:top w:val="nil"/>
              <w:left w:val="nil"/>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301.49</w:t>
            </w:r>
          </w:p>
        </w:tc>
        <w:tc>
          <w:tcPr>
            <w:tcW w:w="166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≥150%</w:t>
            </w:r>
          </w:p>
        </w:tc>
      </w:tr>
    </w:tbl>
    <w:p>
      <w:pPr>
        <w:widowControl/>
        <w:shd w:val="clear" w:color="auto" w:fill="FFFFFF"/>
        <w:tabs>
          <w:tab w:val="left" w:pos="630"/>
        </w:tabs>
        <w:spacing w:line="500" w:lineRule="exact"/>
        <w:ind w:firstLine="643" w:firstLineChars="200"/>
        <w:jc w:val="left"/>
        <w:rPr>
          <w:rFonts w:ascii="仿宋_GB2312" w:eastAsia="仿宋_GB2312" w:cs="宋体" w:hAnsiTheme="minorEastAsia"/>
          <w:b/>
          <w:bCs/>
          <w:color w:val="auto"/>
          <w:kern w:val="0"/>
          <w:sz w:val="32"/>
          <w:szCs w:val="32"/>
        </w:rPr>
      </w:pP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jc w:val="left"/>
        <w:textAlignment w:val="auto"/>
        <w:outlineLvl w:val="9"/>
        <w:rPr>
          <w:rFonts w:hint="eastAsia" w:ascii="仿宋_GB2312" w:eastAsia="仿宋_GB2312" w:cs="宋体" w:hAnsiTheme="minorEastAsia"/>
          <w:color w:val="auto"/>
          <w:kern w:val="0"/>
          <w:sz w:val="32"/>
          <w:szCs w:val="32"/>
          <w:highlight w:val="none"/>
          <w:lang w:eastAsia="zh-CN"/>
        </w:rPr>
      </w:pPr>
      <w:r>
        <w:rPr>
          <w:rFonts w:hint="eastAsia" w:ascii="仿宋_GB2312" w:eastAsia="仿宋_GB2312" w:cs="宋体" w:hAnsiTheme="minorEastAsia"/>
          <w:b/>
          <w:bCs/>
          <w:color w:val="auto"/>
          <w:kern w:val="0"/>
          <w:sz w:val="32"/>
          <w:szCs w:val="32"/>
          <w:highlight w:val="none"/>
        </w:rPr>
        <w:t>6.2 贷款风险分类情况</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eastAsia="仿宋_GB2312" w:cs="宋体" w:hAnsiTheme="minorEastAsia"/>
          <w:b w:val="0"/>
          <w:bCs w:val="0"/>
          <w:color w:val="auto"/>
          <w:kern w:val="0"/>
          <w:sz w:val="32"/>
          <w:szCs w:val="32"/>
          <w:highlight w:val="none"/>
          <w:lang w:val="en-US" w:eastAsia="zh-CN"/>
        </w:rPr>
        <w:t>按照金融资产五级分类制度，经</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 w:eastAsia="仿宋_GB2312" w:cs="宋体"/>
          <w:color w:val="auto"/>
          <w:kern w:val="0"/>
          <w:sz w:val="32"/>
          <w:szCs w:val="32"/>
          <w:highlight w:val="none"/>
        </w:rPr>
        <w:t>初分、认定、审批”三级程</w:t>
      </w:r>
      <w:r>
        <w:rPr>
          <w:rFonts w:hint="eastAsia" w:ascii="仿宋_GB2312" w:hAnsi="仿宋_GB2312" w:eastAsia="仿宋_GB2312" w:cs="仿宋_GB2312"/>
          <w:b w:val="0"/>
          <w:bCs w:val="0"/>
          <w:color w:val="auto"/>
          <w:sz w:val="32"/>
          <w:szCs w:val="32"/>
          <w:highlight w:val="none"/>
          <w:lang w:val="en-US" w:eastAsia="zh-CN"/>
        </w:rPr>
        <w:t>序</w:t>
      </w:r>
      <w:r>
        <w:rPr>
          <w:rFonts w:hint="default"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本行五级分类分布情况如下：</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jc w:val="left"/>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6.2.1 贷款风险分类情况（含信用卡、票据）</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5280" w:firstLineChars="1650"/>
        <w:jc w:val="left"/>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单位：人民币   万元</w:t>
      </w:r>
    </w:p>
    <w:tbl>
      <w:tblPr>
        <w:tblStyle w:val="8"/>
        <w:tblW w:w="8522" w:type="dxa"/>
        <w:jc w:val="center"/>
        <w:tblInd w:w="0" w:type="dxa"/>
        <w:tblLayout w:type="fixed"/>
        <w:tblCellMar>
          <w:top w:w="0" w:type="dxa"/>
          <w:left w:w="108" w:type="dxa"/>
          <w:bottom w:w="0" w:type="dxa"/>
          <w:right w:w="108" w:type="dxa"/>
        </w:tblCellMar>
      </w:tblPr>
      <w:tblGrid>
        <w:gridCol w:w="2613"/>
        <w:gridCol w:w="3298"/>
        <w:gridCol w:w="2611"/>
      </w:tblGrid>
      <w:tr>
        <w:tblPrEx>
          <w:tblLayout w:type="fixed"/>
          <w:tblCellMar>
            <w:top w:w="0" w:type="dxa"/>
            <w:left w:w="108" w:type="dxa"/>
            <w:bottom w:w="0" w:type="dxa"/>
            <w:right w:w="108" w:type="dxa"/>
          </w:tblCellMar>
        </w:tblPrEx>
        <w:trPr>
          <w:trHeight w:val="565" w:hRule="atLeast"/>
          <w:jc w:val="center"/>
        </w:trPr>
        <w:tc>
          <w:tcPr>
            <w:tcW w:w="261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项目</w:t>
            </w:r>
          </w:p>
        </w:tc>
        <w:tc>
          <w:tcPr>
            <w:tcW w:w="3298"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202</w:t>
            </w:r>
            <w:r>
              <w:rPr>
                <w:rFonts w:hint="eastAsia" w:cs="宋体" w:asciiTheme="minorEastAsia" w:hAnsiTheme="minorEastAsia"/>
                <w:color w:val="auto"/>
                <w:kern w:val="0"/>
                <w:sz w:val="24"/>
                <w:szCs w:val="24"/>
                <w:lang w:val="en-US" w:eastAsia="zh-CN"/>
              </w:rPr>
              <w:t>5</w:t>
            </w:r>
            <w:r>
              <w:rPr>
                <w:rFonts w:hint="eastAsia" w:cs="宋体" w:asciiTheme="minorEastAsia" w:hAnsiTheme="minorEastAsia"/>
                <w:color w:val="auto"/>
                <w:kern w:val="0"/>
                <w:sz w:val="24"/>
                <w:szCs w:val="24"/>
              </w:rPr>
              <w:t>年末余额</w:t>
            </w:r>
          </w:p>
        </w:tc>
        <w:tc>
          <w:tcPr>
            <w:tcW w:w="2611"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占比（%）</w:t>
            </w:r>
          </w:p>
        </w:tc>
      </w:tr>
      <w:tr>
        <w:tblPrEx>
          <w:tblLayout w:type="fixed"/>
          <w:tblCellMar>
            <w:top w:w="0" w:type="dxa"/>
            <w:left w:w="108" w:type="dxa"/>
            <w:bottom w:w="0" w:type="dxa"/>
            <w:right w:w="108" w:type="dxa"/>
          </w:tblCellMar>
        </w:tblPrEx>
        <w:trPr>
          <w:trHeight w:val="565" w:hRule="atLeast"/>
          <w:jc w:val="center"/>
        </w:trPr>
        <w:tc>
          <w:tcPr>
            <w:tcW w:w="2613"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正常</w:t>
            </w:r>
          </w:p>
        </w:tc>
        <w:tc>
          <w:tcPr>
            <w:tcW w:w="3298" w:type="dxa"/>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687337.41</w:t>
            </w:r>
          </w:p>
        </w:tc>
        <w:tc>
          <w:tcPr>
            <w:tcW w:w="2611" w:type="dxa"/>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96.09</w:t>
            </w:r>
          </w:p>
        </w:tc>
      </w:tr>
      <w:tr>
        <w:tblPrEx>
          <w:tblLayout w:type="fixed"/>
          <w:tblCellMar>
            <w:top w:w="0" w:type="dxa"/>
            <w:left w:w="108" w:type="dxa"/>
            <w:bottom w:w="0" w:type="dxa"/>
            <w:right w:w="108" w:type="dxa"/>
          </w:tblCellMar>
        </w:tblPrEx>
        <w:trPr>
          <w:trHeight w:val="565" w:hRule="atLeast"/>
          <w:jc w:val="center"/>
        </w:trPr>
        <w:tc>
          <w:tcPr>
            <w:tcW w:w="2613"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关注</w:t>
            </w:r>
          </w:p>
        </w:tc>
        <w:tc>
          <w:tcPr>
            <w:tcW w:w="3298" w:type="dxa"/>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12027.52</w:t>
            </w:r>
          </w:p>
        </w:tc>
        <w:tc>
          <w:tcPr>
            <w:tcW w:w="2611" w:type="dxa"/>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color w:val="auto"/>
                <w:kern w:val="0"/>
                <w:sz w:val="24"/>
                <w:szCs w:val="24"/>
                <w:highlight w:val="none"/>
                <w:lang w:val="en-US"/>
              </w:rPr>
            </w:pPr>
            <w:r>
              <w:rPr>
                <w:rFonts w:hint="eastAsia" w:cs="宋体" w:asciiTheme="minorEastAsia" w:hAnsiTheme="minorEastAsia"/>
                <w:color w:val="auto"/>
                <w:kern w:val="0"/>
                <w:sz w:val="24"/>
                <w:szCs w:val="24"/>
                <w:highlight w:val="none"/>
                <w:lang w:val="en-US" w:eastAsia="zh-CN"/>
              </w:rPr>
              <w:t>1.68</w:t>
            </w:r>
          </w:p>
        </w:tc>
      </w:tr>
      <w:tr>
        <w:tblPrEx>
          <w:tblLayout w:type="fixed"/>
          <w:tblCellMar>
            <w:top w:w="0" w:type="dxa"/>
            <w:left w:w="108" w:type="dxa"/>
            <w:bottom w:w="0" w:type="dxa"/>
            <w:right w:w="108" w:type="dxa"/>
          </w:tblCellMar>
        </w:tblPrEx>
        <w:trPr>
          <w:trHeight w:val="565" w:hRule="atLeast"/>
          <w:jc w:val="center"/>
        </w:trPr>
        <w:tc>
          <w:tcPr>
            <w:tcW w:w="261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次级</w:t>
            </w:r>
          </w:p>
        </w:tc>
        <w:tc>
          <w:tcPr>
            <w:tcW w:w="3298" w:type="dxa"/>
            <w:tcBorders>
              <w:top w:val="single" w:color="auto" w:sz="4" w:space="0"/>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7927.45</w:t>
            </w:r>
          </w:p>
        </w:tc>
        <w:tc>
          <w:tcPr>
            <w:tcW w:w="2611" w:type="dxa"/>
            <w:tcBorders>
              <w:top w:val="single" w:color="auto" w:sz="4" w:space="0"/>
              <w:left w:val="nil"/>
              <w:bottom w:val="single" w:color="auto" w:sz="4" w:space="0"/>
              <w:right w:val="single" w:color="auto" w:sz="4" w:space="0"/>
            </w:tcBorders>
            <w:vAlign w:val="center"/>
          </w:tcPr>
          <w:p>
            <w:pPr>
              <w:widowControl/>
              <w:jc w:val="center"/>
              <w:rPr>
                <w:rFonts w:hint="default" w:cs="宋体" w:asciiTheme="minorEastAsia" w:hAnsiTheme="minorEastAsia"/>
                <w:color w:val="auto"/>
                <w:kern w:val="0"/>
                <w:sz w:val="24"/>
                <w:szCs w:val="24"/>
                <w:highlight w:val="none"/>
                <w:lang w:val="en-US"/>
              </w:rPr>
            </w:pPr>
            <w:r>
              <w:rPr>
                <w:rFonts w:hint="eastAsia" w:cs="宋体" w:asciiTheme="minorEastAsia" w:hAnsiTheme="minorEastAsia"/>
                <w:color w:val="auto"/>
                <w:kern w:val="0"/>
                <w:sz w:val="24"/>
                <w:szCs w:val="24"/>
                <w:highlight w:val="none"/>
                <w:lang w:val="en-US" w:eastAsia="zh-CN"/>
              </w:rPr>
              <w:t>1.11</w:t>
            </w:r>
          </w:p>
        </w:tc>
      </w:tr>
      <w:tr>
        <w:tblPrEx>
          <w:tblLayout w:type="fixed"/>
          <w:tblCellMar>
            <w:top w:w="0" w:type="dxa"/>
            <w:left w:w="108" w:type="dxa"/>
            <w:bottom w:w="0" w:type="dxa"/>
            <w:right w:w="108" w:type="dxa"/>
          </w:tblCellMar>
        </w:tblPrEx>
        <w:trPr>
          <w:trHeight w:val="565" w:hRule="atLeast"/>
          <w:jc w:val="center"/>
        </w:trPr>
        <w:tc>
          <w:tcPr>
            <w:tcW w:w="261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可疑</w:t>
            </w:r>
          </w:p>
        </w:tc>
        <w:tc>
          <w:tcPr>
            <w:tcW w:w="3298" w:type="dxa"/>
            <w:tcBorders>
              <w:top w:val="single" w:color="auto" w:sz="4" w:space="0"/>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3254.5</w:t>
            </w:r>
          </w:p>
        </w:tc>
        <w:tc>
          <w:tcPr>
            <w:tcW w:w="2611" w:type="dxa"/>
            <w:tcBorders>
              <w:top w:val="single" w:color="auto" w:sz="4" w:space="0"/>
              <w:left w:val="nil"/>
              <w:bottom w:val="single" w:color="auto" w:sz="4" w:space="0"/>
              <w:right w:val="single" w:color="auto" w:sz="4" w:space="0"/>
            </w:tcBorders>
            <w:vAlign w:val="center"/>
          </w:tcPr>
          <w:p>
            <w:pPr>
              <w:widowControl/>
              <w:jc w:val="center"/>
              <w:rPr>
                <w:rFonts w:hint="default" w:cs="宋体" w:asciiTheme="minorEastAsia" w:hAnsiTheme="minorEastAsia"/>
                <w:color w:val="auto"/>
                <w:kern w:val="0"/>
                <w:sz w:val="24"/>
                <w:szCs w:val="24"/>
                <w:highlight w:val="none"/>
                <w:lang w:val="en-US"/>
              </w:rPr>
            </w:pPr>
            <w:r>
              <w:rPr>
                <w:rFonts w:hint="eastAsia" w:cs="宋体" w:asciiTheme="minorEastAsia" w:hAnsiTheme="minorEastAsia"/>
                <w:color w:val="auto"/>
                <w:kern w:val="0"/>
                <w:sz w:val="24"/>
                <w:szCs w:val="24"/>
                <w:highlight w:val="none"/>
                <w:lang w:val="en-US" w:eastAsia="zh-CN"/>
              </w:rPr>
              <w:t>0.45</w:t>
            </w:r>
          </w:p>
        </w:tc>
      </w:tr>
      <w:tr>
        <w:tblPrEx>
          <w:tblLayout w:type="fixed"/>
          <w:tblCellMar>
            <w:top w:w="0" w:type="dxa"/>
            <w:left w:w="108" w:type="dxa"/>
            <w:bottom w:w="0" w:type="dxa"/>
            <w:right w:w="108" w:type="dxa"/>
          </w:tblCellMar>
        </w:tblPrEx>
        <w:trPr>
          <w:trHeight w:val="565" w:hRule="atLeast"/>
          <w:jc w:val="center"/>
        </w:trPr>
        <w:tc>
          <w:tcPr>
            <w:tcW w:w="2613"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损失</w:t>
            </w:r>
          </w:p>
        </w:tc>
        <w:tc>
          <w:tcPr>
            <w:tcW w:w="3298" w:type="dxa"/>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4763.83</w:t>
            </w:r>
          </w:p>
        </w:tc>
        <w:tc>
          <w:tcPr>
            <w:tcW w:w="2611"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0.67</w:t>
            </w:r>
          </w:p>
        </w:tc>
      </w:tr>
    </w:tbl>
    <w:p>
      <w:pPr>
        <w:widowControl/>
        <w:shd w:val="clear" w:color="auto" w:fill="FFFFFF"/>
        <w:tabs>
          <w:tab w:val="left" w:pos="630"/>
        </w:tabs>
        <w:spacing w:line="500" w:lineRule="exact"/>
        <w:ind w:firstLine="643" w:firstLineChars="200"/>
        <w:jc w:val="left"/>
        <w:rPr>
          <w:rFonts w:hint="eastAsia" w:ascii="仿宋_GB2312" w:eastAsia="仿宋_GB2312" w:cs="宋体" w:hAnsiTheme="minorEastAsia"/>
          <w:b/>
          <w:bCs/>
          <w:color w:val="auto"/>
          <w:kern w:val="0"/>
          <w:sz w:val="32"/>
          <w:szCs w:val="32"/>
          <w:highlight w:val="none"/>
          <w:lang w:val="en-US" w:eastAsia="zh-CN"/>
        </w:rPr>
      </w:pPr>
      <w:r>
        <w:rPr>
          <w:rFonts w:hint="eastAsia" w:ascii="仿宋_GB2312" w:eastAsia="仿宋_GB2312" w:cs="宋体" w:hAnsiTheme="minorEastAsia"/>
          <w:b/>
          <w:bCs/>
          <w:color w:val="auto"/>
          <w:kern w:val="0"/>
          <w:sz w:val="32"/>
          <w:szCs w:val="32"/>
          <w:highlight w:val="none"/>
          <w:lang w:val="en-US" w:eastAsia="zh-CN"/>
        </w:rPr>
        <w:t>6.2.2  其他金融资产风险分类情况</w:t>
      </w:r>
    </w:p>
    <w:p>
      <w:pPr>
        <w:widowControl/>
        <w:shd w:val="clear" w:color="auto" w:fill="FFFFFF"/>
        <w:tabs>
          <w:tab w:val="left" w:pos="630"/>
        </w:tabs>
        <w:spacing w:line="500" w:lineRule="exact"/>
        <w:ind w:firstLine="5280" w:firstLineChars="1650"/>
        <w:jc w:val="left"/>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单位：人民币   万元</w:t>
      </w:r>
    </w:p>
    <w:tbl>
      <w:tblPr>
        <w:tblStyle w:val="8"/>
        <w:tblW w:w="8520" w:type="dxa"/>
        <w:jc w:val="center"/>
        <w:tblInd w:w="0" w:type="dxa"/>
        <w:tblLayout w:type="fixed"/>
        <w:tblCellMar>
          <w:top w:w="0" w:type="dxa"/>
          <w:left w:w="108" w:type="dxa"/>
          <w:bottom w:w="0" w:type="dxa"/>
          <w:right w:w="108" w:type="dxa"/>
        </w:tblCellMar>
      </w:tblPr>
      <w:tblGrid>
        <w:gridCol w:w="963"/>
        <w:gridCol w:w="1410"/>
        <w:gridCol w:w="1215"/>
        <w:gridCol w:w="1183"/>
        <w:gridCol w:w="1023"/>
        <w:gridCol w:w="1193"/>
        <w:gridCol w:w="1532"/>
        <w:gridCol w:w="1"/>
      </w:tblGrid>
      <w:tr>
        <w:tblPrEx>
          <w:tblLayout w:type="fixed"/>
          <w:tblCellMar>
            <w:top w:w="0" w:type="dxa"/>
            <w:left w:w="108" w:type="dxa"/>
            <w:bottom w:w="0" w:type="dxa"/>
            <w:right w:w="108" w:type="dxa"/>
          </w:tblCellMar>
        </w:tblPrEx>
        <w:trPr>
          <w:gridAfter w:val="1"/>
          <w:wAfter w:w="1" w:type="dxa"/>
          <w:trHeight w:val="565" w:hRule="atLeast"/>
          <w:jc w:val="center"/>
        </w:trPr>
        <w:tc>
          <w:tcPr>
            <w:tcW w:w="96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项目</w:t>
            </w:r>
          </w:p>
        </w:tc>
        <w:tc>
          <w:tcPr>
            <w:tcW w:w="1410"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债券</w:t>
            </w:r>
          </w:p>
        </w:tc>
        <w:tc>
          <w:tcPr>
            <w:tcW w:w="1215"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hint="default" w:cs="宋体" w:asciiTheme="minorEastAsia" w:hAnsiTheme="minorEastAsia" w:eastAsia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票据</w:t>
            </w:r>
          </w:p>
        </w:tc>
        <w:tc>
          <w:tcPr>
            <w:tcW w:w="118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同业存单</w:t>
            </w:r>
          </w:p>
        </w:tc>
        <w:tc>
          <w:tcPr>
            <w:tcW w:w="102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拆借</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default"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存放同业</w:t>
            </w:r>
          </w:p>
        </w:tc>
        <w:tc>
          <w:tcPr>
            <w:tcW w:w="1532"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color w:val="auto"/>
                <w:kern w:val="0"/>
                <w:sz w:val="24"/>
                <w:szCs w:val="24"/>
                <w:lang w:val="en-US" w:eastAsia="zh-CN"/>
              </w:rPr>
            </w:pPr>
            <w:r>
              <w:rPr>
                <w:rFonts w:hint="eastAsia" w:cs="宋体" w:asciiTheme="minorEastAsia" w:hAnsiTheme="minorEastAsia"/>
                <w:color w:val="auto"/>
                <w:kern w:val="0"/>
                <w:sz w:val="24"/>
                <w:szCs w:val="24"/>
                <w:lang w:val="en-US" w:eastAsia="zh-CN"/>
              </w:rPr>
              <w:t>其他应收款</w:t>
            </w:r>
          </w:p>
        </w:tc>
      </w:tr>
      <w:tr>
        <w:tblPrEx>
          <w:tblLayout w:type="fixed"/>
          <w:tblCellMar>
            <w:top w:w="0" w:type="dxa"/>
            <w:left w:w="108" w:type="dxa"/>
            <w:bottom w:w="0" w:type="dxa"/>
            <w:right w:w="108" w:type="dxa"/>
          </w:tblCellMar>
        </w:tblPrEx>
        <w:trPr>
          <w:gridAfter w:val="1"/>
          <w:wAfter w:w="1" w:type="dxa"/>
          <w:trHeight w:val="565" w:hRule="atLeast"/>
          <w:jc w:val="center"/>
        </w:trPr>
        <w:tc>
          <w:tcPr>
            <w:tcW w:w="963"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正常</w:t>
            </w:r>
          </w:p>
        </w:tc>
        <w:tc>
          <w:tcPr>
            <w:tcW w:w="1410" w:type="dxa"/>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yellow"/>
                <w:lang w:val="en-US" w:eastAsia="zh-CN"/>
              </w:rPr>
            </w:pPr>
            <w:r>
              <w:rPr>
                <w:rFonts w:hint="eastAsia" w:cs="宋体" w:asciiTheme="minorEastAsia" w:hAnsiTheme="minorEastAsia"/>
                <w:color w:val="auto"/>
                <w:kern w:val="0"/>
                <w:sz w:val="24"/>
                <w:szCs w:val="24"/>
                <w:highlight w:val="none"/>
                <w:lang w:val="en-US" w:eastAsia="zh-CN"/>
              </w:rPr>
              <w:t>225866.36</w:t>
            </w:r>
          </w:p>
        </w:tc>
        <w:tc>
          <w:tcPr>
            <w:tcW w:w="1215" w:type="dxa"/>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color w:val="0000FF"/>
                <w:kern w:val="0"/>
                <w:sz w:val="24"/>
                <w:szCs w:val="24"/>
                <w:highlight w:val="none"/>
                <w:lang w:val="en-US"/>
              </w:rPr>
            </w:pPr>
            <w:r>
              <w:rPr>
                <w:rFonts w:hint="eastAsia" w:cs="宋体" w:asciiTheme="minorEastAsia" w:hAnsiTheme="minorEastAsia"/>
                <w:color w:val="auto"/>
                <w:kern w:val="0"/>
                <w:sz w:val="24"/>
                <w:szCs w:val="24"/>
                <w:highlight w:val="none"/>
                <w:lang w:val="en-US" w:eastAsia="zh-CN"/>
              </w:rPr>
              <w:t>103595.8</w:t>
            </w:r>
          </w:p>
        </w:tc>
        <w:tc>
          <w:tcPr>
            <w:tcW w:w="1183" w:type="dxa"/>
            <w:tcBorders>
              <w:top w:val="nil"/>
              <w:left w:val="single" w:color="auto" w:sz="4" w:space="0"/>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0000FF"/>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8937.68</w:t>
            </w:r>
          </w:p>
        </w:tc>
        <w:tc>
          <w:tcPr>
            <w:tcW w:w="1023" w:type="dxa"/>
            <w:tcBorders>
              <w:top w:val="nil"/>
              <w:left w:val="single" w:color="auto" w:sz="4" w:space="0"/>
              <w:bottom w:val="single" w:color="auto" w:sz="4" w:space="0"/>
              <w:right w:val="single" w:color="auto" w:sz="4" w:space="0"/>
            </w:tcBorders>
            <w:vAlign w:val="center"/>
          </w:tcPr>
          <w:p>
            <w:pPr>
              <w:widowControl/>
              <w:jc w:val="center"/>
              <w:rPr>
                <w:rFonts w:cs="宋体" w:asciiTheme="minorEastAsia" w:hAnsiTheme="minorEastAsia"/>
                <w:color w:val="0000FF"/>
                <w:kern w:val="0"/>
                <w:sz w:val="24"/>
                <w:szCs w:val="24"/>
                <w:highlight w:val="none"/>
              </w:rPr>
            </w:pPr>
            <w:r>
              <w:rPr>
                <w:rFonts w:hint="eastAsia" w:cs="宋体" w:asciiTheme="minorEastAsia" w:hAnsiTheme="minorEastAsia"/>
                <w:color w:val="auto"/>
                <w:kern w:val="0"/>
                <w:sz w:val="24"/>
                <w:szCs w:val="24"/>
                <w:highlight w:val="none"/>
                <w:lang w:val="en-US" w:eastAsia="zh-CN"/>
              </w:rPr>
              <w:t>39000</w:t>
            </w:r>
          </w:p>
        </w:tc>
        <w:tc>
          <w:tcPr>
            <w:tcW w:w="1193" w:type="dxa"/>
            <w:tcBorders>
              <w:top w:val="nil"/>
              <w:left w:val="single" w:color="auto" w:sz="4" w:space="0"/>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rPr>
              <w:t>10</w:t>
            </w:r>
            <w:r>
              <w:rPr>
                <w:rFonts w:hint="eastAsia" w:cs="宋体" w:asciiTheme="minorEastAsia" w:hAnsiTheme="minorEastAsia"/>
                <w:color w:val="auto"/>
                <w:kern w:val="0"/>
                <w:sz w:val="24"/>
                <w:szCs w:val="24"/>
                <w:highlight w:val="none"/>
                <w:lang w:val="en-US" w:eastAsia="zh-CN"/>
              </w:rPr>
              <w:t>418.24</w:t>
            </w:r>
          </w:p>
        </w:tc>
        <w:tc>
          <w:tcPr>
            <w:tcW w:w="1532" w:type="dxa"/>
            <w:tcBorders>
              <w:top w:val="nil"/>
              <w:left w:val="single" w:color="auto" w:sz="4" w:space="0"/>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53.95</w:t>
            </w:r>
          </w:p>
        </w:tc>
      </w:tr>
      <w:tr>
        <w:tblPrEx>
          <w:tblLayout w:type="fixed"/>
          <w:tblCellMar>
            <w:top w:w="0" w:type="dxa"/>
            <w:left w:w="108" w:type="dxa"/>
            <w:bottom w:w="0" w:type="dxa"/>
            <w:right w:w="108" w:type="dxa"/>
          </w:tblCellMar>
        </w:tblPrEx>
        <w:trPr>
          <w:gridAfter w:val="1"/>
          <w:wAfter w:w="1" w:type="dxa"/>
          <w:trHeight w:val="565" w:hRule="atLeast"/>
          <w:jc w:val="center"/>
        </w:trPr>
        <w:tc>
          <w:tcPr>
            <w:tcW w:w="963"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关注</w:t>
            </w:r>
          </w:p>
        </w:tc>
        <w:tc>
          <w:tcPr>
            <w:tcW w:w="1410" w:type="dxa"/>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0</w:t>
            </w:r>
          </w:p>
        </w:tc>
        <w:tc>
          <w:tcPr>
            <w:tcW w:w="1215"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183" w:type="dxa"/>
            <w:tcBorders>
              <w:top w:val="nil"/>
              <w:left w:val="single" w:color="auto" w:sz="4" w:space="0"/>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023" w:type="dxa"/>
            <w:tcBorders>
              <w:top w:val="nil"/>
              <w:left w:val="single" w:color="auto" w:sz="4" w:space="0"/>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193" w:type="dxa"/>
            <w:tcBorders>
              <w:top w:val="nil"/>
              <w:left w:val="single" w:color="auto" w:sz="4" w:space="0"/>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532" w:type="dxa"/>
            <w:tcBorders>
              <w:top w:val="nil"/>
              <w:left w:val="single" w:color="auto" w:sz="4" w:space="0"/>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5.68</w:t>
            </w:r>
          </w:p>
        </w:tc>
      </w:tr>
      <w:tr>
        <w:tblPrEx>
          <w:tblLayout w:type="fixed"/>
          <w:tblCellMar>
            <w:top w:w="0" w:type="dxa"/>
            <w:left w:w="108" w:type="dxa"/>
            <w:bottom w:w="0" w:type="dxa"/>
            <w:right w:w="108" w:type="dxa"/>
          </w:tblCellMar>
        </w:tblPrEx>
        <w:trPr>
          <w:gridAfter w:val="1"/>
          <w:wAfter w:w="1" w:type="dxa"/>
          <w:trHeight w:val="565" w:hRule="atLeast"/>
          <w:jc w:val="center"/>
        </w:trPr>
        <w:tc>
          <w:tcPr>
            <w:tcW w:w="96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次级</w:t>
            </w:r>
          </w:p>
        </w:tc>
        <w:tc>
          <w:tcPr>
            <w:tcW w:w="1410" w:type="dxa"/>
            <w:tcBorders>
              <w:top w:val="single" w:color="auto" w:sz="4" w:space="0"/>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0</w:t>
            </w:r>
          </w:p>
        </w:tc>
        <w:tc>
          <w:tcPr>
            <w:tcW w:w="1215" w:type="dxa"/>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183"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023"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53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27.6</w:t>
            </w:r>
          </w:p>
        </w:tc>
      </w:tr>
      <w:tr>
        <w:tblPrEx>
          <w:tblLayout w:type="fixed"/>
          <w:tblCellMar>
            <w:top w:w="0" w:type="dxa"/>
            <w:left w:w="108" w:type="dxa"/>
            <w:bottom w:w="0" w:type="dxa"/>
            <w:right w:w="108" w:type="dxa"/>
          </w:tblCellMar>
        </w:tblPrEx>
        <w:trPr>
          <w:gridAfter w:val="1"/>
          <w:wAfter w:w="1" w:type="dxa"/>
          <w:trHeight w:val="565" w:hRule="atLeast"/>
          <w:jc w:val="center"/>
        </w:trPr>
        <w:tc>
          <w:tcPr>
            <w:tcW w:w="96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可疑</w:t>
            </w:r>
          </w:p>
        </w:tc>
        <w:tc>
          <w:tcPr>
            <w:tcW w:w="1410" w:type="dxa"/>
            <w:tcBorders>
              <w:top w:val="single" w:color="auto" w:sz="4" w:space="0"/>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0</w:t>
            </w:r>
          </w:p>
        </w:tc>
        <w:tc>
          <w:tcPr>
            <w:tcW w:w="1215" w:type="dxa"/>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183"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023"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53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51.09</w:t>
            </w:r>
          </w:p>
        </w:tc>
      </w:tr>
      <w:tr>
        <w:tblPrEx>
          <w:tblLayout w:type="fixed"/>
          <w:tblCellMar>
            <w:top w:w="0" w:type="dxa"/>
            <w:left w:w="108" w:type="dxa"/>
            <w:bottom w:w="0" w:type="dxa"/>
            <w:right w:w="108" w:type="dxa"/>
          </w:tblCellMar>
        </w:tblPrEx>
        <w:trPr>
          <w:trHeight w:val="565" w:hRule="atLeast"/>
          <w:jc w:val="center"/>
        </w:trPr>
        <w:tc>
          <w:tcPr>
            <w:tcW w:w="963"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损失</w:t>
            </w:r>
          </w:p>
        </w:tc>
        <w:tc>
          <w:tcPr>
            <w:tcW w:w="1410" w:type="dxa"/>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0</w:t>
            </w:r>
          </w:p>
        </w:tc>
        <w:tc>
          <w:tcPr>
            <w:tcW w:w="1215"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183" w:type="dxa"/>
            <w:tcBorders>
              <w:top w:val="nil"/>
              <w:left w:val="single" w:color="auto" w:sz="4" w:space="0"/>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023" w:type="dxa"/>
            <w:tcBorders>
              <w:top w:val="nil"/>
              <w:left w:val="single" w:color="auto" w:sz="4" w:space="0"/>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193"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lang w:val="en-US" w:eastAsia="zh-CN"/>
              </w:rPr>
              <w:t>0</w:t>
            </w:r>
          </w:p>
        </w:tc>
        <w:tc>
          <w:tcPr>
            <w:tcW w:w="1533" w:type="dxa"/>
            <w:gridSpan w:val="2"/>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color w:val="auto"/>
                <w:kern w:val="0"/>
                <w:sz w:val="24"/>
                <w:szCs w:val="24"/>
                <w:highlight w:val="none"/>
                <w:lang w:val="en-US"/>
              </w:rPr>
            </w:pPr>
            <w:r>
              <w:rPr>
                <w:rFonts w:hint="eastAsia" w:cs="宋体" w:asciiTheme="minorEastAsia" w:hAnsiTheme="minorEastAsia"/>
                <w:color w:val="auto"/>
                <w:kern w:val="0"/>
                <w:sz w:val="24"/>
                <w:szCs w:val="24"/>
                <w:highlight w:val="none"/>
                <w:lang w:val="en-US" w:eastAsia="zh-CN"/>
              </w:rPr>
              <w:t>139.02</w:t>
            </w:r>
          </w:p>
        </w:tc>
      </w:tr>
    </w:tbl>
    <w:p>
      <w:pPr>
        <w:widowControl/>
        <w:shd w:val="clear" w:color="auto" w:fill="FFFFFF"/>
        <w:tabs>
          <w:tab w:val="left" w:pos="630"/>
        </w:tabs>
        <w:spacing w:line="500" w:lineRule="exact"/>
        <w:ind w:firstLine="643" w:firstLineChars="200"/>
        <w:jc w:val="left"/>
        <w:rPr>
          <w:rFonts w:hint="eastAsia" w:ascii="仿宋_GB2312" w:eastAsia="仿宋_GB2312" w:cs="宋体" w:hAnsiTheme="minorEastAsia"/>
          <w:b/>
          <w:bCs/>
          <w:color w:val="auto"/>
          <w:kern w:val="0"/>
          <w:sz w:val="32"/>
          <w:szCs w:val="32"/>
          <w:highlight w:val="none"/>
        </w:rPr>
      </w:pPr>
    </w:p>
    <w:p>
      <w:pPr>
        <w:widowControl/>
        <w:shd w:val="clear" w:color="auto" w:fill="FFFFFF"/>
        <w:tabs>
          <w:tab w:val="left" w:pos="630"/>
        </w:tabs>
        <w:spacing w:line="500" w:lineRule="exact"/>
        <w:ind w:firstLine="643" w:firstLineChars="200"/>
        <w:jc w:val="left"/>
        <w:rPr>
          <w:rFonts w:hint="eastAsia" w:ascii="仿宋_GB2312" w:eastAsia="仿宋_GB2312" w:cs="宋体" w:hAnsiTheme="minorEastAsia"/>
          <w:b/>
          <w:bCs/>
          <w:color w:val="auto"/>
          <w:kern w:val="0"/>
          <w:sz w:val="32"/>
          <w:szCs w:val="32"/>
          <w:highlight w:val="none"/>
          <w:lang w:eastAsia="zh-CN"/>
        </w:rPr>
      </w:pPr>
      <w:r>
        <w:rPr>
          <w:rFonts w:hint="eastAsia" w:ascii="仿宋_GB2312" w:eastAsia="仿宋_GB2312" w:cs="宋体" w:hAnsiTheme="minorEastAsia"/>
          <w:b/>
          <w:bCs/>
          <w:color w:val="auto"/>
          <w:kern w:val="0"/>
          <w:sz w:val="32"/>
          <w:szCs w:val="32"/>
          <w:highlight w:val="none"/>
        </w:rPr>
        <w:t>6.3</w:t>
      </w:r>
      <w:r>
        <w:rPr>
          <w:rFonts w:hint="eastAsia" w:ascii="仿宋_GB2312" w:eastAsia="仿宋_GB2312" w:cs="宋体" w:hAnsiTheme="minorEastAsia"/>
          <w:b/>
          <w:bCs/>
          <w:color w:val="auto"/>
          <w:kern w:val="0"/>
          <w:sz w:val="32"/>
          <w:szCs w:val="32"/>
          <w:highlight w:val="none"/>
          <w:lang w:eastAsia="zh-CN"/>
        </w:rPr>
        <w:t>贷款按保障条件分类情况</w:t>
      </w:r>
    </w:p>
    <w:p>
      <w:pPr>
        <w:widowControl/>
        <w:shd w:val="clear" w:color="auto" w:fill="FFFFFF"/>
        <w:spacing w:line="500" w:lineRule="exact"/>
        <w:ind w:firstLine="5280" w:firstLineChars="1650"/>
        <w:jc w:val="left"/>
        <w:rPr>
          <w:rFonts w:hint="eastAsia" w:ascii="仿宋_GB2312" w:eastAsia="仿宋_GB2312" w:cs="宋体" w:hAnsiTheme="minorEastAsia"/>
          <w:b/>
          <w:bCs/>
          <w:color w:val="auto"/>
          <w:kern w:val="0"/>
          <w:sz w:val="32"/>
          <w:szCs w:val="32"/>
          <w:highlight w:val="none"/>
          <w:lang w:eastAsia="zh-CN"/>
        </w:rPr>
      </w:pPr>
      <w:r>
        <w:rPr>
          <w:rFonts w:hint="eastAsia" w:ascii="仿宋_GB2312" w:eastAsia="仿宋_GB2312" w:cs="宋体" w:hAnsiTheme="minorEastAsia"/>
          <w:color w:val="auto"/>
          <w:kern w:val="0"/>
          <w:sz w:val="32"/>
          <w:szCs w:val="32"/>
        </w:rPr>
        <w:t>单位：人民币   万元</w:t>
      </w:r>
    </w:p>
    <w:tbl>
      <w:tblPr>
        <w:tblStyle w:val="8"/>
        <w:tblW w:w="8522" w:type="dxa"/>
        <w:jc w:val="center"/>
        <w:tblInd w:w="0" w:type="dxa"/>
        <w:tblLayout w:type="fixed"/>
        <w:tblCellMar>
          <w:top w:w="0" w:type="dxa"/>
          <w:left w:w="108" w:type="dxa"/>
          <w:bottom w:w="0" w:type="dxa"/>
          <w:right w:w="108" w:type="dxa"/>
        </w:tblCellMar>
      </w:tblPr>
      <w:tblGrid>
        <w:gridCol w:w="2613"/>
        <w:gridCol w:w="3298"/>
        <w:gridCol w:w="2611"/>
      </w:tblGrid>
      <w:tr>
        <w:tblPrEx>
          <w:tblLayout w:type="fixed"/>
          <w:tblCellMar>
            <w:top w:w="0" w:type="dxa"/>
            <w:left w:w="108" w:type="dxa"/>
            <w:bottom w:w="0" w:type="dxa"/>
            <w:right w:w="108" w:type="dxa"/>
          </w:tblCellMar>
        </w:tblPrEx>
        <w:trPr>
          <w:trHeight w:val="565" w:hRule="atLeast"/>
          <w:jc w:val="center"/>
        </w:trPr>
        <w:tc>
          <w:tcPr>
            <w:tcW w:w="261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项目</w:t>
            </w:r>
          </w:p>
        </w:tc>
        <w:tc>
          <w:tcPr>
            <w:tcW w:w="3298"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202</w:t>
            </w:r>
            <w:r>
              <w:rPr>
                <w:rFonts w:hint="eastAsia" w:cs="宋体" w:asciiTheme="minorEastAsia" w:hAnsiTheme="minorEastAsia"/>
                <w:color w:val="auto"/>
                <w:kern w:val="0"/>
                <w:sz w:val="24"/>
                <w:szCs w:val="24"/>
                <w:highlight w:val="none"/>
                <w:lang w:val="en-US" w:eastAsia="zh-CN"/>
              </w:rPr>
              <w:t>4</w:t>
            </w:r>
            <w:r>
              <w:rPr>
                <w:rFonts w:hint="eastAsia" w:cs="宋体" w:asciiTheme="minorEastAsia" w:hAnsiTheme="minorEastAsia"/>
                <w:color w:val="auto"/>
                <w:kern w:val="0"/>
                <w:sz w:val="24"/>
                <w:szCs w:val="24"/>
                <w:highlight w:val="none"/>
              </w:rPr>
              <w:t>年末余额</w:t>
            </w:r>
          </w:p>
        </w:tc>
        <w:tc>
          <w:tcPr>
            <w:tcW w:w="2611"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202</w:t>
            </w:r>
            <w:r>
              <w:rPr>
                <w:rFonts w:hint="eastAsia" w:cs="宋体" w:asciiTheme="minorEastAsia" w:hAnsiTheme="minorEastAsia"/>
                <w:color w:val="auto"/>
                <w:kern w:val="0"/>
                <w:sz w:val="24"/>
                <w:szCs w:val="24"/>
                <w:highlight w:val="none"/>
                <w:lang w:val="en-US" w:eastAsia="zh-CN"/>
              </w:rPr>
              <w:t>5</w:t>
            </w:r>
            <w:r>
              <w:rPr>
                <w:rFonts w:hint="eastAsia" w:cs="宋体" w:asciiTheme="minorEastAsia" w:hAnsiTheme="minorEastAsia"/>
                <w:color w:val="auto"/>
                <w:kern w:val="0"/>
                <w:sz w:val="24"/>
                <w:szCs w:val="24"/>
                <w:highlight w:val="none"/>
              </w:rPr>
              <w:t>年末余额</w:t>
            </w:r>
          </w:p>
        </w:tc>
      </w:tr>
      <w:tr>
        <w:tblPrEx>
          <w:tblLayout w:type="fixed"/>
          <w:tblCellMar>
            <w:top w:w="0" w:type="dxa"/>
            <w:left w:w="108" w:type="dxa"/>
            <w:bottom w:w="0" w:type="dxa"/>
            <w:right w:w="108" w:type="dxa"/>
          </w:tblCellMar>
        </w:tblPrEx>
        <w:trPr>
          <w:trHeight w:val="565" w:hRule="atLeast"/>
          <w:jc w:val="center"/>
        </w:trPr>
        <w:tc>
          <w:tcPr>
            <w:tcW w:w="2613"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highlight w:val="none"/>
                <w:lang w:eastAsia="zh-CN"/>
              </w:rPr>
            </w:pPr>
            <w:r>
              <w:rPr>
                <w:rFonts w:hint="eastAsia" w:cs="宋体" w:asciiTheme="minorEastAsia" w:hAnsiTheme="minorEastAsia"/>
                <w:color w:val="auto"/>
                <w:kern w:val="0"/>
                <w:sz w:val="24"/>
                <w:szCs w:val="24"/>
                <w:highlight w:val="none"/>
                <w:lang w:eastAsia="zh-CN"/>
              </w:rPr>
              <w:t>信用贷款</w:t>
            </w:r>
          </w:p>
        </w:tc>
        <w:tc>
          <w:tcPr>
            <w:tcW w:w="3298" w:type="dxa"/>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253862.12</w:t>
            </w:r>
          </w:p>
        </w:tc>
        <w:tc>
          <w:tcPr>
            <w:tcW w:w="2611" w:type="dxa"/>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265775.42</w:t>
            </w:r>
          </w:p>
        </w:tc>
      </w:tr>
      <w:tr>
        <w:tblPrEx>
          <w:tblLayout w:type="fixed"/>
          <w:tblCellMar>
            <w:top w:w="0" w:type="dxa"/>
            <w:left w:w="108" w:type="dxa"/>
            <w:bottom w:w="0" w:type="dxa"/>
            <w:right w:w="108" w:type="dxa"/>
          </w:tblCellMar>
        </w:tblPrEx>
        <w:trPr>
          <w:trHeight w:val="565" w:hRule="atLeast"/>
          <w:jc w:val="center"/>
        </w:trPr>
        <w:tc>
          <w:tcPr>
            <w:tcW w:w="2613"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highlight w:val="none"/>
                <w:lang w:eastAsia="zh-CN"/>
              </w:rPr>
            </w:pPr>
            <w:r>
              <w:rPr>
                <w:rFonts w:hint="eastAsia" w:cs="宋体" w:asciiTheme="minorEastAsia" w:hAnsiTheme="minorEastAsia"/>
                <w:color w:val="auto"/>
                <w:kern w:val="0"/>
                <w:sz w:val="24"/>
                <w:szCs w:val="24"/>
                <w:highlight w:val="none"/>
                <w:lang w:eastAsia="zh-CN"/>
              </w:rPr>
              <w:t>保证贷款</w:t>
            </w:r>
          </w:p>
        </w:tc>
        <w:tc>
          <w:tcPr>
            <w:tcW w:w="3298" w:type="dxa"/>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81389.36</w:t>
            </w:r>
          </w:p>
        </w:tc>
        <w:tc>
          <w:tcPr>
            <w:tcW w:w="2611" w:type="dxa"/>
            <w:tcBorders>
              <w:top w:val="nil"/>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89037.10</w:t>
            </w:r>
          </w:p>
        </w:tc>
      </w:tr>
      <w:tr>
        <w:tblPrEx>
          <w:tblLayout w:type="fixed"/>
          <w:tblCellMar>
            <w:top w:w="0" w:type="dxa"/>
            <w:left w:w="108" w:type="dxa"/>
            <w:bottom w:w="0" w:type="dxa"/>
            <w:right w:w="108" w:type="dxa"/>
          </w:tblCellMar>
        </w:tblPrEx>
        <w:trPr>
          <w:trHeight w:val="565" w:hRule="atLeast"/>
          <w:jc w:val="center"/>
        </w:trPr>
        <w:tc>
          <w:tcPr>
            <w:tcW w:w="261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highlight w:val="none"/>
                <w:lang w:eastAsia="zh-CN"/>
              </w:rPr>
            </w:pPr>
            <w:r>
              <w:rPr>
                <w:rFonts w:hint="eastAsia" w:cs="宋体" w:asciiTheme="minorEastAsia" w:hAnsiTheme="minorEastAsia"/>
                <w:color w:val="auto"/>
                <w:kern w:val="0"/>
                <w:sz w:val="24"/>
                <w:szCs w:val="24"/>
                <w:highlight w:val="none"/>
                <w:lang w:eastAsia="zh-CN"/>
              </w:rPr>
              <w:t>抵押贷款</w:t>
            </w:r>
          </w:p>
        </w:tc>
        <w:tc>
          <w:tcPr>
            <w:tcW w:w="3298" w:type="dxa"/>
            <w:tcBorders>
              <w:top w:val="single" w:color="auto" w:sz="4" w:space="0"/>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205538.38</w:t>
            </w:r>
          </w:p>
        </w:tc>
        <w:tc>
          <w:tcPr>
            <w:tcW w:w="2611" w:type="dxa"/>
            <w:tcBorders>
              <w:top w:val="single" w:color="auto" w:sz="4" w:space="0"/>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220984.83</w:t>
            </w:r>
          </w:p>
        </w:tc>
      </w:tr>
      <w:tr>
        <w:tblPrEx>
          <w:tblLayout w:type="fixed"/>
          <w:tblCellMar>
            <w:top w:w="0" w:type="dxa"/>
            <w:left w:w="108" w:type="dxa"/>
            <w:bottom w:w="0" w:type="dxa"/>
            <w:right w:w="108" w:type="dxa"/>
          </w:tblCellMar>
        </w:tblPrEx>
        <w:trPr>
          <w:trHeight w:val="565" w:hRule="atLeast"/>
          <w:jc w:val="center"/>
        </w:trPr>
        <w:tc>
          <w:tcPr>
            <w:tcW w:w="261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hint="eastAsia" w:cs="宋体" w:asciiTheme="minorEastAsia" w:hAnsiTheme="minorEastAsia" w:eastAsiaTheme="minorEastAsia"/>
                <w:color w:val="auto"/>
                <w:kern w:val="0"/>
                <w:sz w:val="24"/>
                <w:szCs w:val="24"/>
                <w:highlight w:val="none"/>
                <w:lang w:eastAsia="zh-CN"/>
              </w:rPr>
            </w:pPr>
            <w:r>
              <w:rPr>
                <w:rFonts w:hint="eastAsia" w:cs="宋体" w:asciiTheme="minorEastAsia" w:hAnsiTheme="minorEastAsia"/>
                <w:color w:val="auto"/>
                <w:kern w:val="0"/>
                <w:sz w:val="24"/>
                <w:szCs w:val="24"/>
                <w:highlight w:val="none"/>
                <w:lang w:eastAsia="zh-CN"/>
              </w:rPr>
              <w:t>质押贷款</w:t>
            </w:r>
          </w:p>
        </w:tc>
        <w:tc>
          <w:tcPr>
            <w:tcW w:w="3298" w:type="dxa"/>
            <w:tcBorders>
              <w:top w:val="single" w:color="auto" w:sz="4" w:space="0"/>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20587.20</w:t>
            </w:r>
          </w:p>
        </w:tc>
        <w:tc>
          <w:tcPr>
            <w:tcW w:w="2611" w:type="dxa"/>
            <w:tcBorders>
              <w:top w:val="single" w:color="auto" w:sz="4" w:space="0"/>
              <w:left w:val="nil"/>
              <w:bottom w:val="single" w:color="auto" w:sz="4" w:space="0"/>
              <w:right w:val="single" w:color="auto" w:sz="4" w:space="0"/>
            </w:tcBorders>
            <w:vAlign w:val="center"/>
          </w:tcPr>
          <w:p>
            <w:pPr>
              <w:widowControl/>
              <w:jc w:val="center"/>
              <w:rPr>
                <w:rFonts w:hint="default" w:cs="宋体" w:asciiTheme="minorEastAsia" w:hAnsiTheme="minorEastAsia" w:eastAsiaTheme="minorEastAsia"/>
                <w:color w:val="auto"/>
                <w:kern w:val="0"/>
                <w:sz w:val="24"/>
                <w:szCs w:val="24"/>
                <w:highlight w:val="none"/>
                <w:lang w:val="en-US" w:eastAsia="zh-CN"/>
              </w:rPr>
            </w:pPr>
            <w:r>
              <w:rPr>
                <w:rFonts w:hint="eastAsia" w:cs="宋体" w:asciiTheme="minorEastAsia" w:hAnsiTheme="minorEastAsia"/>
                <w:color w:val="auto"/>
                <w:kern w:val="0"/>
                <w:sz w:val="24"/>
                <w:szCs w:val="24"/>
                <w:highlight w:val="none"/>
                <w:lang w:val="en-US" w:eastAsia="zh-CN"/>
              </w:rPr>
              <w:t>26995.25</w:t>
            </w:r>
          </w:p>
        </w:tc>
      </w:tr>
    </w:tbl>
    <w:p>
      <w:pPr>
        <w:widowControl/>
        <w:shd w:val="clear" w:color="auto" w:fill="FFFFFF"/>
        <w:tabs>
          <w:tab w:val="left" w:pos="630"/>
        </w:tabs>
        <w:spacing w:line="500" w:lineRule="exact"/>
        <w:ind w:firstLine="643" w:firstLineChars="200"/>
        <w:jc w:val="left"/>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lang w:val="en-US" w:eastAsia="zh-CN"/>
        </w:rPr>
        <w:t>6.4</w:t>
      </w:r>
      <w:r>
        <w:rPr>
          <w:rFonts w:hint="eastAsia" w:ascii="仿宋_GB2312" w:eastAsia="仿宋_GB2312" w:cs="宋体" w:hAnsiTheme="minorEastAsia"/>
          <w:b/>
          <w:bCs/>
          <w:color w:val="auto"/>
          <w:kern w:val="0"/>
          <w:sz w:val="32"/>
          <w:szCs w:val="32"/>
        </w:rPr>
        <w:t>贷款损失准备情况</w:t>
      </w:r>
    </w:p>
    <w:p>
      <w:pPr>
        <w:widowControl/>
        <w:shd w:val="clear" w:color="auto" w:fill="FFFFFF"/>
        <w:spacing w:line="500" w:lineRule="exact"/>
        <w:ind w:firstLine="5280" w:firstLineChars="1650"/>
        <w:jc w:val="left"/>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单位：人民币   万元</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34"/>
        <w:gridCol w:w="1307"/>
        <w:gridCol w:w="1420"/>
        <w:gridCol w:w="1420"/>
        <w:gridCol w:w="1421"/>
        <w:gridCol w:w="14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534"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项目</w:t>
            </w:r>
          </w:p>
        </w:tc>
        <w:tc>
          <w:tcPr>
            <w:tcW w:w="1307"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期初数</w:t>
            </w:r>
          </w:p>
        </w:tc>
        <w:tc>
          <w:tcPr>
            <w:tcW w:w="14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本期</w:t>
            </w:r>
          </w:p>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计提</w:t>
            </w:r>
          </w:p>
        </w:tc>
        <w:tc>
          <w:tcPr>
            <w:tcW w:w="14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本期</w:t>
            </w:r>
          </w:p>
          <w:p>
            <w:pPr>
              <w:widowControl/>
              <w:spacing w:line="500" w:lineRule="exact"/>
              <w:jc w:val="center"/>
              <w:rPr>
                <w:rFonts w:hint="eastAsia" w:cs="宋体" w:asciiTheme="minorEastAsia" w:hAnsiTheme="minorEastAsia" w:eastAsiaTheme="minorEastAsia"/>
                <w:color w:val="auto"/>
                <w:kern w:val="0"/>
                <w:sz w:val="24"/>
                <w:szCs w:val="24"/>
                <w:highlight w:val="none"/>
                <w:lang w:eastAsia="zh-CN"/>
              </w:rPr>
            </w:pPr>
            <w:r>
              <w:rPr>
                <w:rFonts w:hint="eastAsia" w:cs="宋体" w:asciiTheme="minorEastAsia" w:hAnsiTheme="minorEastAsia"/>
                <w:color w:val="auto"/>
                <w:kern w:val="0"/>
                <w:sz w:val="24"/>
                <w:szCs w:val="24"/>
                <w:highlight w:val="none"/>
              </w:rPr>
              <w:t>核销</w:t>
            </w:r>
            <w:r>
              <w:rPr>
                <w:rFonts w:hint="eastAsia" w:cs="宋体" w:asciiTheme="minorEastAsia" w:hAnsiTheme="minorEastAsia"/>
                <w:color w:val="auto"/>
                <w:kern w:val="0"/>
                <w:sz w:val="24"/>
                <w:szCs w:val="24"/>
                <w:highlight w:val="none"/>
                <w:lang w:eastAsia="zh-CN"/>
              </w:rPr>
              <w:t>（减少）</w:t>
            </w:r>
          </w:p>
        </w:tc>
        <w:tc>
          <w:tcPr>
            <w:tcW w:w="1421"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核销收回</w:t>
            </w:r>
          </w:p>
        </w:tc>
        <w:tc>
          <w:tcPr>
            <w:tcW w:w="14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期末数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63" w:hRule="atLeast"/>
          <w:jc w:val="center"/>
        </w:trPr>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color w:val="auto"/>
                <w:szCs w:val="21"/>
                <w:highlight w:val="none"/>
              </w:rPr>
            </w:pPr>
            <w:r>
              <w:rPr>
                <w:rFonts w:hint="eastAsia" w:cs="宋体" w:asciiTheme="minorEastAsia" w:hAnsiTheme="minorEastAsia"/>
                <w:color w:val="auto"/>
                <w:szCs w:val="21"/>
                <w:highlight w:val="none"/>
              </w:rPr>
              <w:t>贷款损失准备</w:t>
            </w:r>
          </w:p>
        </w:tc>
        <w:tc>
          <w:tcPr>
            <w:tcW w:w="1307" w:type="dxa"/>
            <w:tcBorders>
              <w:top w:val="single" w:color="auto" w:sz="4" w:space="0"/>
              <w:left w:val="single" w:color="auto" w:sz="4" w:space="0"/>
              <w:bottom w:val="single" w:color="auto" w:sz="4" w:space="0"/>
              <w:right w:val="single" w:color="auto" w:sz="4" w:space="0"/>
            </w:tcBorders>
            <w:vAlign w:val="center"/>
          </w:tcPr>
          <w:p>
            <w:pPr>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color w:val="auto"/>
                <w:szCs w:val="21"/>
                <w:highlight w:val="none"/>
                <w:lang w:val="en-US" w:eastAsia="zh-CN"/>
              </w:rPr>
              <w:t>45697.90</w:t>
            </w:r>
          </w:p>
        </w:tc>
        <w:tc>
          <w:tcPr>
            <w:tcW w:w="1420" w:type="dxa"/>
            <w:tcBorders>
              <w:top w:val="single" w:color="auto" w:sz="4" w:space="0"/>
              <w:left w:val="single" w:color="auto" w:sz="4" w:space="0"/>
              <w:bottom w:val="single" w:color="auto" w:sz="4" w:space="0"/>
              <w:right w:val="single" w:color="auto" w:sz="4" w:space="0"/>
            </w:tcBorders>
            <w:vAlign w:val="center"/>
          </w:tcPr>
          <w:p>
            <w:pPr>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color w:val="auto"/>
                <w:szCs w:val="21"/>
                <w:highlight w:val="none"/>
                <w:lang w:val="en-US" w:eastAsia="zh-CN"/>
              </w:rPr>
              <w:t>9487.88</w:t>
            </w:r>
          </w:p>
        </w:tc>
        <w:tc>
          <w:tcPr>
            <w:tcW w:w="1420" w:type="dxa"/>
            <w:tcBorders>
              <w:top w:val="single" w:color="auto" w:sz="4" w:space="0"/>
              <w:left w:val="single" w:color="auto" w:sz="4" w:space="0"/>
              <w:bottom w:val="single" w:color="auto" w:sz="4" w:space="0"/>
              <w:right w:val="single" w:color="auto" w:sz="4" w:space="0"/>
            </w:tcBorders>
            <w:vAlign w:val="center"/>
          </w:tcPr>
          <w:p>
            <w:pPr>
              <w:jc w:val="center"/>
              <w:rPr>
                <w:rFonts w:hint="default" w:cs="宋体" w:asciiTheme="minorEastAsia" w:hAnsiTheme="minorEastAsia"/>
                <w:color w:val="auto"/>
                <w:szCs w:val="21"/>
                <w:highlight w:val="none"/>
                <w:lang w:val="en-US" w:eastAsia="zh-CN"/>
              </w:rPr>
            </w:pPr>
            <w:r>
              <w:rPr>
                <w:rFonts w:hint="eastAsia" w:cs="宋体" w:asciiTheme="minorEastAsia" w:hAnsiTheme="minorEastAsia"/>
                <w:color w:val="auto"/>
                <w:szCs w:val="21"/>
                <w:highlight w:val="none"/>
                <w:lang w:val="en-US" w:eastAsia="zh-CN"/>
              </w:rPr>
              <w:t>11613.46</w:t>
            </w:r>
          </w:p>
        </w:tc>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color w:val="auto"/>
                <w:szCs w:val="21"/>
                <w:highlight w:val="none"/>
                <w:lang w:val="en-US" w:eastAsia="zh-CN"/>
              </w:rPr>
              <w:t>4247.09</w:t>
            </w:r>
          </w:p>
        </w:tc>
        <w:tc>
          <w:tcPr>
            <w:tcW w:w="1420" w:type="dxa"/>
            <w:tcBorders>
              <w:top w:val="single" w:color="auto" w:sz="4" w:space="0"/>
              <w:left w:val="single" w:color="auto" w:sz="4" w:space="0"/>
              <w:bottom w:val="single" w:color="auto" w:sz="4" w:space="0"/>
              <w:right w:val="single" w:color="auto" w:sz="4" w:space="0"/>
            </w:tcBorders>
            <w:vAlign w:val="center"/>
          </w:tcPr>
          <w:p>
            <w:pPr>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color w:val="auto"/>
                <w:szCs w:val="21"/>
                <w:highlight w:val="none"/>
                <w:lang w:val="en-US" w:eastAsia="zh-CN"/>
              </w:rPr>
              <w:t>47819.41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63" w:hRule="atLeast"/>
          <w:jc w:val="center"/>
        </w:trPr>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color w:val="auto"/>
                <w:szCs w:val="21"/>
                <w:highlight w:val="none"/>
                <w:lang w:eastAsia="zh-CN"/>
              </w:rPr>
              <w:t>票据转贴现减值准备</w:t>
            </w:r>
          </w:p>
        </w:tc>
        <w:tc>
          <w:tcPr>
            <w:tcW w:w="1307" w:type="dxa"/>
            <w:tcBorders>
              <w:top w:val="single" w:color="auto" w:sz="4" w:space="0"/>
              <w:left w:val="single" w:color="auto" w:sz="4" w:space="0"/>
              <w:bottom w:val="single" w:color="auto" w:sz="4" w:space="0"/>
              <w:right w:val="single" w:color="auto" w:sz="4" w:space="0"/>
            </w:tcBorders>
            <w:vAlign w:val="center"/>
          </w:tcPr>
          <w:p>
            <w:pPr>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color w:val="auto"/>
                <w:szCs w:val="21"/>
                <w:highlight w:val="none"/>
                <w:lang w:val="en-US" w:eastAsia="zh-CN"/>
              </w:rPr>
              <w:t>327.79</w:t>
            </w:r>
          </w:p>
        </w:tc>
        <w:tc>
          <w:tcPr>
            <w:tcW w:w="1420" w:type="dxa"/>
            <w:tcBorders>
              <w:top w:val="single" w:color="auto" w:sz="4" w:space="0"/>
              <w:left w:val="single" w:color="auto" w:sz="4" w:space="0"/>
              <w:bottom w:val="single" w:color="auto" w:sz="4" w:space="0"/>
              <w:right w:val="single" w:color="auto" w:sz="4" w:space="0"/>
            </w:tcBorders>
            <w:vAlign w:val="center"/>
          </w:tcPr>
          <w:p>
            <w:pPr>
              <w:jc w:val="center"/>
              <w:rPr>
                <w:rFonts w:hint="default" w:cs="宋体" w:asciiTheme="minorEastAsia" w:hAnsiTheme="minorEastAsia"/>
                <w:color w:val="auto"/>
                <w:szCs w:val="21"/>
                <w:highlight w:val="none"/>
                <w:lang w:val="en-US" w:eastAsia="zh-CN"/>
              </w:rPr>
            </w:pPr>
            <w:r>
              <w:rPr>
                <w:rFonts w:hint="eastAsia" w:cs="宋体" w:asciiTheme="minorEastAsia" w:hAnsiTheme="minorEastAsia"/>
                <w:color w:val="auto"/>
                <w:szCs w:val="21"/>
                <w:highlight w:val="none"/>
                <w:lang w:val="en-US" w:eastAsia="zh-CN"/>
              </w:rPr>
              <w:t>-72.88</w:t>
            </w:r>
          </w:p>
        </w:tc>
        <w:tc>
          <w:tcPr>
            <w:tcW w:w="1420" w:type="dxa"/>
            <w:tcBorders>
              <w:top w:val="single" w:color="auto" w:sz="4" w:space="0"/>
              <w:left w:val="single" w:color="auto" w:sz="4" w:space="0"/>
              <w:bottom w:val="single" w:color="auto" w:sz="4" w:space="0"/>
              <w:right w:val="single" w:color="auto" w:sz="4" w:space="0"/>
            </w:tcBorders>
            <w:vAlign w:val="center"/>
          </w:tcPr>
          <w:p>
            <w:pPr>
              <w:jc w:val="center"/>
              <w:rPr>
                <w:rFonts w:hint="default" w:cs="宋体" w:asciiTheme="minorEastAsia" w:hAnsiTheme="minorEastAsia"/>
                <w:color w:val="auto"/>
                <w:szCs w:val="21"/>
                <w:highlight w:val="none"/>
                <w:lang w:val="en-US" w:eastAsia="zh-CN"/>
              </w:rPr>
            </w:pPr>
          </w:p>
        </w:tc>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color w:val="auto"/>
                <w:szCs w:val="21"/>
                <w:highlight w:val="none"/>
                <w:lang w:val="en-US" w:eastAsia="zh-CN"/>
              </w:rPr>
            </w:pPr>
          </w:p>
        </w:tc>
        <w:tc>
          <w:tcPr>
            <w:tcW w:w="1420" w:type="dxa"/>
            <w:tcBorders>
              <w:top w:val="single" w:color="auto" w:sz="4" w:space="0"/>
              <w:left w:val="single" w:color="auto" w:sz="4" w:space="0"/>
              <w:bottom w:val="single" w:color="auto" w:sz="4" w:space="0"/>
              <w:right w:val="single" w:color="auto" w:sz="4" w:space="0"/>
            </w:tcBorders>
            <w:vAlign w:val="center"/>
          </w:tcPr>
          <w:p>
            <w:pPr>
              <w:jc w:val="center"/>
              <w:rPr>
                <w:rFonts w:hint="default" w:cs="宋体" w:asciiTheme="minorEastAsia" w:hAnsiTheme="minorEastAsia"/>
                <w:color w:val="auto"/>
                <w:szCs w:val="21"/>
                <w:highlight w:val="none"/>
                <w:lang w:val="en-US" w:eastAsia="zh-CN"/>
              </w:rPr>
            </w:pPr>
            <w:r>
              <w:rPr>
                <w:rFonts w:hint="eastAsia" w:cs="宋体" w:asciiTheme="minorEastAsia" w:hAnsiTheme="minorEastAsia"/>
                <w:color w:val="auto"/>
                <w:szCs w:val="21"/>
                <w:highlight w:val="none"/>
                <w:lang w:val="en-US" w:eastAsia="zh-CN"/>
              </w:rPr>
              <w:t>254.91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63" w:hRule="atLeast"/>
          <w:jc w:val="center"/>
        </w:trPr>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color w:val="auto"/>
                <w:szCs w:val="21"/>
                <w:highlight w:val="none"/>
                <w:lang w:eastAsia="zh-CN"/>
              </w:rPr>
              <w:t>合计</w:t>
            </w:r>
          </w:p>
        </w:tc>
        <w:tc>
          <w:tcPr>
            <w:tcW w:w="1307" w:type="dxa"/>
            <w:tcBorders>
              <w:top w:val="single" w:color="auto" w:sz="4" w:space="0"/>
              <w:left w:val="single" w:color="auto" w:sz="4" w:space="0"/>
              <w:bottom w:val="single" w:color="auto" w:sz="4" w:space="0"/>
              <w:right w:val="single" w:color="auto" w:sz="4" w:space="0"/>
            </w:tcBorders>
            <w:vAlign w:val="center"/>
          </w:tcPr>
          <w:p>
            <w:pPr>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color w:val="auto"/>
                <w:szCs w:val="21"/>
                <w:highlight w:val="none"/>
                <w:lang w:val="en-US" w:eastAsia="zh-CN"/>
              </w:rPr>
              <w:t>46025.69</w:t>
            </w:r>
          </w:p>
        </w:tc>
        <w:tc>
          <w:tcPr>
            <w:tcW w:w="1420" w:type="dxa"/>
            <w:tcBorders>
              <w:top w:val="single" w:color="auto" w:sz="4" w:space="0"/>
              <w:left w:val="single" w:color="auto" w:sz="4" w:space="0"/>
              <w:bottom w:val="single" w:color="auto" w:sz="4" w:space="0"/>
              <w:right w:val="single" w:color="auto" w:sz="4" w:space="0"/>
            </w:tcBorders>
            <w:vAlign w:val="center"/>
          </w:tcPr>
          <w:p>
            <w:pPr>
              <w:jc w:val="center"/>
              <w:rPr>
                <w:rFonts w:hint="default" w:cs="宋体" w:asciiTheme="minorEastAsia" w:hAnsiTheme="minorEastAsia"/>
                <w:color w:val="auto"/>
                <w:szCs w:val="21"/>
                <w:highlight w:val="none"/>
                <w:lang w:val="en-US" w:eastAsia="zh-CN"/>
              </w:rPr>
            </w:pPr>
            <w:r>
              <w:rPr>
                <w:rFonts w:hint="eastAsia" w:cs="宋体" w:asciiTheme="minorEastAsia" w:hAnsiTheme="minorEastAsia"/>
                <w:color w:val="auto"/>
                <w:szCs w:val="21"/>
                <w:highlight w:val="none"/>
                <w:lang w:val="en-US" w:eastAsia="zh-CN"/>
              </w:rPr>
              <w:t>9415</w:t>
            </w:r>
          </w:p>
        </w:tc>
        <w:tc>
          <w:tcPr>
            <w:tcW w:w="1420" w:type="dxa"/>
            <w:tcBorders>
              <w:top w:val="single" w:color="auto" w:sz="4" w:space="0"/>
              <w:left w:val="single" w:color="auto" w:sz="4" w:space="0"/>
              <w:bottom w:val="single" w:color="auto" w:sz="4" w:space="0"/>
              <w:right w:val="single" w:color="auto" w:sz="4" w:space="0"/>
            </w:tcBorders>
            <w:vAlign w:val="center"/>
          </w:tcPr>
          <w:p>
            <w:pPr>
              <w:jc w:val="center"/>
              <w:rPr>
                <w:rFonts w:hint="default" w:cs="宋体" w:asciiTheme="minorEastAsia" w:hAnsiTheme="minorEastAsia"/>
                <w:color w:val="auto"/>
                <w:szCs w:val="21"/>
                <w:highlight w:val="none"/>
                <w:lang w:val="en-US" w:eastAsia="zh-CN"/>
              </w:rPr>
            </w:pPr>
            <w:r>
              <w:rPr>
                <w:rFonts w:hint="eastAsia" w:cs="宋体" w:asciiTheme="minorEastAsia" w:hAnsiTheme="minorEastAsia"/>
                <w:color w:val="auto"/>
                <w:szCs w:val="21"/>
                <w:highlight w:val="none"/>
                <w:lang w:val="en-US" w:eastAsia="zh-CN"/>
              </w:rPr>
              <w:t>11613.46</w:t>
            </w:r>
          </w:p>
        </w:tc>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hint="default" w:cs="宋体" w:asciiTheme="minorEastAsia" w:hAnsiTheme="minorEastAsia"/>
                <w:color w:val="auto"/>
                <w:szCs w:val="21"/>
                <w:highlight w:val="none"/>
                <w:lang w:val="en-US" w:eastAsia="zh-CN"/>
              </w:rPr>
            </w:pPr>
            <w:r>
              <w:rPr>
                <w:rFonts w:hint="eastAsia" w:cs="宋体" w:asciiTheme="minorEastAsia" w:hAnsiTheme="minorEastAsia"/>
                <w:color w:val="auto"/>
                <w:szCs w:val="21"/>
                <w:highlight w:val="none"/>
                <w:lang w:val="en-US" w:eastAsia="zh-CN"/>
              </w:rPr>
              <w:t>4247.09</w:t>
            </w:r>
          </w:p>
        </w:tc>
        <w:tc>
          <w:tcPr>
            <w:tcW w:w="1420" w:type="dxa"/>
            <w:tcBorders>
              <w:top w:val="single" w:color="auto" w:sz="4" w:space="0"/>
              <w:left w:val="single" w:color="auto" w:sz="4" w:space="0"/>
              <w:bottom w:val="single" w:color="auto" w:sz="4" w:space="0"/>
              <w:right w:val="single" w:color="auto" w:sz="4" w:space="0"/>
            </w:tcBorders>
            <w:vAlign w:val="center"/>
          </w:tcPr>
          <w:p>
            <w:pPr>
              <w:jc w:val="center"/>
              <w:rPr>
                <w:rFonts w:hint="default" w:cs="宋体" w:asciiTheme="minorEastAsia" w:hAnsiTheme="minorEastAsia"/>
                <w:color w:val="auto"/>
                <w:szCs w:val="21"/>
                <w:highlight w:val="none"/>
                <w:lang w:val="en-US" w:eastAsia="zh-CN"/>
              </w:rPr>
            </w:pPr>
            <w:r>
              <w:rPr>
                <w:rFonts w:hint="eastAsia" w:cs="宋体" w:asciiTheme="minorEastAsia" w:hAnsiTheme="minorEastAsia"/>
                <w:color w:val="auto"/>
                <w:szCs w:val="21"/>
                <w:highlight w:val="none"/>
                <w:lang w:val="en-US" w:eastAsia="zh-CN"/>
              </w:rPr>
              <w:t>48074.32</w:t>
            </w:r>
          </w:p>
        </w:tc>
      </w:tr>
    </w:tbl>
    <w:p>
      <w:pPr>
        <w:widowControl/>
        <w:shd w:val="clear" w:color="auto" w:fill="FFFFFF"/>
        <w:tabs>
          <w:tab w:val="left" w:pos="630"/>
        </w:tabs>
        <w:spacing w:line="500" w:lineRule="exact"/>
        <w:ind w:firstLine="643" w:firstLineChars="200"/>
        <w:jc w:val="left"/>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6.</w:t>
      </w:r>
      <w:r>
        <w:rPr>
          <w:rFonts w:hint="eastAsia" w:ascii="仿宋_GB2312" w:eastAsia="仿宋_GB2312" w:cs="宋体" w:hAnsiTheme="minorEastAsia"/>
          <w:b/>
          <w:bCs/>
          <w:color w:val="auto"/>
          <w:kern w:val="0"/>
          <w:sz w:val="32"/>
          <w:szCs w:val="32"/>
          <w:lang w:val="en-US" w:eastAsia="zh-CN"/>
        </w:rPr>
        <w:t>5</w:t>
      </w:r>
      <w:r>
        <w:rPr>
          <w:rFonts w:hint="eastAsia" w:ascii="仿宋_GB2312" w:eastAsia="仿宋_GB2312" w:cs="宋体" w:hAnsiTheme="minorEastAsia"/>
          <w:b/>
          <w:bCs/>
          <w:color w:val="auto"/>
          <w:kern w:val="0"/>
          <w:sz w:val="32"/>
          <w:szCs w:val="32"/>
        </w:rPr>
        <w:t>年末</w:t>
      </w:r>
      <w:r>
        <w:rPr>
          <w:rFonts w:hint="eastAsia" w:ascii="仿宋_GB2312" w:eastAsia="仿宋_GB2312" w:cs="宋体" w:hAnsiTheme="minorEastAsia"/>
          <w:b/>
          <w:bCs/>
          <w:color w:val="auto"/>
          <w:kern w:val="0"/>
          <w:sz w:val="32"/>
          <w:szCs w:val="32"/>
          <w:lang w:eastAsia="zh-CN"/>
        </w:rPr>
        <w:t>股权</w:t>
      </w:r>
      <w:r>
        <w:rPr>
          <w:rFonts w:hint="eastAsia" w:ascii="仿宋_GB2312" w:eastAsia="仿宋_GB2312" w:cs="宋体" w:hAnsiTheme="minorEastAsia"/>
          <w:b/>
          <w:bCs/>
          <w:color w:val="auto"/>
          <w:kern w:val="0"/>
          <w:sz w:val="32"/>
          <w:szCs w:val="32"/>
        </w:rPr>
        <w:t>投资情况</w:t>
      </w:r>
    </w:p>
    <w:p>
      <w:pPr>
        <w:widowControl/>
        <w:shd w:val="clear" w:color="auto" w:fill="FFFFFF"/>
        <w:tabs>
          <w:tab w:val="left" w:pos="630"/>
        </w:tabs>
        <w:spacing w:line="500" w:lineRule="exact"/>
        <w:jc w:val="center"/>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 xml:space="preserve">                                  单位：人民币  万元</w:t>
      </w:r>
    </w:p>
    <w:tbl>
      <w:tblPr>
        <w:tblStyle w:val="8"/>
        <w:tblW w:w="8522" w:type="dxa"/>
        <w:tblInd w:w="0" w:type="dxa"/>
        <w:tblLayout w:type="fixed"/>
        <w:tblCellMar>
          <w:top w:w="0" w:type="dxa"/>
          <w:left w:w="108" w:type="dxa"/>
          <w:bottom w:w="0" w:type="dxa"/>
          <w:right w:w="108" w:type="dxa"/>
        </w:tblCellMar>
      </w:tblPr>
      <w:tblGrid>
        <w:gridCol w:w="4397"/>
        <w:gridCol w:w="4125"/>
      </w:tblGrid>
      <w:tr>
        <w:tblPrEx>
          <w:tblLayout w:type="fixed"/>
          <w:tblCellMar>
            <w:top w:w="0" w:type="dxa"/>
            <w:left w:w="108" w:type="dxa"/>
            <w:bottom w:w="0" w:type="dxa"/>
            <w:right w:w="108" w:type="dxa"/>
          </w:tblCellMar>
        </w:tblPrEx>
        <w:trPr>
          <w:trHeight w:val="285" w:hRule="atLeast"/>
        </w:trPr>
        <w:tc>
          <w:tcPr>
            <w:tcW w:w="4397"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项目</w:t>
            </w:r>
          </w:p>
        </w:tc>
        <w:tc>
          <w:tcPr>
            <w:tcW w:w="4125" w:type="dxa"/>
            <w:tcBorders>
              <w:top w:val="single" w:color="auto" w:sz="4" w:space="0"/>
              <w:left w:val="nil"/>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期末账面余额</w:t>
            </w:r>
          </w:p>
        </w:tc>
      </w:tr>
      <w:tr>
        <w:tblPrEx>
          <w:tblLayout w:type="fixed"/>
          <w:tblCellMar>
            <w:top w:w="0" w:type="dxa"/>
            <w:left w:w="108" w:type="dxa"/>
            <w:bottom w:w="0" w:type="dxa"/>
            <w:right w:w="108" w:type="dxa"/>
          </w:tblCellMar>
        </w:tblPrEx>
        <w:trPr>
          <w:trHeight w:val="285" w:hRule="atLeast"/>
        </w:trPr>
        <w:tc>
          <w:tcPr>
            <w:tcW w:w="4397"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cs="宋体" w:asciiTheme="minorEastAsia" w:hAnsiTheme="minorEastAsia"/>
                <w:color w:val="auto"/>
                <w:sz w:val="24"/>
                <w:szCs w:val="24"/>
              </w:rPr>
            </w:pPr>
            <w:r>
              <w:rPr>
                <w:rFonts w:hint="eastAsia" w:asciiTheme="minorEastAsia" w:hAnsiTheme="minorEastAsia"/>
                <w:color w:val="auto"/>
                <w:sz w:val="24"/>
                <w:szCs w:val="24"/>
              </w:rPr>
              <w:t>对农合机构投资</w:t>
            </w:r>
          </w:p>
        </w:tc>
        <w:tc>
          <w:tcPr>
            <w:tcW w:w="4125" w:type="dxa"/>
            <w:tcBorders>
              <w:top w:val="single" w:color="auto" w:sz="4" w:space="0"/>
              <w:left w:val="nil"/>
              <w:bottom w:val="single" w:color="auto" w:sz="4" w:space="0"/>
              <w:right w:val="single" w:color="auto" w:sz="4" w:space="0"/>
            </w:tcBorders>
            <w:vAlign w:val="center"/>
          </w:tcPr>
          <w:p>
            <w:pPr>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12326.23</w:t>
            </w:r>
          </w:p>
        </w:tc>
      </w:tr>
      <w:tr>
        <w:tblPrEx>
          <w:tblLayout w:type="fixed"/>
          <w:tblCellMar>
            <w:top w:w="0" w:type="dxa"/>
            <w:left w:w="108" w:type="dxa"/>
            <w:bottom w:w="0" w:type="dxa"/>
            <w:right w:w="108" w:type="dxa"/>
          </w:tblCellMar>
        </w:tblPrEx>
        <w:trPr>
          <w:trHeight w:val="285" w:hRule="atLeast"/>
        </w:trPr>
        <w:tc>
          <w:tcPr>
            <w:tcW w:w="4397"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cs="宋体" w:asciiTheme="minorEastAsia" w:hAnsiTheme="minorEastAsia"/>
                <w:color w:val="auto"/>
                <w:sz w:val="24"/>
                <w:szCs w:val="24"/>
              </w:rPr>
            </w:pPr>
            <w:r>
              <w:rPr>
                <w:rFonts w:hint="eastAsia" w:asciiTheme="minorEastAsia" w:hAnsiTheme="minorEastAsia"/>
                <w:color w:val="auto"/>
                <w:sz w:val="24"/>
                <w:szCs w:val="24"/>
              </w:rPr>
              <w:t>对其他金融企业投资</w:t>
            </w:r>
          </w:p>
        </w:tc>
        <w:tc>
          <w:tcPr>
            <w:tcW w:w="4125" w:type="dxa"/>
            <w:tcBorders>
              <w:top w:val="single" w:color="auto" w:sz="4" w:space="0"/>
              <w:left w:val="nil"/>
              <w:bottom w:val="single" w:color="auto" w:sz="4" w:space="0"/>
              <w:right w:val="single" w:color="auto" w:sz="4" w:space="0"/>
            </w:tcBorders>
            <w:vAlign w:val="center"/>
          </w:tcPr>
          <w:p>
            <w:pPr>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740</w:t>
            </w:r>
          </w:p>
        </w:tc>
      </w:tr>
      <w:tr>
        <w:tblPrEx>
          <w:tblLayout w:type="fixed"/>
          <w:tblCellMar>
            <w:top w:w="0" w:type="dxa"/>
            <w:left w:w="108" w:type="dxa"/>
            <w:bottom w:w="0" w:type="dxa"/>
            <w:right w:w="108" w:type="dxa"/>
          </w:tblCellMar>
        </w:tblPrEx>
        <w:trPr>
          <w:trHeight w:val="285" w:hRule="atLeast"/>
        </w:trPr>
        <w:tc>
          <w:tcPr>
            <w:tcW w:w="4397"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t>合计</w:t>
            </w:r>
          </w:p>
        </w:tc>
        <w:tc>
          <w:tcPr>
            <w:tcW w:w="4125" w:type="dxa"/>
            <w:tcBorders>
              <w:top w:val="single" w:color="auto" w:sz="4" w:space="0"/>
              <w:left w:val="nil"/>
              <w:bottom w:val="single" w:color="auto" w:sz="4" w:space="0"/>
              <w:right w:val="single" w:color="auto" w:sz="4" w:space="0"/>
            </w:tcBorders>
            <w:vAlign w:val="center"/>
          </w:tcPr>
          <w:p>
            <w:pPr>
              <w:jc w:val="center"/>
              <w:rPr>
                <w:rFonts w:hint="default" w:cs="Times New Roman" w:asciiTheme="minorEastAsia" w:hAnsiTheme="minorEastAsia" w:eastAsia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13066.23</w:t>
            </w:r>
          </w:p>
        </w:tc>
      </w:tr>
    </w:tbl>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6.</w:t>
      </w:r>
      <w:r>
        <w:rPr>
          <w:rFonts w:hint="eastAsia" w:ascii="仿宋_GB2312" w:eastAsia="仿宋_GB2312" w:cs="宋体" w:hAnsiTheme="minorEastAsia"/>
          <w:b/>
          <w:bCs/>
          <w:color w:val="auto"/>
          <w:kern w:val="0"/>
          <w:sz w:val="32"/>
          <w:szCs w:val="32"/>
          <w:lang w:val="en-US" w:eastAsia="zh-CN"/>
        </w:rPr>
        <w:t>6</w:t>
      </w:r>
      <w:r>
        <w:rPr>
          <w:rFonts w:hint="eastAsia" w:ascii="仿宋_GB2312" w:eastAsia="仿宋_GB2312" w:cs="宋体" w:hAnsiTheme="minorEastAsia"/>
          <w:b/>
          <w:bCs/>
          <w:color w:val="auto"/>
          <w:kern w:val="0"/>
          <w:sz w:val="32"/>
          <w:szCs w:val="32"/>
        </w:rPr>
        <w:t>不良贷款控制效果</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在经济下行大环境下，本行进行更审慎分类，同时真实反映历史遗留问题， 202</w:t>
      </w:r>
      <w:r>
        <w:rPr>
          <w:rFonts w:hint="eastAsia" w:ascii="仿宋_GB2312" w:eastAsia="仿宋_GB2312" w:cs="宋体" w:hAnsiTheme="minorEastAsia"/>
          <w:color w:val="auto"/>
          <w:kern w:val="0"/>
          <w:sz w:val="32"/>
          <w:szCs w:val="32"/>
          <w:lang w:val="en-US" w:eastAsia="zh-CN"/>
        </w:rPr>
        <w:t>5</w:t>
      </w:r>
      <w:r>
        <w:rPr>
          <w:rFonts w:hint="eastAsia" w:ascii="仿宋_GB2312" w:eastAsia="仿宋_GB2312" w:cs="宋体" w:hAnsiTheme="minorEastAsia"/>
          <w:color w:val="auto"/>
          <w:kern w:val="0"/>
          <w:sz w:val="32"/>
          <w:szCs w:val="32"/>
        </w:rPr>
        <w:t>年末不良贷款余额为</w:t>
      </w:r>
      <w:r>
        <w:rPr>
          <w:rFonts w:hint="eastAsia" w:ascii="仿宋_GB2312" w:eastAsia="仿宋_GB2312" w:cs="宋体" w:hAnsiTheme="minorEastAsia"/>
          <w:color w:val="auto"/>
          <w:kern w:val="0"/>
          <w:sz w:val="32"/>
          <w:szCs w:val="32"/>
          <w:lang w:val="en-US" w:eastAsia="zh-CN"/>
        </w:rPr>
        <w:t>15945.78</w:t>
      </w:r>
      <w:r>
        <w:rPr>
          <w:rFonts w:hint="eastAsia" w:ascii="仿宋_GB2312" w:eastAsia="仿宋_GB2312" w:cs="宋体" w:hAnsiTheme="minorEastAsia"/>
          <w:color w:val="auto"/>
          <w:kern w:val="0"/>
          <w:sz w:val="32"/>
          <w:szCs w:val="32"/>
        </w:rPr>
        <w:t>万元，比上年</w:t>
      </w:r>
      <w:r>
        <w:rPr>
          <w:rFonts w:hint="eastAsia" w:ascii="仿宋_GB2312" w:eastAsia="仿宋_GB2312" w:cs="宋体" w:hAnsiTheme="minorEastAsia"/>
          <w:color w:val="auto"/>
          <w:kern w:val="0"/>
          <w:sz w:val="32"/>
          <w:szCs w:val="32"/>
          <w:lang w:eastAsia="zh-CN"/>
        </w:rPr>
        <w:t>减少</w:t>
      </w:r>
      <w:r>
        <w:rPr>
          <w:rFonts w:hint="eastAsia" w:ascii="仿宋_GB2312" w:eastAsia="仿宋_GB2312" w:cs="宋体" w:hAnsiTheme="minorEastAsia"/>
          <w:color w:val="auto"/>
          <w:kern w:val="0"/>
          <w:sz w:val="32"/>
          <w:szCs w:val="32"/>
          <w:lang w:val="en-US" w:eastAsia="zh-CN"/>
        </w:rPr>
        <w:t>1710.16</w:t>
      </w:r>
      <w:r>
        <w:rPr>
          <w:rFonts w:hint="eastAsia" w:ascii="仿宋_GB2312" w:eastAsia="仿宋_GB2312" w:cs="宋体" w:hAnsiTheme="minorEastAsia"/>
          <w:color w:val="auto"/>
          <w:kern w:val="0"/>
          <w:sz w:val="32"/>
          <w:szCs w:val="32"/>
        </w:rPr>
        <w:t>万元。在贷款形态真实反映的同时，加大不良贷款清收、</w:t>
      </w:r>
      <w:r>
        <w:rPr>
          <w:rFonts w:hint="eastAsia" w:ascii="仿宋_GB2312" w:eastAsia="仿宋_GB2312" w:cs="宋体" w:hAnsiTheme="minorEastAsia"/>
          <w:color w:val="auto"/>
          <w:kern w:val="0"/>
          <w:sz w:val="32"/>
          <w:szCs w:val="32"/>
          <w:lang w:eastAsia="zh-CN"/>
        </w:rPr>
        <w:t>处置</w:t>
      </w:r>
      <w:r>
        <w:rPr>
          <w:rFonts w:hint="eastAsia" w:ascii="仿宋_GB2312" w:eastAsia="仿宋_GB2312" w:cs="宋体" w:hAnsiTheme="minorEastAsia"/>
          <w:color w:val="auto"/>
          <w:kern w:val="0"/>
          <w:sz w:val="32"/>
          <w:szCs w:val="32"/>
        </w:rPr>
        <w:t>力度，期末不良贷款率</w:t>
      </w:r>
      <w:r>
        <w:rPr>
          <w:rFonts w:hint="eastAsia" w:ascii="仿宋_GB2312" w:eastAsia="仿宋_GB2312" w:cs="宋体" w:hAnsiTheme="minorEastAsia"/>
          <w:color w:val="auto"/>
          <w:kern w:val="0"/>
          <w:sz w:val="32"/>
          <w:szCs w:val="32"/>
          <w:lang w:val="en-US" w:eastAsia="zh-CN"/>
        </w:rPr>
        <w:t>2.23</w:t>
      </w:r>
      <w:r>
        <w:rPr>
          <w:rFonts w:hint="eastAsia" w:ascii="仿宋_GB2312" w:eastAsia="仿宋_GB2312" w:cs="宋体" w:hAnsiTheme="minorEastAsia"/>
          <w:color w:val="auto"/>
          <w:kern w:val="0"/>
          <w:sz w:val="32"/>
          <w:szCs w:val="32"/>
        </w:rPr>
        <w:t>%，比上年</w:t>
      </w:r>
      <w:r>
        <w:rPr>
          <w:rFonts w:hint="eastAsia" w:ascii="仿宋_GB2312" w:eastAsia="仿宋_GB2312" w:cs="宋体" w:hAnsiTheme="minorEastAsia"/>
          <w:color w:val="auto"/>
          <w:kern w:val="0"/>
          <w:sz w:val="32"/>
          <w:szCs w:val="32"/>
          <w:lang w:eastAsia="zh-CN"/>
        </w:rPr>
        <w:t>下降</w:t>
      </w:r>
      <w:r>
        <w:rPr>
          <w:rFonts w:hint="eastAsia" w:ascii="仿宋_GB2312" w:eastAsia="仿宋_GB2312" w:cs="宋体" w:hAnsiTheme="minorEastAsia"/>
          <w:color w:val="auto"/>
          <w:kern w:val="0"/>
          <w:sz w:val="32"/>
          <w:szCs w:val="32"/>
        </w:rPr>
        <w:t>了</w:t>
      </w:r>
      <w:r>
        <w:rPr>
          <w:rFonts w:hint="eastAsia" w:ascii="仿宋_GB2312" w:eastAsia="仿宋_GB2312" w:cs="宋体" w:hAnsiTheme="minorEastAsia"/>
          <w:color w:val="auto"/>
          <w:kern w:val="0"/>
          <w:sz w:val="32"/>
          <w:szCs w:val="32"/>
          <w:lang w:val="en-US" w:eastAsia="zh-CN"/>
        </w:rPr>
        <w:t>0.43</w:t>
      </w:r>
      <w:r>
        <w:rPr>
          <w:rFonts w:hint="eastAsia" w:ascii="仿宋_GB2312" w:eastAsia="仿宋_GB2312" w:cs="宋体" w:hAnsiTheme="minorEastAsia"/>
          <w:color w:val="auto"/>
          <w:kern w:val="0"/>
          <w:sz w:val="32"/>
          <w:szCs w:val="32"/>
        </w:rPr>
        <w:t>个百分点。</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6.</w:t>
      </w:r>
      <w:r>
        <w:rPr>
          <w:rFonts w:hint="eastAsia" w:ascii="仿宋_GB2312" w:eastAsia="仿宋_GB2312" w:cs="宋体" w:hAnsiTheme="minorEastAsia"/>
          <w:b/>
          <w:bCs/>
          <w:color w:val="auto"/>
          <w:kern w:val="0"/>
          <w:sz w:val="32"/>
          <w:szCs w:val="32"/>
          <w:lang w:val="en-US" w:eastAsia="zh-CN"/>
        </w:rPr>
        <w:t>7</w:t>
      </w:r>
      <w:r>
        <w:rPr>
          <w:rFonts w:hint="eastAsia" w:ascii="仿宋_GB2312" w:eastAsia="仿宋_GB2312" w:cs="宋体" w:hAnsiTheme="minorEastAsia"/>
          <w:b/>
          <w:bCs/>
          <w:color w:val="auto"/>
          <w:kern w:val="0"/>
          <w:sz w:val="32"/>
          <w:szCs w:val="32"/>
        </w:rPr>
        <w:t>主要表外项目情况</w:t>
      </w:r>
    </w:p>
    <w:p>
      <w:pPr>
        <w:pStyle w:val="11"/>
        <w:keepNext w:val="0"/>
        <w:keepLines w:val="0"/>
        <w:pageBreakBefore w:val="0"/>
        <w:kinsoku/>
        <w:wordWrap/>
        <w:overflowPunct/>
        <w:topLinePunct w:val="0"/>
        <w:autoSpaceDE/>
        <w:autoSpaceDN/>
        <w:bidi w:val="0"/>
        <w:adjustRightInd/>
        <w:snapToGrid/>
        <w:spacing w:line="500" w:lineRule="exact"/>
        <w:ind w:firstLine="64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信用卡承诺期初余额</w:t>
      </w:r>
      <w:r>
        <w:rPr>
          <w:rFonts w:hint="eastAsia" w:ascii="仿宋_GB2312" w:eastAsia="仿宋_GB2312" w:cs="宋体" w:hAnsiTheme="minorEastAsia"/>
          <w:color w:val="auto"/>
          <w:kern w:val="0"/>
          <w:sz w:val="32"/>
          <w:szCs w:val="32"/>
          <w:lang w:val="en-US" w:eastAsia="zh-CN"/>
        </w:rPr>
        <w:t>20013.21</w:t>
      </w:r>
      <w:r>
        <w:rPr>
          <w:rFonts w:hint="eastAsia" w:ascii="仿宋_GB2312" w:eastAsia="仿宋_GB2312" w:cs="宋体" w:hAnsiTheme="minorEastAsia"/>
          <w:color w:val="auto"/>
          <w:kern w:val="0"/>
          <w:sz w:val="32"/>
          <w:szCs w:val="32"/>
        </w:rPr>
        <w:t>万元，期末余额</w:t>
      </w:r>
      <w:r>
        <w:rPr>
          <w:rFonts w:hint="eastAsia" w:ascii="仿宋_GB2312" w:eastAsia="仿宋_GB2312" w:cs="宋体" w:hAnsiTheme="minorEastAsia"/>
          <w:color w:val="auto"/>
          <w:kern w:val="0"/>
          <w:sz w:val="32"/>
          <w:szCs w:val="32"/>
          <w:lang w:val="en-US" w:eastAsia="zh-CN"/>
        </w:rPr>
        <w:t>21318.50</w:t>
      </w:r>
      <w:r>
        <w:rPr>
          <w:rFonts w:hint="eastAsia" w:ascii="仿宋_GB2312" w:eastAsia="仿宋_GB2312" w:cs="宋体" w:hAnsiTheme="minorEastAsia"/>
          <w:color w:val="auto"/>
          <w:kern w:val="0"/>
          <w:sz w:val="32"/>
          <w:szCs w:val="32"/>
        </w:rPr>
        <w:t>万元。</w:t>
      </w:r>
    </w:p>
    <w:p>
      <w:pPr>
        <w:pStyle w:val="11"/>
        <w:keepNext w:val="0"/>
        <w:keepLines w:val="0"/>
        <w:pageBreakBefore w:val="0"/>
        <w:kinsoku/>
        <w:wordWrap/>
        <w:overflowPunct/>
        <w:topLinePunct w:val="0"/>
        <w:autoSpaceDE/>
        <w:autoSpaceDN/>
        <w:bidi w:val="0"/>
        <w:adjustRightInd/>
        <w:snapToGrid/>
        <w:spacing w:line="500" w:lineRule="exact"/>
        <w:ind w:firstLine="640"/>
        <w:textAlignment w:val="auto"/>
        <w:outlineLvl w:val="9"/>
        <w:rPr>
          <w:rFonts w:ascii="仿宋_GB2312" w:eastAsia="仿宋_GB2312" w:cs="宋体" w:hAnsiTheme="minorEastAsia"/>
          <w:b/>
          <w:color w:val="auto"/>
          <w:kern w:val="0"/>
          <w:sz w:val="32"/>
          <w:szCs w:val="32"/>
        </w:rPr>
      </w:pPr>
      <w:r>
        <w:rPr>
          <w:rFonts w:hint="eastAsia" w:ascii="仿宋_GB2312" w:eastAsia="仿宋_GB2312" w:cs="宋体" w:hAnsiTheme="minorEastAsia"/>
          <w:b/>
          <w:bCs/>
          <w:color w:val="auto"/>
          <w:kern w:val="0"/>
          <w:sz w:val="32"/>
          <w:szCs w:val="32"/>
        </w:rPr>
        <w:t>6.</w:t>
      </w:r>
      <w:r>
        <w:rPr>
          <w:rFonts w:hint="eastAsia" w:ascii="仿宋_GB2312" w:eastAsia="仿宋_GB2312" w:cs="宋体" w:hAnsiTheme="minorEastAsia"/>
          <w:b/>
          <w:bCs/>
          <w:color w:val="auto"/>
          <w:kern w:val="0"/>
          <w:sz w:val="32"/>
          <w:szCs w:val="32"/>
          <w:lang w:val="en-US" w:eastAsia="zh-CN"/>
        </w:rPr>
        <w:t>8</w:t>
      </w:r>
      <w:r>
        <w:rPr>
          <w:rFonts w:hint="eastAsia" w:ascii="仿宋_GB2312" w:eastAsia="仿宋_GB2312" w:cs="宋体" w:hAnsiTheme="minorEastAsia"/>
          <w:color w:val="auto"/>
          <w:kern w:val="0"/>
          <w:sz w:val="32"/>
          <w:szCs w:val="32"/>
        </w:rPr>
        <w:t xml:space="preserve"> </w:t>
      </w:r>
      <w:r>
        <w:rPr>
          <w:rFonts w:hint="eastAsia" w:ascii="仿宋_GB2312" w:eastAsia="仿宋_GB2312" w:cs="宋体" w:hAnsiTheme="minorEastAsia"/>
          <w:b/>
          <w:color w:val="auto"/>
          <w:kern w:val="0"/>
          <w:sz w:val="32"/>
          <w:szCs w:val="32"/>
        </w:rPr>
        <w:t>监管考核达标情况</w:t>
      </w:r>
    </w:p>
    <w:p>
      <w:pPr>
        <w:pStyle w:val="14"/>
        <w:keepNext w:val="0"/>
        <w:keepLines w:val="0"/>
        <w:pageBreakBefore w:val="0"/>
        <w:kinsoku/>
        <w:wordWrap/>
        <w:overflowPunct/>
        <w:topLinePunct w:val="0"/>
        <w:autoSpaceDE/>
        <w:autoSpaceDN/>
        <w:bidi w:val="0"/>
        <w:adjustRightInd/>
        <w:snapToGrid/>
        <w:spacing w:line="500" w:lineRule="exact"/>
        <w:ind w:firstLine="640"/>
        <w:textAlignment w:val="auto"/>
        <w:outlineLvl w:val="9"/>
        <w:rPr>
          <w:rFonts w:ascii="仿宋_GB2312" w:eastAsia="仿宋_GB2312" w:cs="宋体" w:hAnsiTheme="minorEastAsia"/>
          <w:color w:val="auto"/>
          <w:kern w:val="0"/>
          <w:sz w:val="32"/>
          <w:szCs w:val="32"/>
          <w:highlight w:val="yellow"/>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本行在监管部门及上级管理部门的正确领导下，以又好又快发展为目标，以风险管理为重点，大力发展各项业务，积极消化不良资产，切实推进合规文化建设，加强内部监督管理，着力防范重点领域风险，风险指标均达到监管标准，</w:t>
      </w:r>
      <w:r>
        <w:rPr>
          <w:rFonts w:hint="eastAsia" w:ascii="仿宋_GB2312" w:eastAsia="仿宋_GB2312" w:cs="宋体" w:hAnsiTheme="minorEastAsia"/>
          <w:color w:val="auto"/>
          <w:kern w:val="0"/>
          <w:sz w:val="32"/>
          <w:szCs w:val="32"/>
        </w:rPr>
        <w:t>其中资本充足率</w:t>
      </w:r>
      <w:r>
        <w:rPr>
          <w:rFonts w:hint="eastAsia" w:ascii="仿宋_GB2312" w:eastAsia="仿宋_GB2312" w:cs="宋体" w:hAnsiTheme="minorEastAsia"/>
          <w:color w:val="auto"/>
          <w:kern w:val="0"/>
          <w:sz w:val="32"/>
          <w:szCs w:val="32"/>
          <w:lang w:val="en-US" w:eastAsia="zh-CN"/>
        </w:rPr>
        <w:t>15.83</w:t>
      </w:r>
      <w:r>
        <w:rPr>
          <w:rFonts w:hint="eastAsia" w:ascii="仿宋_GB2312" w:eastAsia="仿宋_GB2312" w:cs="宋体" w:hAnsiTheme="minorEastAsia"/>
          <w:color w:val="auto"/>
          <w:kern w:val="0"/>
          <w:sz w:val="32"/>
          <w:szCs w:val="32"/>
        </w:rPr>
        <w:t>%，高于监管值</w:t>
      </w:r>
      <w:r>
        <w:rPr>
          <w:rFonts w:hint="eastAsia" w:ascii="仿宋_GB2312" w:eastAsia="仿宋_GB2312" w:cs="宋体" w:hAnsiTheme="minorEastAsia"/>
          <w:color w:val="auto"/>
          <w:kern w:val="0"/>
          <w:sz w:val="32"/>
          <w:szCs w:val="32"/>
          <w:lang w:val="en-US" w:eastAsia="zh-CN"/>
        </w:rPr>
        <w:t>7.33</w:t>
      </w:r>
      <w:r>
        <w:rPr>
          <w:rFonts w:hint="eastAsia" w:ascii="仿宋_GB2312" w:eastAsia="仿宋_GB2312" w:cs="宋体" w:hAnsiTheme="minorEastAsia"/>
          <w:color w:val="auto"/>
          <w:kern w:val="0"/>
          <w:sz w:val="32"/>
          <w:szCs w:val="32"/>
        </w:rPr>
        <w:t>个百分点；不良贷款率</w:t>
      </w:r>
      <w:r>
        <w:rPr>
          <w:rFonts w:hint="eastAsia" w:ascii="仿宋_GB2312" w:eastAsia="仿宋_GB2312" w:cs="宋体" w:hAnsiTheme="minorEastAsia"/>
          <w:color w:val="auto"/>
          <w:kern w:val="0"/>
          <w:sz w:val="32"/>
          <w:szCs w:val="32"/>
          <w:lang w:val="en-US" w:eastAsia="zh-CN"/>
        </w:rPr>
        <w:t>2.23</w:t>
      </w:r>
      <w:r>
        <w:rPr>
          <w:rFonts w:hint="eastAsia" w:ascii="仿宋_GB2312" w:eastAsia="仿宋_GB2312" w:cs="宋体" w:hAnsiTheme="minorEastAsia"/>
          <w:color w:val="auto"/>
          <w:kern w:val="0"/>
          <w:sz w:val="32"/>
          <w:szCs w:val="32"/>
        </w:rPr>
        <w:t>%，低于监管值</w:t>
      </w:r>
      <w:r>
        <w:rPr>
          <w:rFonts w:hint="eastAsia" w:ascii="仿宋_GB2312" w:eastAsia="仿宋_GB2312" w:cs="宋体" w:hAnsiTheme="minorEastAsia"/>
          <w:color w:val="auto"/>
          <w:kern w:val="0"/>
          <w:sz w:val="32"/>
          <w:szCs w:val="32"/>
          <w:lang w:val="en-US" w:eastAsia="zh-CN"/>
        </w:rPr>
        <w:t>2.77</w:t>
      </w:r>
      <w:r>
        <w:rPr>
          <w:rFonts w:hint="eastAsia" w:ascii="仿宋_GB2312" w:eastAsia="仿宋_GB2312" w:cs="宋体" w:hAnsiTheme="minorEastAsia"/>
          <w:color w:val="auto"/>
          <w:kern w:val="0"/>
          <w:sz w:val="32"/>
          <w:szCs w:val="32"/>
        </w:rPr>
        <w:t>个百分点；流动性比例</w:t>
      </w:r>
      <w:r>
        <w:rPr>
          <w:rFonts w:hint="eastAsia" w:ascii="仿宋_GB2312" w:eastAsia="仿宋_GB2312" w:cs="宋体" w:hAnsiTheme="minorEastAsia"/>
          <w:color w:val="auto"/>
          <w:kern w:val="0"/>
          <w:sz w:val="32"/>
          <w:szCs w:val="32"/>
          <w:lang w:val="en-US" w:eastAsia="zh-CN"/>
        </w:rPr>
        <w:t>52.14</w:t>
      </w:r>
      <w:r>
        <w:rPr>
          <w:rFonts w:hint="eastAsia" w:ascii="仿宋_GB2312" w:eastAsia="仿宋_GB2312" w:cs="宋体" w:hAnsiTheme="minorEastAsia"/>
          <w:color w:val="auto"/>
          <w:kern w:val="0"/>
          <w:sz w:val="32"/>
          <w:szCs w:val="32"/>
        </w:rPr>
        <w:t>%，高于监管值</w:t>
      </w:r>
      <w:r>
        <w:rPr>
          <w:rFonts w:hint="eastAsia" w:ascii="仿宋_GB2312" w:eastAsia="仿宋_GB2312" w:cs="宋体" w:hAnsiTheme="minorEastAsia"/>
          <w:color w:val="auto"/>
          <w:kern w:val="0"/>
          <w:sz w:val="32"/>
          <w:szCs w:val="32"/>
          <w:lang w:val="en-US" w:eastAsia="zh-CN"/>
        </w:rPr>
        <w:t>27.14</w:t>
      </w:r>
      <w:r>
        <w:rPr>
          <w:rFonts w:hint="eastAsia" w:ascii="仿宋_GB2312" w:eastAsia="仿宋_GB2312" w:cs="宋体" w:hAnsiTheme="minorEastAsia"/>
          <w:color w:val="auto"/>
          <w:kern w:val="0"/>
          <w:sz w:val="32"/>
          <w:szCs w:val="32"/>
        </w:rPr>
        <w:t>个百分点。</w:t>
      </w:r>
      <w:r>
        <w:rPr>
          <w:rFonts w:hint="eastAsia" w:ascii="仿宋_GB2312" w:eastAsia="仿宋_GB2312" w:cs="宋体" w:hAnsiTheme="minorEastAsia"/>
          <w:color w:val="auto"/>
          <w:kern w:val="0"/>
          <w:sz w:val="32"/>
          <w:szCs w:val="32"/>
          <w:lang w:val="zh-CN"/>
        </w:rPr>
        <w:t>通过定量指标及定性因素综合考评，本行202</w:t>
      </w:r>
      <w:r>
        <w:rPr>
          <w:rFonts w:hint="eastAsia" w:ascii="仿宋_GB2312" w:eastAsia="仿宋_GB2312" w:cs="宋体" w:hAnsiTheme="minorEastAsia"/>
          <w:color w:val="auto"/>
          <w:kern w:val="0"/>
          <w:sz w:val="32"/>
          <w:szCs w:val="32"/>
          <w:lang w:val="en-US" w:eastAsia="zh-CN"/>
        </w:rPr>
        <w:t>4</w:t>
      </w:r>
      <w:r>
        <w:rPr>
          <w:rFonts w:hint="eastAsia" w:ascii="仿宋_GB2312" w:eastAsia="仿宋_GB2312" w:cs="宋体" w:hAnsiTheme="minorEastAsia"/>
          <w:color w:val="auto"/>
          <w:kern w:val="0"/>
          <w:sz w:val="32"/>
          <w:szCs w:val="32"/>
          <w:lang w:val="zh-CN"/>
        </w:rPr>
        <w:t>年度监管评级为3C。</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七、本行面临的各类风险及风险管理情况</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textAlignment w:val="auto"/>
        <w:outlineLvl w:val="9"/>
        <w:rPr>
          <w:rFonts w:ascii="仿宋_GB2312" w:eastAsia="仿宋_GB2312" w:cs="宋体" w:hAnsiTheme="minorEastAsia"/>
          <w:b/>
          <w:bCs/>
          <w:color w:val="auto"/>
          <w:kern w:val="0"/>
          <w:sz w:val="32"/>
          <w:szCs w:val="32"/>
        </w:rPr>
      </w:pPr>
      <w:r>
        <w:rPr>
          <w:rFonts w:hint="eastAsia" w:ascii="仿宋_GB2312" w:eastAsia="仿宋_GB2312" w:cs="宋体" w:hAnsiTheme="minorEastAsia"/>
          <w:b/>
          <w:bCs/>
          <w:color w:val="auto"/>
          <w:kern w:val="0"/>
          <w:sz w:val="32"/>
          <w:szCs w:val="32"/>
        </w:rPr>
        <w:t>7.1采用的风险评估及计量方法</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9"/>
        <w:rPr>
          <w:rFonts w:ascii="仿宋_GB2312" w:hAnsi="仿宋_GB2312" w:eastAsia="仿宋_GB2312" w:cs="Times New Roman"/>
          <w:color w:val="auto"/>
          <w:sz w:val="32"/>
          <w:szCs w:val="32"/>
        </w:rPr>
      </w:pPr>
      <w:r>
        <w:rPr>
          <w:rFonts w:hint="eastAsia" w:ascii="仿宋_GB2312" w:eastAsia="仿宋_GB2312" w:cs="宋体" w:hAnsiTheme="minorEastAsia"/>
          <w:bCs/>
          <w:color w:val="auto"/>
          <w:kern w:val="0"/>
          <w:sz w:val="32"/>
          <w:szCs w:val="32"/>
        </w:rPr>
        <w:t>本行实施全面风险管理，</w:t>
      </w:r>
      <w:r>
        <w:rPr>
          <w:rFonts w:hint="eastAsia" w:ascii="仿宋_GB2312" w:hAnsi="仿宋_GB2312" w:eastAsia="仿宋_GB2312" w:cs="Times New Roman"/>
          <w:color w:val="auto"/>
          <w:sz w:val="32"/>
          <w:szCs w:val="32"/>
        </w:rPr>
        <w:t>董事会及其专门委员会、高级管理层及其专业委员会、风险管理部门和内部审计部门等构成本行风险管理的组织架构。</w:t>
      </w:r>
      <w:r>
        <w:rPr>
          <w:rFonts w:hint="eastAsia" w:ascii="仿宋_GB2312" w:hAnsi="仿宋_GB2312" w:eastAsia="仿宋_GB2312"/>
          <w:color w:val="auto"/>
          <w:sz w:val="32"/>
          <w:szCs w:val="32"/>
        </w:rPr>
        <w:t>本行风险管理评估严格遵循</w:t>
      </w:r>
      <w:r>
        <w:rPr>
          <w:rFonts w:hint="eastAsia" w:ascii="仿宋_GB2312" w:hAnsi="仿宋_GB2312" w:eastAsia="仿宋_GB2312" w:cs="Times New Roman"/>
          <w:color w:val="auto"/>
          <w:sz w:val="32"/>
          <w:szCs w:val="32"/>
        </w:rPr>
        <w:t>收益与风险匹配原则</w:t>
      </w:r>
      <w:r>
        <w:rPr>
          <w:rFonts w:hint="eastAsia" w:ascii="仿宋_GB2312" w:hAnsi="仿宋_GB2312" w:eastAsia="仿宋_GB2312"/>
          <w:color w:val="auto"/>
          <w:sz w:val="32"/>
          <w:szCs w:val="32"/>
        </w:rPr>
        <w:t>、</w:t>
      </w:r>
      <w:r>
        <w:rPr>
          <w:rFonts w:hint="eastAsia" w:ascii="仿宋_GB2312" w:hAnsi="仿宋_GB2312" w:eastAsia="仿宋_GB2312" w:cs="Times New Roman"/>
          <w:color w:val="auto"/>
          <w:sz w:val="32"/>
          <w:szCs w:val="32"/>
        </w:rPr>
        <w:t>内部制衡与效率兼顾原则</w:t>
      </w:r>
      <w:r>
        <w:rPr>
          <w:rFonts w:hint="eastAsia" w:ascii="仿宋_GB2312" w:hAnsi="仿宋_GB2312" w:eastAsia="仿宋_GB2312"/>
          <w:color w:val="auto"/>
          <w:sz w:val="32"/>
          <w:szCs w:val="32"/>
        </w:rPr>
        <w:t>、</w:t>
      </w:r>
      <w:r>
        <w:rPr>
          <w:rFonts w:hint="eastAsia" w:ascii="仿宋_GB2312" w:hAnsi="仿宋_GB2312" w:eastAsia="仿宋_GB2312" w:cs="Times New Roman"/>
          <w:color w:val="auto"/>
          <w:sz w:val="32"/>
          <w:szCs w:val="32"/>
        </w:rPr>
        <w:t>风险分散原则</w:t>
      </w:r>
      <w:r>
        <w:rPr>
          <w:rFonts w:hint="eastAsia" w:ascii="仿宋_GB2312" w:hAnsi="仿宋_GB2312" w:eastAsia="仿宋_GB2312"/>
          <w:color w:val="auto"/>
          <w:sz w:val="32"/>
          <w:szCs w:val="32"/>
        </w:rPr>
        <w:t>、</w:t>
      </w:r>
      <w:r>
        <w:rPr>
          <w:rFonts w:hint="eastAsia" w:ascii="仿宋_GB2312" w:hAnsi="仿宋_GB2312" w:eastAsia="仿宋_GB2312" w:cs="Times New Roman"/>
          <w:color w:val="auto"/>
          <w:sz w:val="32"/>
          <w:szCs w:val="32"/>
        </w:rPr>
        <w:t>定量与定性结合原则</w:t>
      </w:r>
      <w:r>
        <w:rPr>
          <w:rFonts w:hint="eastAsia" w:ascii="仿宋_GB2312" w:hAnsi="仿宋_GB2312" w:eastAsia="仿宋_GB2312"/>
          <w:color w:val="auto"/>
          <w:sz w:val="32"/>
          <w:szCs w:val="32"/>
        </w:rPr>
        <w:t>、</w:t>
      </w:r>
      <w:r>
        <w:rPr>
          <w:rFonts w:hint="eastAsia" w:ascii="仿宋_GB2312" w:hAnsi="仿宋_GB2312" w:eastAsia="仿宋_GB2312" w:cs="Times New Roman"/>
          <w:color w:val="auto"/>
          <w:sz w:val="32"/>
          <w:szCs w:val="32"/>
        </w:rPr>
        <w:t>动态适应性调整原则</w:t>
      </w:r>
      <w:r>
        <w:rPr>
          <w:rFonts w:hint="eastAsia" w:ascii="仿宋_GB2312" w:hAnsi="仿宋_GB2312" w:eastAsia="仿宋_GB2312"/>
          <w:color w:val="auto"/>
          <w:sz w:val="32"/>
          <w:szCs w:val="32"/>
        </w:rPr>
        <w:t>以及</w:t>
      </w:r>
      <w:r>
        <w:rPr>
          <w:rFonts w:hint="eastAsia" w:ascii="仿宋_GB2312" w:hAnsi="仿宋_GB2312" w:eastAsia="仿宋_GB2312" w:cs="Times New Roman"/>
          <w:color w:val="auto"/>
          <w:sz w:val="32"/>
          <w:szCs w:val="32"/>
        </w:rPr>
        <w:t>循序渐进原则</w:t>
      </w:r>
      <w:r>
        <w:rPr>
          <w:rFonts w:hint="eastAsia" w:ascii="仿宋_GB2312" w:hAnsi="仿宋_GB2312" w:eastAsia="仿宋_GB2312"/>
          <w:color w:val="auto"/>
          <w:sz w:val="32"/>
          <w:szCs w:val="32"/>
        </w:rPr>
        <w:t>。风险的识别与计量主要通过压力测试的方式开展，采取定性与定量方式相结合的方法，</w:t>
      </w:r>
      <w:r>
        <w:rPr>
          <w:rFonts w:hint="eastAsia" w:ascii="仿宋_GB2312" w:hAnsi="仿宋_GB2312" w:eastAsia="仿宋_GB2312" w:cs="Times New Roman"/>
          <w:color w:val="auto"/>
          <w:sz w:val="32"/>
          <w:szCs w:val="32"/>
        </w:rPr>
        <w:t>对影响目标实现的潜在事项出现的可能性和影响程度进行度量</w:t>
      </w:r>
      <w:r>
        <w:rPr>
          <w:rFonts w:hint="eastAsia" w:ascii="仿宋_GB2312" w:hAnsi="仿宋_GB2312" w:eastAsia="仿宋_GB2312"/>
          <w:color w:val="auto"/>
          <w:sz w:val="32"/>
          <w:szCs w:val="32"/>
        </w:rPr>
        <w:t>。</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textAlignment w:val="auto"/>
        <w:outlineLvl w:val="9"/>
        <w:rPr>
          <w:rFonts w:ascii="仿宋_GB2312" w:eastAsia="仿宋_GB2312" w:cs="宋体" w:hAnsiTheme="minorEastAsia"/>
          <w:b/>
          <w:bCs/>
          <w:color w:val="auto"/>
          <w:kern w:val="0"/>
          <w:sz w:val="32"/>
          <w:szCs w:val="32"/>
        </w:rPr>
      </w:pPr>
      <w:r>
        <w:rPr>
          <w:rFonts w:hint="eastAsia" w:ascii="仿宋_GB2312" w:eastAsia="仿宋_GB2312" w:cs="宋体" w:hAnsiTheme="minorEastAsia"/>
          <w:b/>
          <w:bCs/>
          <w:color w:val="auto"/>
          <w:kern w:val="0"/>
          <w:sz w:val="32"/>
          <w:szCs w:val="32"/>
        </w:rPr>
        <w:t>7.2面临的各种风险及相应对策</w:t>
      </w:r>
    </w:p>
    <w:p>
      <w:pPr>
        <w:pStyle w:val="11"/>
        <w:keepNext w:val="0"/>
        <w:keepLines w:val="0"/>
        <w:pageBreakBefore w:val="0"/>
        <w:kinsoku/>
        <w:wordWrap/>
        <w:overflowPunct/>
        <w:topLinePunct w:val="0"/>
        <w:autoSpaceDE/>
        <w:autoSpaceDN/>
        <w:bidi w:val="0"/>
        <w:adjustRightInd/>
        <w:snapToGrid/>
        <w:spacing w:line="500" w:lineRule="exact"/>
        <w:ind w:firstLine="640"/>
        <w:textAlignment w:val="auto"/>
        <w:outlineLvl w:val="9"/>
        <w:rPr>
          <w:rFonts w:ascii="仿宋_GB2312" w:eastAsia="仿宋_GB2312" w:cs="宋体" w:hAnsiTheme="minorEastAsia"/>
          <w:color w:val="auto"/>
          <w:kern w:val="0"/>
          <w:sz w:val="32"/>
          <w:szCs w:val="32"/>
          <w:highlight w:val="none"/>
        </w:rPr>
      </w:pPr>
      <w:r>
        <w:rPr>
          <w:rFonts w:hint="eastAsia" w:ascii="仿宋_GB2312" w:eastAsia="仿宋_GB2312" w:cs="宋体" w:hAnsiTheme="minorEastAsia"/>
          <w:color w:val="auto"/>
          <w:kern w:val="0"/>
          <w:sz w:val="32"/>
          <w:szCs w:val="32"/>
        </w:rPr>
        <w:t>当前，本行面对的风险因素主要有信用风险、市场风险、操作风险和信息技术风险等。报告期内，本行根据中国银监会《农村中小金融机构风险管理机制建设指引》等文件精神，积极落实风险管理建设工作，通过建立健全风险管理组织体系、全面梳理管理制度、开展制度后评价、落实内部控制审计监督，优化了授信评审、资金营运、运营管理、核心业务、中间业务、电子银行、信息科技、安全保卫等风险管理机制、优化考核问责和薪酬激励机制、落实全面风险评价评估、开展资本充足和流动性压力测试等一系列风险管理手段，有效提升了本行风险管理工作，促进了各项业务稳健发展</w:t>
      </w:r>
      <w:r>
        <w:rPr>
          <w:rFonts w:hint="eastAsia" w:ascii="仿宋_GB2312" w:eastAsia="仿宋_GB2312" w:cs="宋体" w:hAnsiTheme="minorEastAsia"/>
          <w:color w:val="auto"/>
          <w:kern w:val="0"/>
          <w:sz w:val="32"/>
          <w:szCs w:val="32"/>
          <w:highlight w:val="none"/>
        </w:rPr>
        <w:t>。202</w:t>
      </w:r>
      <w:r>
        <w:rPr>
          <w:rFonts w:hint="eastAsia" w:ascii="仿宋_GB2312" w:eastAsia="仿宋_GB2312" w:cs="宋体" w:hAnsiTheme="minorEastAsia"/>
          <w:color w:val="auto"/>
          <w:kern w:val="0"/>
          <w:sz w:val="32"/>
          <w:szCs w:val="32"/>
          <w:highlight w:val="none"/>
          <w:lang w:val="en-US" w:eastAsia="zh-CN"/>
        </w:rPr>
        <w:t>5</w:t>
      </w:r>
      <w:r>
        <w:rPr>
          <w:rFonts w:hint="eastAsia" w:ascii="仿宋_GB2312" w:eastAsia="仿宋_GB2312" w:cs="宋体" w:hAnsiTheme="minorEastAsia"/>
          <w:color w:val="auto"/>
          <w:kern w:val="0"/>
          <w:sz w:val="32"/>
          <w:szCs w:val="32"/>
          <w:highlight w:val="none"/>
        </w:rPr>
        <w:t>年，本行各项监管指标均达到或</w:t>
      </w:r>
      <w:r>
        <w:rPr>
          <w:rFonts w:hint="eastAsia" w:ascii="仿宋_GB2312" w:eastAsia="仿宋_GB2312" w:cs="宋体" w:hAnsiTheme="minorEastAsia"/>
          <w:color w:val="auto"/>
          <w:kern w:val="0"/>
          <w:sz w:val="32"/>
          <w:szCs w:val="32"/>
          <w:highlight w:val="none"/>
          <w:lang w:eastAsia="zh-CN"/>
        </w:rPr>
        <w:t>优于</w:t>
      </w:r>
      <w:r>
        <w:rPr>
          <w:rFonts w:hint="eastAsia" w:ascii="仿宋_GB2312" w:eastAsia="仿宋_GB2312" w:cs="宋体" w:hAnsiTheme="minorEastAsia"/>
          <w:color w:val="auto"/>
          <w:kern w:val="0"/>
          <w:sz w:val="32"/>
          <w:szCs w:val="32"/>
          <w:highlight w:val="none"/>
        </w:rPr>
        <w:t>监</w:t>
      </w:r>
      <w:r>
        <w:rPr>
          <w:rFonts w:hint="eastAsia" w:ascii="仿宋_GB2312" w:eastAsia="仿宋_GB2312" w:cs="宋体" w:hAnsiTheme="minorEastAsia"/>
          <w:color w:val="auto"/>
          <w:kern w:val="0"/>
          <w:sz w:val="32"/>
          <w:szCs w:val="32"/>
          <w:highlight w:val="none"/>
          <w:lang w:eastAsia="zh-CN"/>
        </w:rPr>
        <w:t>管</w:t>
      </w:r>
      <w:r>
        <w:rPr>
          <w:rFonts w:hint="eastAsia" w:ascii="仿宋_GB2312" w:eastAsia="仿宋_GB2312" w:cs="宋体" w:hAnsiTheme="minorEastAsia"/>
          <w:color w:val="auto"/>
          <w:kern w:val="0"/>
          <w:sz w:val="32"/>
          <w:szCs w:val="32"/>
          <w:highlight w:val="none"/>
        </w:rPr>
        <w:t>部门法定监管标准。</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ascii="仿宋_GB2312" w:eastAsia="仿宋_GB2312" w:cs="宋体" w:hAnsiTheme="minorEastAsia"/>
          <w:b/>
          <w:color w:val="auto"/>
          <w:kern w:val="0"/>
          <w:sz w:val="32"/>
          <w:szCs w:val="32"/>
        </w:rPr>
      </w:pPr>
      <w:r>
        <w:rPr>
          <w:rFonts w:hint="eastAsia" w:ascii="仿宋_GB2312" w:eastAsia="仿宋_GB2312" w:cs="宋体" w:hAnsiTheme="minorEastAsia"/>
          <w:b/>
          <w:color w:val="auto"/>
          <w:kern w:val="0"/>
          <w:sz w:val="32"/>
          <w:szCs w:val="32"/>
        </w:rPr>
        <w:t>7.2.1信用风险状况</w:t>
      </w:r>
    </w:p>
    <w:p>
      <w:pPr>
        <w:keepNext w:val="0"/>
        <w:keepLines w:val="0"/>
        <w:pageBreakBefore w:val="0"/>
        <w:kinsoku/>
        <w:wordWrap/>
        <w:overflowPunct/>
        <w:topLinePunct w:val="0"/>
        <w:autoSpaceDE/>
        <w:autoSpaceDN/>
        <w:bidi w:val="0"/>
        <w:adjustRightInd/>
        <w:snapToGrid/>
        <w:spacing w:line="500" w:lineRule="exact"/>
        <w:ind w:firstLine="645"/>
        <w:jc w:val="left"/>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信用风险主要是因流动性不足，发生存款下降、挤兑或大量贷款风险管理失控、到期贷款不能按时收回而引发的信用风险。本行建立了覆盖全行客户和信用、担保贷款及流动性管理的信用风险防范体系，指导经营机构的业务拓展方向，合理配置信贷规模、资金营运和流动资金。</w:t>
      </w:r>
      <w:r>
        <w:rPr>
          <w:rFonts w:hint="eastAsia" w:ascii="仿宋_GB2312" w:eastAsia="仿宋_GB2312" w:cs="宋体" w:hAnsiTheme="minorEastAsia"/>
          <w:color w:val="auto"/>
          <w:kern w:val="0"/>
          <w:sz w:val="32"/>
          <w:szCs w:val="32"/>
          <w:highlight w:val="none"/>
        </w:rPr>
        <w:t>一是建立了完善的贷款风险管理机制。2025年制定和修订完善了《大余农商银行“百福·余企贷”管理办法(试行)》、《大余农商银行“百福·流水易贷”管理办法（修订）》、《大余农商银行“百福•乡情贷”管理办法》、《大余农商银行“百福•余商贷”贷款管理办法》等，并严格按管理办法开展评级授信工作，有效防范了信贷风险。二是持续提升信贷资产质量。在贯彻落实《全面风险管理办法》的基础上，制定了《大余农商银行贷款贷后管理暂行办法》、《大余农商银行贷款“三查”指导操作实施细则（试行）》《大余农商银行不良贷款清收大会战实施方案》，持续推进全员清收，提升了全行信贷资产管理及不良资产处置水平。三是加强了资金营运业务风险管理。本行</w:t>
      </w:r>
      <w:r>
        <w:rPr>
          <w:rFonts w:hint="eastAsia" w:ascii="仿宋_GB2312" w:eastAsia="仿宋_GB2312" w:cs="宋体" w:hAnsiTheme="minorEastAsia"/>
          <w:color w:val="auto"/>
          <w:kern w:val="0"/>
          <w:sz w:val="32"/>
          <w:szCs w:val="32"/>
          <w:highlight w:val="none"/>
          <w:lang w:eastAsia="zh-CN"/>
        </w:rPr>
        <w:t>制定</w:t>
      </w:r>
      <w:r>
        <w:rPr>
          <w:rFonts w:hint="eastAsia" w:ascii="仿宋_GB2312" w:eastAsia="仿宋_GB2312" w:cs="宋体" w:hAnsiTheme="minorEastAsia"/>
          <w:color w:val="auto"/>
          <w:kern w:val="0"/>
          <w:sz w:val="32"/>
          <w:szCs w:val="32"/>
          <w:highlight w:val="none"/>
        </w:rPr>
        <w:t>了</w:t>
      </w:r>
      <w:r>
        <w:rPr>
          <w:rFonts w:hint="eastAsia" w:ascii="仿宋_GB2312" w:eastAsia="仿宋_GB2312" w:cs="宋体" w:hAnsiTheme="minorEastAsia"/>
          <w:color w:val="auto"/>
          <w:kern w:val="0"/>
          <w:sz w:val="32"/>
          <w:szCs w:val="32"/>
          <w:highlight w:val="none"/>
          <w:lang w:eastAsia="zh-CN"/>
        </w:rPr>
        <w:t>《</w:t>
      </w:r>
      <w:r>
        <w:rPr>
          <w:rFonts w:hint="eastAsia" w:ascii="仿宋_GB2312" w:eastAsia="仿宋_GB2312" w:cs="宋体" w:hAnsiTheme="minorEastAsia"/>
          <w:color w:val="auto"/>
          <w:kern w:val="0"/>
          <w:sz w:val="32"/>
          <w:szCs w:val="32"/>
          <w:highlight w:val="none"/>
        </w:rPr>
        <w:t>大余农商银行</w:t>
      </w:r>
      <w:r>
        <w:rPr>
          <w:rFonts w:hint="eastAsia" w:ascii="仿宋_GB2312" w:eastAsia="仿宋_GB2312" w:cs="宋体" w:hAnsiTheme="minorEastAsia"/>
          <w:color w:val="auto"/>
          <w:kern w:val="0"/>
          <w:sz w:val="32"/>
          <w:szCs w:val="32"/>
          <w:highlight w:val="none"/>
          <w:lang w:eastAsia="zh-CN"/>
        </w:rPr>
        <w:t>债券</w:t>
      </w:r>
      <w:r>
        <w:rPr>
          <w:rFonts w:hint="eastAsia" w:ascii="仿宋_GB2312" w:eastAsia="仿宋_GB2312" w:cs="宋体" w:hAnsiTheme="minorEastAsia"/>
          <w:color w:val="auto"/>
          <w:kern w:val="0"/>
          <w:sz w:val="32"/>
          <w:szCs w:val="32"/>
          <w:highlight w:val="none"/>
        </w:rPr>
        <w:t>业务集中度授信管理办法</w:t>
      </w:r>
      <w:r>
        <w:rPr>
          <w:rFonts w:hint="eastAsia" w:ascii="仿宋_GB2312" w:eastAsia="仿宋_GB2312" w:cs="宋体" w:hAnsiTheme="minorEastAsia"/>
          <w:color w:val="auto"/>
          <w:kern w:val="0"/>
          <w:sz w:val="32"/>
          <w:szCs w:val="32"/>
          <w:highlight w:val="none"/>
          <w:lang w:eastAsia="zh-CN"/>
        </w:rPr>
        <w:t>》等</w:t>
      </w:r>
      <w:r>
        <w:rPr>
          <w:rFonts w:hint="eastAsia" w:ascii="仿宋_GB2312" w:eastAsia="仿宋_GB2312" w:cs="宋体" w:hAnsiTheme="minorEastAsia"/>
          <w:color w:val="auto"/>
          <w:kern w:val="0"/>
          <w:sz w:val="32"/>
          <w:szCs w:val="32"/>
          <w:highlight w:val="none"/>
        </w:rPr>
        <w:t>，确保审慎、合规开展资金营运业务。四是开展资本充足率、流动性风险压力测试。本行按要求开展了资本充足率、流动性压力测试，根据测试结果及时调整本行流动性管理及经营策略，有效防范了流动性风险。</w:t>
      </w:r>
      <w:r>
        <w:rPr>
          <w:rFonts w:hint="eastAsia" w:ascii="仿宋_GB2312" w:eastAsia="仿宋_GB2312" w:cs="宋体" w:hAnsiTheme="minorEastAsia"/>
          <w:color w:val="auto"/>
          <w:kern w:val="0"/>
          <w:sz w:val="32"/>
          <w:szCs w:val="32"/>
        </w:rPr>
        <w:t>五是建立流动性风险监测预警机制。本行对资本充足率、流动性等关键风险指标进行持续跟踪监测和风险评价，密切关注流动性指标变化情况以及外部诱因变化情况，适时采取有效应对措施，将流动性风险指标控制在正常值范围内，增强了流动性风险应对能力。</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ascii="仿宋_GB2312" w:eastAsia="仿宋_GB2312" w:cs="宋体" w:hAnsiTheme="minorEastAsia"/>
          <w:b/>
          <w:color w:val="auto"/>
          <w:kern w:val="0"/>
          <w:sz w:val="32"/>
          <w:szCs w:val="32"/>
        </w:rPr>
      </w:pPr>
      <w:r>
        <w:rPr>
          <w:rFonts w:hint="eastAsia" w:ascii="仿宋_GB2312" w:eastAsia="仿宋_GB2312" w:cs="宋体" w:hAnsiTheme="minorEastAsia"/>
          <w:b/>
          <w:color w:val="auto"/>
          <w:kern w:val="0"/>
          <w:sz w:val="32"/>
          <w:szCs w:val="32"/>
        </w:rPr>
        <w:t>7.2.2市场风险状况</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color w:val="auto"/>
          <w:kern w:val="0"/>
          <w:sz w:val="32"/>
          <w:szCs w:val="32"/>
          <w:lang w:val="en-US" w:eastAsia="zh-CN"/>
        </w:rPr>
      </w:pPr>
      <w:r>
        <w:rPr>
          <w:rFonts w:hint="eastAsia" w:ascii="仿宋_GB2312" w:eastAsia="仿宋_GB2312" w:cs="宋体" w:hAnsiTheme="minorEastAsia"/>
          <w:color w:val="auto"/>
          <w:kern w:val="0"/>
          <w:sz w:val="32"/>
          <w:szCs w:val="32"/>
        </w:rPr>
        <w:t>本行的市场风险主要为存贷款利率风险和债券投资业务风险。为了防范市场风险，本行采取了一系列措施：一是科学合理进行存贷款利率定价。本行根据人民银行相关文件精神，结合实际，科学合理地定价存款利率，促使存款持续稳定增长，确保有充足的信贷资金。同时，遵照</w:t>
      </w:r>
      <w:r>
        <w:rPr>
          <w:rFonts w:hint="eastAsia" w:ascii="仿宋_GB2312" w:eastAsia="仿宋_GB2312" w:cs="宋体" w:hAnsiTheme="minorEastAsia"/>
          <w:color w:val="auto"/>
          <w:kern w:val="0"/>
          <w:sz w:val="32"/>
          <w:szCs w:val="32"/>
          <w:lang w:eastAsia="zh-CN"/>
        </w:rPr>
        <w:t>联合银行</w:t>
      </w:r>
      <w:r>
        <w:rPr>
          <w:rFonts w:hint="eastAsia" w:ascii="仿宋_GB2312" w:eastAsia="仿宋_GB2312" w:cs="宋体" w:hAnsiTheme="minorEastAsia"/>
          <w:color w:val="auto"/>
          <w:kern w:val="0"/>
          <w:sz w:val="32"/>
          <w:szCs w:val="32"/>
        </w:rPr>
        <w:t>要求，并结合实际</w:t>
      </w:r>
      <w:r>
        <w:rPr>
          <w:rFonts w:hint="eastAsia" w:ascii="仿宋_GB2312" w:eastAsia="仿宋_GB2312" w:cs="宋体" w:hAnsiTheme="minorEastAsia"/>
          <w:color w:val="auto"/>
          <w:kern w:val="0"/>
          <w:sz w:val="32"/>
          <w:szCs w:val="32"/>
          <w:lang w:eastAsia="zh-CN"/>
        </w:rPr>
        <w:t>，</w:t>
      </w:r>
      <w:r>
        <w:rPr>
          <w:rFonts w:hint="eastAsia" w:ascii="仿宋_GB2312" w:eastAsia="仿宋_GB2312" w:cs="宋体" w:hAnsiTheme="minorEastAsia"/>
          <w:color w:val="auto"/>
          <w:kern w:val="0"/>
          <w:sz w:val="32"/>
          <w:szCs w:val="32"/>
          <w:highlight w:val="none"/>
          <w:lang w:eastAsia="zh-CN"/>
        </w:rPr>
        <w:t>贯彻执行</w:t>
      </w:r>
      <w:r>
        <w:rPr>
          <w:rFonts w:hint="eastAsia" w:ascii="仿宋_GB2312" w:eastAsia="仿宋_GB2312" w:cs="宋体" w:hAnsiTheme="minorEastAsia"/>
          <w:color w:val="auto"/>
          <w:kern w:val="0"/>
          <w:sz w:val="32"/>
          <w:szCs w:val="32"/>
          <w:highlight w:val="none"/>
        </w:rPr>
        <w:t>《大余农商银行贷款利率定价管理办法》及《大余农商银行存款利率定价管理办法（修订）》，有效应对存贷款利率市场化竞争。</w:t>
      </w:r>
      <w:r>
        <w:rPr>
          <w:rFonts w:hint="eastAsia" w:ascii="仿宋_GB2312" w:eastAsia="仿宋_GB2312" w:cs="宋体" w:hAnsiTheme="minorEastAsia"/>
          <w:color w:val="auto"/>
          <w:kern w:val="0"/>
          <w:sz w:val="32"/>
          <w:szCs w:val="32"/>
        </w:rPr>
        <w:t>二是持续监测分析存贷款利率风险状况。根据中国人民银行存贷款基准利率变动情况，及时调整本行存贷款利率，尽量使存贷款利率定价合理匹配，主动应对市场风险。三是加强了市场风险管理。本行密切关注国际国内金融市场走势，结合市场利率、股市、债市、汇市发展走势，在</w:t>
      </w:r>
      <w:r>
        <w:rPr>
          <w:rFonts w:hint="eastAsia" w:ascii="仿宋_GB2312" w:eastAsia="仿宋_GB2312" w:cs="宋体" w:hAnsiTheme="minorEastAsia"/>
          <w:color w:val="auto"/>
          <w:kern w:val="0"/>
          <w:sz w:val="32"/>
          <w:szCs w:val="32"/>
          <w:lang w:eastAsia="zh-CN"/>
        </w:rPr>
        <w:t>联合银行</w:t>
      </w:r>
      <w:r>
        <w:rPr>
          <w:rFonts w:hint="eastAsia" w:ascii="仿宋_GB2312" w:eastAsia="仿宋_GB2312" w:cs="宋体" w:hAnsiTheme="minorEastAsia"/>
          <w:color w:val="auto"/>
          <w:kern w:val="0"/>
          <w:sz w:val="32"/>
          <w:szCs w:val="32"/>
        </w:rPr>
        <w:t>的指导下对全行投融资规模、结构、期限等进行了相应的风险管理，积极防范市场风险。</w:t>
      </w:r>
      <w:r>
        <w:rPr>
          <w:rFonts w:hint="eastAsia" w:ascii="仿宋_GB2312" w:eastAsia="仿宋_GB2312" w:cs="宋体" w:hAnsiTheme="minorEastAsia"/>
          <w:color w:val="auto"/>
          <w:kern w:val="0"/>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ascii="仿宋_GB2312" w:eastAsia="仿宋_GB2312" w:cs="宋体" w:hAnsiTheme="minorEastAsia"/>
          <w:b/>
          <w:color w:val="auto"/>
          <w:kern w:val="0"/>
          <w:sz w:val="32"/>
          <w:szCs w:val="32"/>
        </w:rPr>
      </w:pPr>
      <w:r>
        <w:rPr>
          <w:rFonts w:hint="eastAsia" w:ascii="仿宋_GB2312" w:eastAsia="仿宋_GB2312" w:cs="宋体" w:hAnsiTheme="minorEastAsia"/>
          <w:b/>
          <w:color w:val="auto"/>
          <w:kern w:val="0"/>
          <w:sz w:val="32"/>
          <w:szCs w:val="32"/>
        </w:rPr>
        <w:t>7.2.3操作风险状况</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hint="eastAsia" w:ascii="仿宋_GB2312" w:eastAsia="仿宋_GB2312" w:cs="宋体" w:hAnsiTheme="minorEastAsia"/>
          <w:color w:val="0000FF"/>
          <w:kern w:val="0"/>
          <w:sz w:val="32"/>
          <w:szCs w:val="32"/>
        </w:rPr>
      </w:pPr>
      <w:r>
        <w:rPr>
          <w:rFonts w:hint="eastAsia" w:ascii="仿宋_GB2312" w:eastAsia="仿宋_GB2312" w:cs="宋体" w:hAnsiTheme="minorEastAsia"/>
          <w:color w:val="auto"/>
          <w:kern w:val="0"/>
          <w:sz w:val="32"/>
          <w:szCs w:val="32"/>
        </w:rPr>
        <w:t>操作风险是指由内部高管人员、员工违规操作或业务制度流程缺陷而引发的经营风险。本行建立了分类较为科学、覆盖经营管理各环节的制度和流程体系，实现了各部门、岗位、各业务之间全过程相互监督和制约。一是做好事前、事中各类风险防控工作。通过开展案件风险排查，对重要岗位、敏感环节和员工异常行为等为重点的操作风险常态化排查，制定并落实举报奖励制度，设立公布举报电话、邮箱，对员工实施有效监督，有效防范员工道德风险和操作风险。二是开展事后监督检查、风控系统核查，推进业务流程、员工操作规范化。全年开展了季度常规审计、运营主管履职考核、资产质量排查、信用卡和收单业务风险排查、互联网金融业务风险排查、柜面业务风险排查、贷款“三查”违规问题专项排查、贷后管理风险排查、金融市场业务领域案件风险风险排查、票据业务风险排查、远程监控预警及重点区域人员进出风险排查、行政印章专项排查、员工异常行为排查等，内审风控做到了全覆盖，有效防范了操作风险。三是大力推进信息科技建设，全面提升核心业务系统风险防范能力。2025年，按照</w:t>
      </w:r>
      <w:r>
        <w:rPr>
          <w:rFonts w:hint="eastAsia" w:ascii="仿宋_GB2312" w:eastAsia="仿宋_GB2312" w:cs="宋体" w:hAnsiTheme="minorEastAsia"/>
          <w:color w:val="auto"/>
          <w:kern w:val="0"/>
          <w:sz w:val="32"/>
          <w:szCs w:val="32"/>
          <w:lang w:eastAsia="zh-CN"/>
        </w:rPr>
        <w:t>联合银行</w:t>
      </w:r>
      <w:r>
        <w:rPr>
          <w:rFonts w:hint="eastAsia" w:ascii="仿宋_GB2312" w:eastAsia="仿宋_GB2312" w:cs="宋体" w:hAnsiTheme="minorEastAsia"/>
          <w:color w:val="auto"/>
          <w:kern w:val="0"/>
          <w:sz w:val="32"/>
          <w:szCs w:val="32"/>
        </w:rPr>
        <w:t xml:space="preserve">统一部署，优化了“信贷管理系统”、“统一柜员系统”、“票据业务系统”、“征信查询系统”、“统一登录门户”等，有效提升了本行防范操作风险能力及业务连续性。四是开展管理制度、业务流程后评价和全面风险评估。2025年，本行对目前的核心业务制度、组织行为制度以及监督保障制度等一系列制度，在制度合规性、可操作性、执行状况、执行效率、管理效率等方面，结合业务经营和管理实际，进行了客观真实的自评价，及时修订和完善不适应实际业务发展和管理要求的各项管理制度、操作流程，提升了管理水平和风险防控能力。  </w:t>
      </w:r>
    </w:p>
    <w:p>
      <w:pPr>
        <w:keepNext w:val="0"/>
        <w:keepLines w:val="0"/>
        <w:pageBreakBefore w:val="0"/>
        <w:kinsoku/>
        <w:wordWrap/>
        <w:overflowPunct/>
        <w:topLinePunct w:val="0"/>
        <w:autoSpaceDE/>
        <w:autoSpaceDN/>
        <w:bidi w:val="0"/>
        <w:adjustRightInd/>
        <w:snapToGrid/>
        <w:spacing w:line="500" w:lineRule="exact"/>
        <w:ind w:firstLine="636" w:firstLineChars="198"/>
        <w:textAlignment w:val="auto"/>
        <w:outlineLvl w:val="9"/>
        <w:rPr>
          <w:rFonts w:hint="eastAsia" w:ascii="仿宋_GB2312" w:eastAsia="仿宋_GB2312" w:cs="宋体" w:hAnsiTheme="minorEastAsia"/>
          <w:b/>
          <w:bCs/>
          <w:color w:val="auto"/>
          <w:kern w:val="0"/>
          <w:sz w:val="32"/>
          <w:szCs w:val="32"/>
        </w:rPr>
      </w:pPr>
      <w:r>
        <w:rPr>
          <w:rFonts w:hint="eastAsia" w:ascii="仿宋_GB2312" w:eastAsia="仿宋_GB2312" w:cs="宋体" w:hAnsiTheme="minorEastAsia"/>
          <w:b/>
          <w:bCs/>
          <w:color w:val="auto"/>
          <w:kern w:val="0"/>
          <w:sz w:val="32"/>
          <w:szCs w:val="32"/>
        </w:rPr>
        <w:t>7.2.4信息技术风险</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信息技术风险主要是信息网络突发事件或不法分子借助网络系统、高科技手段实施犯罪而引发的风险。本行推进了信息科技整章建制工作，不断完善信息科技标准规范，成立了网络与信息安全领导小组，加强网络与信息安全工作，落实工作责任；持续开展信息安全建设项目，如中心机房核心网络设备升级，采取“双机热备”运行，提高了信息科技风险防御能力；强化了软件质量控制与管理，推行软件正版化管理，辖内所有内网PC机（包含业务终端）都安装了专业的杀毒软件，能及时更新病毒库，并实时跟踪内网防病毒管理情况，加强各网点的网络监控力度，完善网点网络的实施监控系统；持续做好内部安全检查与保障，每季度至少组织一次计算机安全运行检查，防范了信息技术风险；组织开展了《信息科技网络安全》培训，并加强了对支行网点全面检查和现场辅导；开展了网络应急演练，一步提升</w:t>
      </w:r>
      <w:r>
        <w:rPr>
          <w:rFonts w:hint="eastAsia" w:ascii="仿宋_GB2312" w:eastAsia="仿宋_GB2312" w:cs="宋体" w:hAnsiTheme="minorEastAsia"/>
          <w:color w:val="auto"/>
          <w:kern w:val="0"/>
          <w:sz w:val="32"/>
          <w:szCs w:val="32"/>
          <w:lang w:eastAsia="zh-CN"/>
        </w:rPr>
        <w:t>本</w:t>
      </w:r>
      <w:r>
        <w:rPr>
          <w:rFonts w:hint="eastAsia" w:ascii="仿宋_GB2312" w:eastAsia="仿宋_GB2312" w:cs="宋体" w:hAnsiTheme="minorEastAsia"/>
          <w:color w:val="auto"/>
          <w:kern w:val="0"/>
          <w:sz w:val="32"/>
          <w:szCs w:val="32"/>
        </w:rPr>
        <w:t>行网络突发故障应急处置能力。</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3" w:firstLineChars="200"/>
        <w:jc w:val="left"/>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b/>
          <w:bCs/>
          <w:color w:val="auto"/>
          <w:kern w:val="0"/>
          <w:sz w:val="32"/>
          <w:szCs w:val="32"/>
        </w:rPr>
        <w:t xml:space="preserve">7.3内部控制制度的完整性、合理性和有效性 </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本行参照《中华人民共和国商业银行法》《商业银行内部控制指引》《银行业金融机构信息系统风险管理指引》和《江西省农村信用社风险合规管理法规手册》等相关法律、规章及规范性文件要求，从控制环境、风险识别、内控措施、信息反馈、监督评价等方面，</w:t>
      </w:r>
      <w:r>
        <w:rPr>
          <w:rFonts w:hint="eastAsia" w:ascii="仿宋_GB2312" w:eastAsia="仿宋_GB2312" w:cs="宋体" w:hAnsiTheme="minorEastAsia"/>
          <w:color w:val="auto"/>
          <w:kern w:val="0"/>
          <w:sz w:val="32"/>
          <w:szCs w:val="32"/>
          <w:highlight w:val="none"/>
        </w:rPr>
        <w:t>全年共制订了制度规章、管理办法等共计</w:t>
      </w:r>
      <w:r>
        <w:rPr>
          <w:rFonts w:hint="eastAsia" w:ascii="仿宋_GB2312" w:eastAsia="仿宋_GB2312" w:cs="宋体" w:hAnsiTheme="minorEastAsia"/>
          <w:color w:val="auto"/>
          <w:kern w:val="0"/>
          <w:sz w:val="32"/>
          <w:szCs w:val="32"/>
          <w:highlight w:val="none"/>
          <w:lang w:val="en-US" w:eastAsia="zh-CN"/>
        </w:rPr>
        <w:t>71</w:t>
      </w:r>
      <w:r>
        <w:rPr>
          <w:rFonts w:hint="eastAsia" w:ascii="仿宋_GB2312" w:eastAsia="仿宋_GB2312" w:cs="宋体" w:hAnsiTheme="minorEastAsia"/>
          <w:color w:val="auto"/>
          <w:kern w:val="0"/>
          <w:sz w:val="32"/>
          <w:szCs w:val="32"/>
          <w:highlight w:val="none"/>
        </w:rPr>
        <w:t>个。经梳理评</w:t>
      </w:r>
      <w:r>
        <w:rPr>
          <w:rFonts w:hint="eastAsia" w:ascii="仿宋_GB2312" w:eastAsia="仿宋_GB2312" w:cs="宋体" w:hAnsiTheme="minorEastAsia"/>
          <w:color w:val="auto"/>
          <w:kern w:val="0"/>
          <w:sz w:val="32"/>
          <w:szCs w:val="32"/>
        </w:rPr>
        <w:t>价，本行内控制度均符合法律法规、行政规章和监管要求，能够覆盖各业务条线，能有效控制业务风险，各项制度在日常经营活动中得到贯彻执行，并由职能部门、审计部门落实监督检查。</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ascii="仿宋_GB2312" w:eastAsia="仿宋_GB2312" w:cs="宋体" w:hAnsiTheme="minorEastAsia"/>
          <w:b/>
          <w:bCs/>
          <w:color w:val="auto"/>
          <w:kern w:val="0"/>
          <w:sz w:val="32"/>
          <w:szCs w:val="32"/>
        </w:rPr>
      </w:pPr>
      <w:r>
        <w:rPr>
          <w:rFonts w:hint="eastAsia" w:ascii="仿宋_GB2312" w:eastAsia="仿宋_GB2312" w:cs="宋体" w:hAnsiTheme="minorEastAsia"/>
          <w:b/>
          <w:bCs/>
          <w:color w:val="auto"/>
          <w:kern w:val="0"/>
          <w:sz w:val="32"/>
          <w:szCs w:val="32"/>
        </w:rPr>
        <w:t>7.4其他风险状况</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截止202</w:t>
      </w:r>
      <w:r>
        <w:rPr>
          <w:rFonts w:hint="eastAsia" w:ascii="仿宋_GB2312" w:eastAsia="仿宋_GB2312" w:cs="宋体" w:hAnsiTheme="minorEastAsia"/>
          <w:color w:val="auto"/>
          <w:kern w:val="0"/>
          <w:sz w:val="32"/>
          <w:szCs w:val="32"/>
          <w:lang w:val="en-US" w:eastAsia="zh-CN"/>
        </w:rPr>
        <w:t>5</w:t>
      </w:r>
      <w:r>
        <w:rPr>
          <w:rFonts w:hint="eastAsia" w:ascii="仿宋_GB2312" w:eastAsia="仿宋_GB2312" w:cs="宋体" w:hAnsiTheme="minorEastAsia"/>
          <w:color w:val="auto"/>
          <w:kern w:val="0"/>
          <w:sz w:val="32"/>
          <w:szCs w:val="32"/>
        </w:rPr>
        <w:t>年末，本行未发现内部控制制度在完整性、合理性和有效性等方面存在重大缺陷及其他风险。</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八、202</w:t>
      </w:r>
      <w:r>
        <w:rPr>
          <w:rFonts w:hint="eastAsia" w:ascii="黑体" w:hAnsi="黑体" w:eastAsia="黑体" w:cs="黑体"/>
          <w:b w:val="0"/>
          <w:bCs/>
          <w:color w:val="auto"/>
          <w:kern w:val="0"/>
          <w:sz w:val="32"/>
          <w:szCs w:val="32"/>
          <w:highlight w:val="none"/>
          <w:lang w:val="en-US" w:eastAsia="zh-CN"/>
        </w:rPr>
        <w:t>5</w:t>
      </w:r>
      <w:r>
        <w:rPr>
          <w:rFonts w:hint="eastAsia" w:ascii="黑体" w:hAnsi="黑体" w:eastAsia="黑体" w:cs="黑体"/>
          <w:b w:val="0"/>
          <w:bCs/>
          <w:color w:val="auto"/>
          <w:kern w:val="0"/>
          <w:sz w:val="32"/>
          <w:szCs w:val="32"/>
          <w:highlight w:val="none"/>
        </w:rPr>
        <w:t>年度金融消费者权益保护工作情况</w:t>
      </w:r>
    </w:p>
    <w:p>
      <w:pPr>
        <w:keepNext w:val="0"/>
        <w:keepLines w:val="0"/>
        <w:pageBreakBefore w:val="0"/>
        <w:kinsoku/>
        <w:wordWrap/>
        <w:overflowPunct/>
        <w:topLinePunct w:val="0"/>
        <w:autoSpaceDE/>
        <w:autoSpaceDN/>
        <w:bidi w:val="0"/>
        <w:adjustRightInd/>
        <w:snapToGrid/>
        <w:spacing w:line="500" w:lineRule="exact"/>
        <w:ind w:firstLine="636" w:firstLineChars="198"/>
        <w:textAlignment w:val="auto"/>
        <w:outlineLvl w:val="9"/>
        <w:rPr>
          <w:rFonts w:ascii="仿宋_GB2312" w:hAnsi="仿宋" w:eastAsia="仿宋_GB2312" w:cs="宋体"/>
          <w:b/>
          <w:color w:val="auto"/>
          <w:kern w:val="0"/>
          <w:sz w:val="32"/>
          <w:szCs w:val="32"/>
          <w:highlight w:val="none"/>
        </w:rPr>
      </w:pPr>
      <w:r>
        <w:rPr>
          <w:rFonts w:hint="eastAsia" w:ascii="仿宋_GB2312" w:hAnsi="仿宋" w:eastAsia="仿宋_GB2312" w:cs="宋体"/>
          <w:b/>
          <w:color w:val="auto"/>
          <w:kern w:val="0"/>
          <w:sz w:val="32"/>
          <w:szCs w:val="32"/>
          <w:highlight w:val="none"/>
        </w:rPr>
        <w:t>8.1消费者权益保护规章制度建设</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本行制定了《大余农商银行金融消费者权益保护管理办法》以及宣传教育、投诉处理、考核评价、信息保护等相关制度和多项应急预案等一系列规制，并不断加强金融消费者权益保护工作机制建设，完善消保制度体系。2025年度制定了《大余农商银行“百福.余商贷”管理办法（试行）》、《大余农商银行“百福.余企贷”管理办法（试行）》、《大余农商银行“百福”流水易贷“业务管理办法（修订）》、《大余农商银行存款业务管理办法（试行）》、《大余农商银行单位协定存款管理办法（修订）》、《大余农商银行理财业务管理办法（修订）》、《大余农商银行员工参与民间借贷、非法集资应急预案管理办法》等多项业务管理制度，进一步加强了对消费者信息安全、投诉及接受金融产品和服务等合法权益的维护保障。在《大余农商银行202</w:t>
      </w:r>
      <w:r>
        <w:rPr>
          <w:rFonts w:hint="eastAsia" w:ascii="仿宋_GB2312" w:hAnsi="仿宋" w:eastAsia="仿宋_GB2312" w:cs="宋体"/>
          <w:color w:val="auto"/>
          <w:kern w:val="0"/>
          <w:sz w:val="32"/>
          <w:szCs w:val="32"/>
          <w:highlight w:val="none"/>
          <w:lang w:val="en-US" w:eastAsia="zh-CN"/>
        </w:rPr>
        <w:t>5</w:t>
      </w:r>
      <w:r>
        <w:rPr>
          <w:rFonts w:hint="eastAsia" w:ascii="仿宋_GB2312" w:hAnsi="仿宋" w:eastAsia="仿宋_GB2312" w:cs="宋体"/>
          <w:color w:val="auto"/>
          <w:kern w:val="0"/>
          <w:sz w:val="32"/>
          <w:szCs w:val="32"/>
          <w:highlight w:val="none"/>
        </w:rPr>
        <w:t>年员工绩效薪酬考核实施方案》中，</w:t>
      </w:r>
      <w:r>
        <w:rPr>
          <w:rFonts w:hint="eastAsia" w:ascii="仿宋_GB2312" w:hAnsi="仿宋" w:eastAsia="仿宋_GB2312" w:cs="宋体"/>
          <w:color w:val="auto"/>
          <w:kern w:val="0"/>
          <w:sz w:val="32"/>
          <w:szCs w:val="32"/>
          <w:highlight w:val="none"/>
          <w:lang w:val="en-US" w:eastAsia="zh-CN"/>
        </w:rPr>
        <w:t>增加</w:t>
      </w:r>
      <w:r>
        <w:rPr>
          <w:rFonts w:hint="eastAsia" w:ascii="仿宋_GB2312" w:hAnsi="仿宋" w:eastAsia="仿宋_GB2312" w:cs="宋体"/>
          <w:color w:val="auto"/>
          <w:kern w:val="0"/>
          <w:sz w:val="32"/>
          <w:szCs w:val="32"/>
          <w:highlight w:val="none"/>
        </w:rPr>
        <w:t>了对金融消费者权益保护工作考核，有效加强并促进了辖内网点投诉处理工作的管理机制，激励落实开展消费者权益保护工作。</w:t>
      </w:r>
    </w:p>
    <w:p>
      <w:pPr>
        <w:keepNext w:val="0"/>
        <w:keepLines w:val="0"/>
        <w:pageBreakBefore w:val="0"/>
        <w:kinsoku/>
        <w:wordWrap/>
        <w:overflowPunct/>
        <w:topLinePunct w:val="0"/>
        <w:autoSpaceDE/>
        <w:autoSpaceDN/>
        <w:bidi w:val="0"/>
        <w:adjustRightInd/>
        <w:snapToGrid/>
        <w:spacing w:line="500" w:lineRule="exact"/>
        <w:ind w:firstLine="636" w:firstLineChars="198"/>
        <w:textAlignment w:val="auto"/>
        <w:outlineLvl w:val="9"/>
        <w:rPr>
          <w:rFonts w:ascii="仿宋_GB2312" w:hAnsi="仿宋" w:eastAsia="仿宋_GB2312" w:cs="宋体"/>
          <w:b/>
          <w:color w:val="auto"/>
          <w:kern w:val="0"/>
          <w:sz w:val="32"/>
          <w:szCs w:val="32"/>
          <w:highlight w:val="none"/>
        </w:rPr>
      </w:pPr>
      <w:r>
        <w:rPr>
          <w:rFonts w:hint="eastAsia" w:ascii="仿宋_GB2312" w:hAnsi="仿宋" w:eastAsia="仿宋_GB2312" w:cs="宋体"/>
          <w:b/>
          <w:color w:val="auto"/>
          <w:kern w:val="0"/>
          <w:sz w:val="32"/>
          <w:szCs w:val="32"/>
          <w:highlight w:val="none"/>
        </w:rPr>
        <w:t>8.2消费者权益保护工作领导小组</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本行成立了消费者权益保护工作领导小组，负责消费者权益保护工作的执行，每年向高管层提交消费者权益保护工作的年度报告，明确</w:t>
      </w:r>
      <w:r>
        <w:rPr>
          <w:rFonts w:hint="eastAsia" w:ascii="仿宋_GB2312" w:hAnsi="仿宋" w:eastAsia="仿宋_GB2312" w:cs="宋体"/>
          <w:color w:val="auto"/>
          <w:kern w:val="0"/>
          <w:sz w:val="32"/>
          <w:szCs w:val="32"/>
          <w:highlight w:val="none"/>
          <w:lang w:val="en-US" w:eastAsia="zh-CN"/>
        </w:rPr>
        <w:t>法律</w:t>
      </w:r>
      <w:r>
        <w:rPr>
          <w:rFonts w:hint="eastAsia" w:ascii="仿宋_GB2312" w:hAnsi="仿宋" w:eastAsia="仿宋_GB2312" w:cs="宋体"/>
          <w:color w:val="auto"/>
          <w:kern w:val="0"/>
          <w:sz w:val="32"/>
          <w:szCs w:val="32"/>
          <w:highlight w:val="none"/>
        </w:rPr>
        <w:t>合规部为金融消费权益保护工作牵头部门，牵头负责消保工作的组织实施</w:t>
      </w:r>
      <w:r>
        <w:rPr>
          <w:rFonts w:hint="eastAsia" w:ascii="仿宋_GB2312" w:hAnsi="仿宋" w:eastAsia="仿宋_GB2312" w:cs="宋体"/>
          <w:color w:val="auto"/>
          <w:kern w:val="0"/>
          <w:sz w:val="32"/>
          <w:szCs w:val="32"/>
          <w:highlight w:val="none"/>
          <w:lang w:val="en-US" w:eastAsia="zh-CN"/>
        </w:rPr>
        <w:t>以及</w:t>
      </w:r>
      <w:r>
        <w:rPr>
          <w:rFonts w:hint="eastAsia" w:ascii="仿宋_GB2312" w:hAnsi="仿宋" w:eastAsia="仿宋_GB2312" w:cs="宋体"/>
          <w:color w:val="auto"/>
          <w:kern w:val="0"/>
          <w:sz w:val="32"/>
          <w:szCs w:val="32"/>
          <w:highlight w:val="none"/>
        </w:rPr>
        <w:t>投诉具体事项管理，各部门、分支机构负责相关具体事宜。其中，</w:t>
      </w:r>
      <w:r>
        <w:rPr>
          <w:rFonts w:hint="eastAsia" w:ascii="仿宋_GB2312" w:hAnsi="仿宋" w:eastAsia="仿宋_GB2312" w:cs="宋体"/>
          <w:color w:val="auto"/>
          <w:kern w:val="0"/>
          <w:sz w:val="32"/>
          <w:szCs w:val="32"/>
          <w:highlight w:val="none"/>
          <w:lang w:val="en-US" w:eastAsia="zh-CN"/>
        </w:rPr>
        <w:t>法律</w:t>
      </w:r>
      <w:r>
        <w:rPr>
          <w:rFonts w:hint="eastAsia" w:ascii="仿宋_GB2312" w:hAnsi="仿宋" w:eastAsia="仿宋_GB2312" w:cs="宋体"/>
          <w:color w:val="auto"/>
          <w:kern w:val="0"/>
          <w:sz w:val="32"/>
          <w:szCs w:val="32"/>
          <w:highlight w:val="none"/>
        </w:rPr>
        <w:t>合规部定员</w:t>
      </w:r>
      <w:r>
        <w:rPr>
          <w:rFonts w:hint="eastAsia" w:ascii="仿宋_GB2312" w:hAnsi="仿宋" w:eastAsia="仿宋_GB2312" w:cs="宋体"/>
          <w:color w:val="auto"/>
          <w:kern w:val="0"/>
          <w:sz w:val="32"/>
          <w:szCs w:val="32"/>
          <w:highlight w:val="none"/>
          <w:lang w:val="en-US" w:eastAsia="zh-CN"/>
        </w:rPr>
        <w:t>2</w:t>
      </w:r>
      <w:r>
        <w:rPr>
          <w:rFonts w:hint="eastAsia" w:ascii="仿宋_GB2312" w:hAnsi="仿宋" w:eastAsia="仿宋_GB2312" w:cs="宋体"/>
          <w:color w:val="auto"/>
          <w:kern w:val="0"/>
          <w:sz w:val="32"/>
          <w:szCs w:val="32"/>
          <w:highlight w:val="none"/>
        </w:rPr>
        <w:t>人，设置消保专岗，部门人员具备较为全面的素质及能力，具有一定法律工作能力。各部室、网点负责人为消费者权益保护工作第一责任人，具体日常事务由风险合规经理负责。按照监管部门要求，</w:t>
      </w: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设立了金融消费者权益保护站，并配置了2名消费者权益保护专员负责日常事务。</w:t>
      </w:r>
    </w:p>
    <w:p>
      <w:pPr>
        <w:keepNext w:val="0"/>
        <w:keepLines w:val="0"/>
        <w:pageBreakBefore w:val="0"/>
        <w:kinsoku/>
        <w:wordWrap/>
        <w:overflowPunct/>
        <w:topLinePunct w:val="0"/>
        <w:autoSpaceDE/>
        <w:autoSpaceDN/>
        <w:bidi w:val="0"/>
        <w:adjustRightInd/>
        <w:snapToGrid/>
        <w:spacing w:line="500" w:lineRule="exact"/>
        <w:ind w:firstLine="636" w:firstLineChars="198"/>
        <w:textAlignment w:val="auto"/>
        <w:outlineLvl w:val="9"/>
        <w:rPr>
          <w:rFonts w:ascii="仿宋_GB2312" w:hAnsi="仿宋" w:eastAsia="仿宋_GB2312" w:cs="宋体"/>
          <w:b/>
          <w:color w:val="auto"/>
          <w:kern w:val="0"/>
          <w:sz w:val="32"/>
          <w:szCs w:val="32"/>
          <w:highlight w:val="none"/>
        </w:rPr>
      </w:pPr>
      <w:r>
        <w:rPr>
          <w:rFonts w:hint="eastAsia" w:ascii="仿宋_GB2312" w:hAnsi="仿宋" w:eastAsia="仿宋_GB2312" w:cs="宋体"/>
          <w:b/>
          <w:color w:val="auto"/>
          <w:kern w:val="0"/>
          <w:sz w:val="32"/>
          <w:szCs w:val="32"/>
          <w:highlight w:val="none"/>
        </w:rPr>
        <w:t>8.3消费者权益保护工作开展情况</w:t>
      </w:r>
    </w:p>
    <w:p>
      <w:pPr>
        <w:keepNext w:val="0"/>
        <w:keepLines w:val="0"/>
        <w:pageBreakBefore w:val="0"/>
        <w:kinsoku/>
        <w:wordWrap/>
        <w:overflowPunct/>
        <w:topLinePunct w:val="0"/>
        <w:autoSpaceDE/>
        <w:autoSpaceDN/>
        <w:bidi w:val="0"/>
        <w:adjustRightInd/>
        <w:snapToGrid/>
        <w:spacing w:line="500" w:lineRule="exact"/>
        <w:ind w:firstLine="636" w:firstLineChars="198"/>
        <w:textAlignment w:val="auto"/>
        <w:outlineLvl w:val="9"/>
        <w:rPr>
          <w:rFonts w:ascii="仿宋_GB2312" w:hAnsi="仿宋" w:eastAsia="仿宋_GB2312" w:cs="宋体"/>
          <w:b/>
          <w:bCs/>
          <w:color w:val="auto"/>
          <w:kern w:val="0"/>
          <w:sz w:val="32"/>
          <w:szCs w:val="32"/>
          <w:highlight w:val="none"/>
        </w:rPr>
      </w:pPr>
      <w:r>
        <w:rPr>
          <w:rFonts w:hint="eastAsia" w:ascii="仿宋_GB2312" w:hAnsi="仿宋" w:eastAsia="仿宋_GB2312" w:cs="宋体"/>
          <w:b/>
          <w:bCs/>
          <w:color w:val="auto"/>
          <w:kern w:val="0"/>
          <w:sz w:val="32"/>
          <w:szCs w:val="32"/>
          <w:highlight w:val="none"/>
        </w:rPr>
        <w:t>8.3.1产品与服务管理情况</w:t>
      </w:r>
    </w:p>
    <w:p>
      <w:pPr>
        <w:keepNext w:val="0"/>
        <w:keepLines w:val="0"/>
        <w:pageBreakBefore w:val="0"/>
        <w:kinsoku/>
        <w:wordWrap/>
        <w:overflowPunct/>
        <w:topLinePunct w:val="0"/>
        <w:autoSpaceDE/>
        <w:autoSpaceDN/>
        <w:bidi w:val="0"/>
        <w:adjustRightInd/>
        <w:snapToGrid/>
        <w:spacing w:line="500" w:lineRule="exact"/>
        <w:ind w:firstLine="636" w:firstLineChars="198"/>
        <w:textAlignment w:val="auto"/>
        <w:outlineLvl w:val="9"/>
        <w:rPr>
          <w:rFonts w:ascii="仿宋_GB2312" w:hAnsi="仿宋" w:eastAsia="仿宋_GB2312" w:cs="宋体"/>
          <w:color w:val="auto"/>
          <w:kern w:val="0"/>
          <w:sz w:val="32"/>
          <w:szCs w:val="32"/>
          <w:highlight w:val="none"/>
        </w:rPr>
      </w:pPr>
      <w:r>
        <w:rPr>
          <w:rFonts w:hint="eastAsia" w:ascii="仿宋_GB2312" w:hAnsi="仿宋" w:eastAsia="仿宋_GB2312" w:cs="宋体"/>
          <w:b/>
          <w:color w:val="auto"/>
          <w:kern w:val="0"/>
          <w:sz w:val="32"/>
          <w:szCs w:val="32"/>
          <w:highlight w:val="none"/>
        </w:rPr>
        <w:t>产品准入开发方面</w:t>
      </w:r>
      <w:r>
        <w:rPr>
          <w:rFonts w:hint="eastAsia" w:ascii="仿宋_GB2312" w:hAnsi="仿宋" w:eastAsia="仿宋_GB2312" w:cs="宋体"/>
          <w:color w:val="auto"/>
          <w:kern w:val="0"/>
          <w:sz w:val="32"/>
          <w:szCs w:val="32"/>
          <w:highlight w:val="none"/>
        </w:rPr>
        <w:t>，年内</w:t>
      </w: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未自主开发产品和服务，如新增产品和服务，制定的管理办法需事前提交</w:t>
      </w:r>
      <w:r>
        <w:rPr>
          <w:rFonts w:hint="eastAsia" w:ascii="仿宋_GB2312" w:hAnsi="仿宋" w:eastAsia="仿宋_GB2312" w:cs="宋体"/>
          <w:color w:val="auto"/>
          <w:kern w:val="0"/>
          <w:sz w:val="32"/>
          <w:szCs w:val="32"/>
          <w:highlight w:val="none"/>
          <w:lang w:val="en-US" w:eastAsia="zh-CN"/>
        </w:rPr>
        <w:t>法律</w:t>
      </w:r>
      <w:r>
        <w:rPr>
          <w:rFonts w:hint="eastAsia" w:ascii="仿宋_GB2312" w:hAnsi="仿宋" w:eastAsia="仿宋_GB2312" w:cs="宋体"/>
          <w:color w:val="auto"/>
          <w:kern w:val="0"/>
          <w:sz w:val="32"/>
          <w:szCs w:val="32"/>
          <w:highlight w:val="none"/>
        </w:rPr>
        <w:t>合规部审查。</w:t>
      </w:r>
    </w:p>
    <w:p>
      <w:pPr>
        <w:keepNext w:val="0"/>
        <w:keepLines w:val="0"/>
        <w:pageBreakBefore w:val="0"/>
        <w:kinsoku/>
        <w:wordWrap/>
        <w:overflowPunct/>
        <w:topLinePunct w:val="0"/>
        <w:autoSpaceDE/>
        <w:autoSpaceDN/>
        <w:bidi w:val="0"/>
        <w:adjustRightInd/>
        <w:snapToGrid/>
        <w:spacing w:line="500" w:lineRule="exact"/>
        <w:ind w:firstLine="636" w:firstLineChars="198"/>
        <w:textAlignment w:val="auto"/>
        <w:outlineLvl w:val="9"/>
        <w:rPr>
          <w:rFonts w:ascii="仿宋_GB2312" w:hAnsi="仿宋" w:eastAsia="仿宋_GB2312" w:cs="宋体"/>
          <w:color w:val="auto"/>
          <w:kern w:val="0"/>
          <w:sz w:val="32"/>
          <w:szCs w:val="32"/>
          <w:highlight w:val="none"/>
        </w:rPr>
      </w:pPr>
      <w:r>
        <w:rPr>
          <w:rFonts w:hint="eastAsia" w:ascii="仿宋_GB2312" w:hAnsi="仿宋" w:eastAsia="仿宋_GB2312" w:cs="宋体"/>
          <w:b/>
          <w:color w:val="auto"/>
          <w:kern w:val="0"/>
          <w:sz w:val="32"/>
          <w:szCs w:val="32"/>
          <w:highlight w:val="none"/>
        </w:rPr>
        <w:t>产品营销推介方面</w:t>
      </w:r>
      <w:r>
        <w:rPr>
          <w:rFonts w:hint="eastAsia" w:ascii="仿宋_GB2312" w:hAnsi="仿宋" w:eastAsia="仿宋_GB2312" w:cs="宋体"/>
          <w:color w:val="auto"/>
          <w:kern w:val="0"/>
          <w:sz w:val="32"/>
          <w:szCs w:val="32"/>
          <w:highlight w:val="none"/>
        </w:rPr>
        <w:t>，</w:t>
      </w: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制订有全省统一规范的产品业务和宣传资料，对各项产品服务进行了明确的定义，并告知产品特点、风险等相关信息，在营业厅内公示张贴全省统一标准的服务价目表；</w:t>
      </w: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未建立专门的产品信息查询平台，客户可</w:t>
      </w:r>
      <w:r>
        <w:rPr>
          <w:rFonts w:hint="eastAsia" w:ascii="仿宋_GB2312" w:hAnsi="仿宋" w:eastAsia="仿宋_GB2312" w:cs="宋体"/>
          <w:color w:val="auto"/>
          <w:kern w:val="0"/>
          <w:sz w:val="32"/>
          <w:szCs w:val="32"/>
          <w:highlight w:val="none"/>
          <w:lang w:eastAsia="zh-CN"/>
        </w:rPr>
        <w:t>登录</w:t>
      </w:r>
      <w:r>
        <w:rPr>
          <w:rFonts w:hint="eastAsia" w:ascii="仿宋_GB2312" w:hAnsi="仿宋" w:eastAsia="仿宋_GB2312" w:cs="宋体"/>
          <w:color w:val="auto"/>
          <w:kern w:val="0"/>
          <w:sz w:val="32"/>
          <w:szCs w:val="32"/>
          <w:highlight w:val="none"/>
        </w:rPr>
        <w:t>手机银行及</w:t>
      </w:r>
      <w:r>
        <w:rPr>
          <w:rFonts w:hint="eastAsia" w:ascii="仿宋_GB2312" w:hAnsi="仿宋" w:eastAsia="仿宋_GB2312" w:cs="宋体"/>
          <w:color w:val="auto"/>
          <w:kern w:val="0"/>
          <w:sz w:val="32"/>
          <w:szCs w:val="32"/>
          <w:highlight w:val="none"/>
          <w:lang w:eastAsia="zh-CN"/>
        </w:rPr>
        <w:t>联合银行</w:t>
      </w:r>
      <w:r>
        <w:rPr>
          <w:rFonts w:hint="eastAsia" w:ascii="仿宋_GB2312" w:hAnsi="仿宋" w:eastAsia="仿宋_GB2312" w:cs="宋体"/>
          <w:color w:val="auto"/>
          <w:kern w:val="0"/>
          <w:sz w:val="32"/>
          <w:szCs w:val="32"/>
          <w:highlight w:val="none"/>
        </w:rPr>
        <w:t>相关网站（www.jxnxs.com）查询理财业务等信息资讯；在办理理财代销业务前对消费者进行风险测评，营业厅内设置了理财专区标识，</w:t>
      </w: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统一印制了带有理财专区投诉电话、理财风险提示、理财产品查询网址及理财投诉信函地址的公示牌并粘贴于理财专区醒目位置；已完成电子监控系统的安装配备工作，能够对理财保险业务销售过程实施全程录音录像。但</w:t>
      </w: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未发行自有理财产品，目前</w:t>
      </w: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客户均通过手机银行自助购买系统内理财产品。本年度审计部对消费者权益保护工作开展了一次专项审计。</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ascii="仿宋_GB2312" w:hAnsi="仿宋" w:eastAsia="仿宋_GB2312" w:cs="宋体"/>
          <w:color w:val="auto"/>
          <w:kern w:val="0"/>
          <w:sz w:val="32"/>
          <w:szCs w:val="32"/>
          <w:highlight w:val="none"/>
        </w:rPr>
      </w:pPr>
      <w:r>
        <w:rPr>
          <w:rFonts w:hint="eastAsia" w:ascii="仿宋_GB2312" w:hAnsi="仿宋" w:eastAsia="仿宋_GB2312" w:cs="宋体"/>
          <w:b/>
          <w:color w:val="auto"/>
          <w:kern w:val="0"/>
          <w:sz w:val="32"/>
          <w:szCs w:val="32"/>
          <w:highlight w:val="none"/>
        </w:rPr>
        <w:t>客户信息安全保护方面</w:t>
      </w:r>
      <w:r>
        <w:rPr>
          <w:rFonts w:hint="eastAsia" w:ascii="仿宋_GB2312" w:hAnsi="仿宋" w:eastAsia="仿宋_GB2312" w:cs="宋体"/>
          <w:color w:val="auto"/>
          <w:kern w:val="0"/>
          <w:sz w:val="32"/>
          <w:szCs w:val="32"/>
          <w:highlight w:val="none"/>
        </w:rPr>
        <w:t>，</w:t>
      </w: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个人信息收集规范，如查询征信前会通过签署征信授权书的方式取得客户书面授权，提示告知相关授权内容，内部查询设置查阅权限，由相关系统管理部门审批给予。向第三方提供消费者均取得消费者明确授权。</w:t>
      </w:r>
    </w:p>
    <w:p>
      <w:pPr>
        <w:keepNext w:val="0"/>
        <w:keepLines w:val="0"/>
        <w:pageBreakBefore w:val="0"/>
        <w:kinsoku/>
        <w:wordWrap/>
        <w:overflowPunct/>
        <w:topLinePunct w:val="0"/>
        <w:autoSpaceDE/>
        <w:autoSpaceDN/>
        <w:bidi w:val="0"/>
        <w:adjustRightInd/>
        <w:snapToGrid/>
        <w:spacing w:line="500" w:lineRule="exact"/>
        <w:ind w:firstLine="636" w:firstLineChars="198"/>
        <w:textAlignment w:val="auto"/>
        <w:outlineLvl w:val="9"/>
        <w:rPr>
          <w:rFonts w:ascii="仿宋_GB2312" w:hAnsi="仿宋" w:eastAsia="仿宋_GB2312" w:cs="宋体"/>
          <w:color w:val="auto"/>
          <w:kern w:val="0"/>
          <w:sz w:val="32"/>
          <w:szCs w:val="32"/>
          <w:highlight w:val="none"/>
        </w:rPr>
      </w:pPr>
      <w:r>
        <w:rPr>
          <w:rFonts w:hint="eastAsia" w:ascii="仿宋_GB2312" w:hAnsi="仿宋" w:eastAsia="仿宋_GB2312" w:cs="宋体"/>
          <w:b/>
          <w:color w:val="auto"/>
          <w:kern w:val="0"/>
          <w:sz w:val="32"/>
          <w:szCs w:val="32"/>
          <w:highlight w:val="none"/>
        </w:rPr>
        <w:t>特殊消费者群体保护方面</w:t>
      </w:r>
      <w:r>
        <w:rPr>
          <w:rFonts w:hint="eastAsia" w:ascii="仿宋_GB2312" w:hAnsi="仿宋" w:eastAsia="仿宋_GB2312" w:cs="宋体"/>
          <w:color w:val="auto"/>
          <w:kern w:val="0"/>
          <w:sz w:val="32"/>
          <w:szCs w:val="32"/>
          <w:highlight w:val="none"/>
        </w:rPr>
        <w:t>，</w:t>
      </w: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针对农民工群体通过村村通助农取款点、农民工卡及“百福通”聚合支付等提供了方便快捷的取款渠道，针对残障人士对营业厅设置了残疾人通道，针对老年人群体提供了老花镜、休息场所等贴心、便民服务及相关设施；支持区域金融发展，</w:t>
      </w: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始终将扶贫支农产品作为主打项目进行推广，持续开展</w:t>
      </w:r>
      <w:r>
        <w:rPr>
          <w:rFonts w:ascii="仿宋_GB2312" w:hAnsi="仿宋" w:eastAsia="仿宋_GB2312" w:cs="宋体"/>
          <w:color w:val="auto"/>
          <w:kern w:val="0"/>
          <w:sz w:val="32"/>
          <w:szCs w:val="32"/>
          <w:highlight w:val="none"/>
        </w:rPr>
        <w:t>“</w:t>
      </w:r>
      <w:r>
        <w:rPr>
          <w:rFonts w:hint="eastAsia" w:ascii="仿宋_GB2312" w:hAnsi="仿宋" w:eastAsia="仿宋_GB2312" w:cs="宋体"/>
          <w:color w:val="auto"/>
          <w:kern w:val="0"/>
          <w:sz w:val="32"/>
          <w:szCs w:val="32"/>
          <w:highlight w:val="none"/>
        </w:rPr>
        <w:t>财农信贷通</w:t>
      </w:r>
      <w:r>
        <w:rPr>
          <w:rFonts w:ascii="仿宋_GB2312" w:hAnsi="仿宋" w:eastAsia="仿宋_GB2312" w:cs="宋体"/>
          <w:color w:val="auto"/>
          <w:kern w:val="0"/>
          <w:sz w:val="32"/>
          <w:szCs w:val="32"/>
          <w:highlight w:val="none"/>
        </w:rPr>
        <w:t>”</w:t>
      </w:r>
      <w:r>
        <w:rPr>
          <w:rFonts w:hint="eastAsia" w:ascii="仿宋_GB2312" w:hAnsi="仿宋" w:eastAsia="仿宋_GB2312" w:cs="宋体"/>
          <w:color w:val="auto"/>
          <w:kern w:val="0"/>
          <w:sz w:val="32"/>
          <w:szCs w:val="32"/>
          <w:highlight w:val="none"/>
        </w:rPr>
        <w:t>、</w:t>
      </w:r>
      <w:r>
        <w:rPr>
          <w:rFonts w:ascii="仿宋_GB2312" w:hAnsi="仿宋" w:eastAsia="仿宋_GB2312" w:cs="宋体"/>
          <w:color w:val="auto"/>
          <w:kern w:val="0"/>
          <w:sz w:val="32"/>
          <w:szCs w:val="32"/>
          <w:highlight w:val="none"/>
        </w:rPr>
        <w:t>“</w:t>
      </w:r>
      <w:r>
        <w:rPr>
          <w:rFonts w:hint="eastAsia" w:ascii="仿宋_GB2312" w:hAnsi="仿宋" w:eastAsia="仿宋_GB2312" w:cs="宋体"/>
          <w:color w:val="auto"/>
          <w:kern w:val="0"/>
          <w:sz w:val="32"/>
          <w:szCs w:val="32"/>
          <w:highlight w:val="none"/>
        </w:rPr>
        <w:t>农业产业振兴信贷通</w:t>
      </w:r>
      <w:r>
        <w:rPr>
          <w:rFonts w:ascii="仿宋_GB2312" w:hAnsi="仿宋" w:eastAsia="仿宋_GB2312" w:cs="宋体"/>
          <w:color w:val="auto"/>
          <w:kern w:val="0"/>
          <w:sz w:val="32"/>
          <w:szCs w:val="32"/>
          <w:highlight w:val="none"/>
        </w:rPr>
        <w:t>”</w:t>
      </w:r>
      <w:r>
        <w:rPr>
          <w:rFonts w:hint="eastAsia" w:ascii="仿宋_GB2312" w:hAnsi="仿宋" w:eastAsia="仿宋_GB2312" w:cs="宋体"/>
          <w:color w:val="auto"/>
          <w:kern w:val="0"/>
          <w:sz w:val="32"/>
          <w:szCs w:val="32"/>
          <w:highlight w:val="none"/>
        </w:rPr>
        <w:t>、</w:t>
      </w:r>
      <w:r>
        <w:rPr>
          <w:rFonts w:ascii="仿宋_GB2312" w:hAnsi="仿宋" w:eastAsia="仿宋_GB2312" w:cs="宋体"/>
          <w:color w:val="auto"/>
          <w:kern w:val="0"/>
          <w:sz w:val="32"/>
          <w:szCs w:val="32"/>
          <w:highlight w:val="none"/>
        </w:rPr>
        <w:t>“</w:t>
      </w:r>
      <w:r>
        <w:rPr>
          <w:rFonts w:hint="eastAsia" w:ascii="仿宋_GB2312" w:hAnsi="仿宋" w:eastAsia="仿宋_GB2312" w:cs="宋体"/>
          <w:color w:val="auto"/>
          <w:kern w:val="0"/>
          <w:sz w:val="32"/>
          <w:szCs w:val="32"/>
          <w:highlight w:val="none"/>
        </w:rPr>
        <w:t>百福社保贷</w:t>
      </w:r>
      <w:r>
        <w:rPr>
          <w:rFonts w:ascii="仿宋_GB2312" w:hAnsi="仿宋" w:eastAsia="仿宋_GB2312" w:cs="宋体"/>
          <w:color w:val="auto"/>
          <w:kern w:val="0"/>
          <w:sz w:val="32"/>
          <w:szCs w:val="32"/>
          <w:highlight w:val="none"/>
        </w:rPr>
        <w:t>”</w:t>
      </w:r>
      <w:r>
        <w:rPr>
          <w:rFonts w:hint="eastAsia" w:ascii="仿宋_GB2312" w:hAnsi="仿宋" w:eastAsia="仿宋_GB2312" w:cs="宋体"/>
          <w:color w:val="auto"/>
          <w:kern w:val="0"/>
          <w:sz w:val="32"/>
          <w:szCs w:val="32"/>
          <w:highlight w:val="none"/>
        </w:rPr>
        <w:t>、</w:t>
      </w:r>
      <w:r>
        <w:rPr>
          <w:rFonts w:ascii="仿宋_GB2312" w:hAnsi="仿宋" w:eastAsia="仿宋_GB2312" w:cs="宋体"/>
          <w:color w:val="auto"/>
          <w:kern w:val="0"/>
          <w:sz w:val="32"/>
          <w:szCs w:val="32"/>
          <w:highlight w:val="none"/>
        </w:rPr>
        <w:t>“</w:t>
      </w:r>
      <w:r>
        <w:rPr>
          <w:rFonts w:hint="eastAsia" w:ascii="仿宋_GB2312" w:hAnsi="仿宋" w:eastAsia="仿宋_GB2312" w:cs="宋体"/>
          <w:color w:val="auto"/>
          <w:kern w:val="0"/>
          <w:sz w:val="32"/>
          <w:szCs w:val="32"/>
          <w:highlight w:val="none"/>
        </w:rPr>
        <w:t>农户小额信用贷款</w:t>
      </w:r>
      <w:r>
        <w:rPr>
          <w:rFonts w:ascii="仿宋_GB2312" w:hAnsi="仿宋" w:eastAsia="仿宋_GB2312" w:cs="宋体"/>
          <w:color w:val="auto"/>
          <w:kern w:val="0"/>
          <w:sz w:val="32"/>
          <w:szCs w:val="32"/>
          <w:highlight w:val="none"/>
        </w:rPr>
        <w:t>”</w:t>
      </w:r>
      <w:r>
        <w:rPr>
          <w:rFonts w:hint="eastAsia" w:ascii="仿宋_GB2312" w:hAnsi="仿宋" w:eastAsia="仿宋_GB2312" w:cs="宋体"/>
          <w:color w:val="auto"/>
          <w:kern w:val="0"/>
          <w:sz w:val="32"/>
          <w:szCs w:val="32"/>
          <w:highlight w:val="none"/>
        </w:rPr>
        <w:t>等信贷服务品种及项目。</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ascii="仿宋_GB2312" w:hAnsi="仿宋" w:eastAsia="仿宋_GB2312" w:cs="宋体"/>
          <w:b/>
          <w:bCs/>
          <w:color w:val="auto"/>
          <w:kern w:val="0"/>
          <w:sz w:val="32"/>
          <w:szCs w:val="32"/>
          <w:highlight w:val="none"/>
        </w:rPr>
      </w:pPr>
      <w:r>
        <w:rPr>
          <w:rFonts w:hint="eastAsia" w:ascii="仿宋_GB2312" w:hAnsi="仿宋" w:eastAsia="仿宋_GB2312" w:cs="宋体"/>
          <w:b/>
          <w:bCs/>
          <w:color w:val="auto"/>
          <w:kern w:val="0"/>
          <w:sz w:val="32"/>
          <w:szCs w:val="32"/>
          <w:highlight w:val="none"/>
        </w:rPr>
        <w:t>8.3.2金融知识宣传与教育工作情况</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9"/>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积极通过网点现场宣传、集中宣传和LED滚屏宣传等方式，不断提升了客户对金融法律法规、</w:t>
      </w: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金融服务项目等金融知识的接受度。202</w:t>
      </w:r>
      <w:r>
        <w:rPr>
          <w:rFonts w:hint="eastAsia" w:ascii="仿宋_GB2312" w:hAnsi="仿宋" w:eastAsia="仿宋_GB2312" w:cs="宋体"/>
          <w:color w:val="auto"/>
          <w:kern w:val="0"/>
          <w:sz w:val="32"/>
          <w:szCs w:val="32"/>
          <w:highlight w:val="none"/>
          <w:lang w:val="en-US" w:eastAsia="zh-CN"/>
        </w:rPr>
        <w:t>5</w:t>
      </w:r>
      <w:r>
        <w:rPr>
          <w:rFonts w:hint="eastAsia" w:ascii="仿宋_GB2312" w:hAnsi="仿宋" w:eastAsia="仿宋_GB2312" w:cs="宋体"/>
          <w:color w:val="auto"/>
          <w:kern w:val="0"/>
          <w:sz w:val="32"/>
          <w:szCs w:val="32"/>
          <w:highlight w:val="none"/>
        </w:rPr>
        <w:t>年度继续结合整村推进、网格化营销金融夜校活动，针对不同群体开展了进农村、进社区等宣传活动。年内按照监管部门及</w:t>
      </w:r>
      <w:r>
        <w:rPr>
          <w:rFonts w:hint="eastAsia" w:ascii="仿宋_GB2312" w:hAnsi="仿宋" w:eastAsia="仿宋_GB2312" w:cs="宋体"/>
          <w:color w:val="auto"/>
          <w:kern w:val="0"/>
          <w:sz w:val="32"/>
          <w:szCs w:val="32"/>
          <w:highlight w:val="none"/>
          <w:lang w:eastAsia="zh-CN"/>
        </w:rPr>
        <w:t>联合银行</w:t>
      </w:r>
      <w:r>
        <w:rPr>
          <w:rFonts w:hint="eastAsia" w:ascii="仿宋_GB2312" w:hAnsi="仿宋" w:eastAsia="仿宋_GB2312" w:cs="宋体"/>
          <w:color w:val="auto"/>
          <w:kern w:val="0"/>
          <w:sz w:val="32"/>
          <w:szCs w:val="32"/>
          <w:highlight w:val="none"/>
        </w:rPr>
        <w:t>要求组织开展了3.15“金融消费者权益日”、金融知识万里行、“普及金融知识，守住钱袋子”、金融知识普及月  金融知识进万家  争做理性投资者 争做金融好网民、宪法宣传周等活动，主动面向金融消费者提供宣传教育咨询服务，普及宣传金融基础和法律知识。</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ascii="仿宋_GB2312" w:hAnsi="仿宋" w:eastAsia="仿宋_GB2312" w:cs="宋体"/>
          <w:b/>
          <w:bCs/>
          <w:color w:val="auto"/>
          <w:kern w:val="0"/>
          <w:sz w:val="32"/>
          <w:szCs w:val="32"/>
          <w:highlight w:val="none"/>
        </w:rPr>
      </w:pPr>
      <w:r>
        <w:rPr>
          <w:rFonts w:hint="eastAsia" w:ascii="仿宋_GB2312" w:hAnsi="仿宋" w:eastAsia="仿宋_GB2312" w:cs="宋体"/>
          <w:b/>
          <w:bCs/>
          <w:color w:val="auto"/>
          <w:kern w:val="0"/>
          <w:sz w:val="32"/>
          <w:szCs w:val="32"/>
          <w:highlight w:val="none"/>
        </w:rPr>
        <w:t>8.3.3消费者投诉应对、处理情况</w:t>
      </w:r>
    </w:p>
    <w:p>
      <w:pPr>
        <w:keepNext w:val="0"/>
        <w:keepLines w:val="0"/>
        <w:pageBreakBefore w:val="0"/>
        <w:kinsoku/>
        <w:wordWrap/>
        <w:overflowPunct/>
        <w:topLinePunct w:val="0"/>
        <w:autoSpaceDE/>
        <w:autoSpaceDN/>
        <w:bidi w:val="0"/>
        <w:adjustRightInd/>
        <w:snapToGrid/>
        <w:spacing w:line="500" w:lineRule="exact"/>
        <w:ind w:firstLine="160" w:firstLineChars="50"/>
        <w:textAlignment w:val="auto"/>
        <w:outlineLvl w:val="9"/>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xml:space="preserve">　 </w:t>
      </w: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在营业场所、门户网站等醒目位置公布投诉电话等投诉方式和联系查询方式，各网点均在营业厅内张贴消保热线公示牌，告知投诉受理联系方式。投诉方式包括本行及</w:t>
      </w:r>
      <w:r>
        <w:rPr>
          <w:rFonts w:hint="eastAsia" w:ascii="仿宋_GB2312" w:hAnsi="仿宋" w:eastAsia="仿宋_GB2312" w:cs="宋体"/>
          <w:color w:val="auto"/>
          <w:kern w:val="0"/>
          <w:sz w:val="32"/>
          <w:szCs w:val="32"/>
          <w:highlight w:val="none"/>
          <w:lang w:eastAsia="zh-CN"/>
        </w:rPr>
        <w:t>联合银行</w:t>
      </w:r>
      <w:r>
        <w:rPr>
          <w:rFonts w:hint="eastAsia" w:ascii="仿宋_GB2312" w:hAnsi="仿宋" w:eastAsia="仿宋_GB2312" w:cs="宋体"/>
          <w:color w:val="auto"/>
          <w:kern w:val="0"/>
          <w:sz w:val="32"/>
          <w:szCs w:val="32"/>
          <w:highlight w:val="none"/>
        </w:rPr>
        <w:t>24小时客户热线等，投诉渠道畅通、有效、便捷。总行层面由</w:t>
      </w:r>
      <w:r>
        <w:rPr>
          <w:rFonts w:hint="eastAsia" w:ascii="仿宋_GB2312" w:hAnsi="仿宋" w:eastAsia="仿宋_GB2312" w:cs="宋体"/>
          <w:color w:val="auto"/>
          <w:kern w:val="0"/>
          <w:sz w:val="32"/>
          <w:szCs w:val="32"/>
          <w:highlight w:val="none"/>
          <w:lang w:val="en-US" w:eastAsia="zh-CN"/>
        </w:rPr>
        <w:t>法律合规</w:t>
      </w:r>
      <w:r>
        <w:rPr>
          <w:rFonts w:hint="eastAsia" w:ascii="仿宋_GB2312" w:hAnsi="仿宋" w:eastAsia="仿宋_GB2312" w:cs="宋体"/>
          <w:color w:val="auto"/>
          <w:kern w:val="0"/>
          <w:sz w:val="32"/>
          <w:szCs w:val="32"/>
          <w:highlight w:val="none"/>
        </w:rPr>
        <w:t>部直接负责消费者投诉案件的调查和处理，普通投诉案件需在72小时内处理完毕，加急投诉案件应在48小时内处理完毕。建立金融消费者投诉台账报送机制，对已受理的投诉案件汇总统计分析，按月（季）向监管部门报告，2025年</w:t>
      </w:r>
      <w:r>
        <w:rPr>
          <w:rFonts w:hint="eastAsia" w:ascii="仿宋_GB2312" w:hAnsi="仿宋" w:eastAsia="仿宋_GB2312" w:cs="宋体"/>
          <w:color w:val="auto"/>
          <w:kern w:val="0"/>
          <w:sz w:val="32"/>
          <w:szCs w:val="32"/>
          <w:highlight w:val="none"/>
          <w:lang w:eastAsia="zh-CN"/>
        </w:rPr>
        <w:t>度</w:t>
      </w:r>
      <w:r>
        <w:rPr>
          <w:rFonts w:hint="eastAsia" w:ascii="仿宋_GB2312" w:hAnsi="仿宋" w:eastAsia="仿宋_GB2312" w:cs="宋体"/>
          <w:color w:val="auto"/>
          <w:kern w:val="0"/>
          <w:sz w:val="32"/>
          <w:szCs w:val="32"/>
          <w:highlight w:val="none"/>
        </w:rPr>
        <w:t>，</w:t>
      </w:r>
      <w:r>
        <w:rPr>
          <w:rFonts w:hint="eastAsia" w:ascii="仿宋_GB2312" w:hAnsi="仿宋" w:eastAsia="仿宋_GB2312" w:cs="宋体"/>
          <w:color w:val="auto"/>
          <w:kern w:val="0"/>
          <w:sz w:val="32"/>
          <w:szCs w:val="32"/>
          <w:highlight w:val="none"/>
          <w:lang w:eastAsia="zh-CN"/>
        </w:rPr>
        <w:t>本</w:t>
      </w:r>
      <w:r>
        <w:rPr>
          <w:rFonts w:hint="eastAsia" w:ascii="仿宋_GB2312" w:hAnsi="仿宋" w:eastAsia="仿宋_GB2312" w:cs="宋体"/>
          <w:color w:val="auto"/>
          <w:kern w:val="0"/>
          <w:sz w:val="32"/>
          <w:szCs w:val="32"/>
          <w:highlight w:val="none"/>
        </w:rPr>
        <w:t>行共受理投诉36件，解决36件，投诉解决率100%。从受理途径上看，通过96268客服电话途径投诉23笔,12345转</w:t>
      </w:r>
      <w:r>
        <w:rPr>
          <w:rFonts w:hint="eastAsia" w:ascii="仿宋_GB2312" w:hAnsi="仿宋" w:eastAsia="仿宋_GB2312" w:cs="宋体"/>
          <w:color w:val="auto"/>
          <w:kern w:val="0"/>
          <w:sz w:val="32"/>
          <w:szCs w:val="32"/>
          <w:highlight w:val="none"/>
          <w:lang w:eastAsia="zh-CN"/>
        </w:rPr>
        <w:t>办</w:t>
      </w:r>
      <w:r>
        <w:rPr>
          <w:rFonts w:hint="eastAsia" w:ascii="仿宋_GB2312" w:hAnsi="仿宋" w:eastAsia="仿宋_GB2312" w:cs="宋体"/>
          <w:color w:val="auto"/>
          <w:kern w:val="0"/>
          <w:sz w:val="32"/>
          <w:szCs w:val="32"/>
          <w:highlight w:val="none"/>
        </w:rPr>
        <w:t>投诉1笔，金监转办投诉12笔，其中投诉内容按业务领域分类，信贷业务类14件，信用卡业务类5件，柜面服务类3件，短信业务类3件，其他11件。无重大群体性投诉事件。</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ascii="仿宋_GB2312" w:hAnsi="仿宋" w:eastAsia="仿宋_GB2312" w:cs="宋体"/>
          <w:b/>
          <w:bCs/>
          <w:color w:val="auto"/>
          <w:kern w:val="0"/>
          <w:sz w:val="32"/>
          <w:szCs w:val="32"/>
          <w:highlight w:val="none"/>
        </w:rPr>
      </w:pPr>
      <w:r>
        <w:rPr>
          <w:rFonts w:hint="eastAsia" w:ascii="仿宋_GB2312" w:hAnsi="仿宋" w:eastAsia="仿宋_GB2312" w:cs="宋体"/>
          <w:b/>
          <w:bCs/>
          <w:color w:val="auto"/>
          <w:kern w:val="0"/>
          <w:sz w:val="32"/>
          <w:szCs w:val="32"/>
          <w:highlight w:val="none"/>
        </w:rPr>
        <w:t>8.3.4本年度重点问题发生情况及说明</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坚持以客户为中心原则，202</w:t>
      </w:r>
      <w:r>
        <w:rPr>
          <w:rFonts w:hint="eastAsia" w:ascii="仿宋_GB2312" w:hAnsi="仿宋" w:eastAsia="仿宋_GB2312" w:cs="宋体"/>
          <w:color w:val="auto"/>
          <w:kern w:val="0"/>
          <w:sz w:val="32"/>
          <w:szCs w:val="32"/>
          <w:highlight w:val="none"/>
          <w:lang w:val="en-US" w:eastAsia="zh-CN"/>
        </w:rPr>
        <w:t>5</w:t>
      </w:r>
      <w:r>
        <w:rPr>
          <w:rFonts w:hint="eastAsia" w:ascii="仿宋_GB2312" w:hAnsi="仿宋" w:eastAsia="仿宋_GB2312" w:cs="宋体"/>
          <w:color w:val="auto"/>
          <w:kern w:val="0"/>
          <w:sz w:val="32"/>
          <w:szCs w:val="32"/>
          <w:highlight w:val="none"/>
        </w:rPr>
        <w:t>年未发生负面舆情及重大突发事件以及因消费者权益引发的诉讼、仲裁案件。对监管部门开展的各类调查、核实、考核评价或其他工作事项，</w:t>
      </w: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始终积极配合，按要求在规定时限内提供材料、定期报送投诉统计数据信息等。</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9"/>
        <w:rPr>
          <w:rFonts w:ascii="仿宋_GB2312" w:hAnsi="仿宋" w:eastAsia="仿宋_GB2312" w:cs="宋体"/>
          <w:b/>
          <w:color w:val="auto"/>
          <w:kern w:val="0"/>
          <w:sz w:val="32"/>
          <w:szCs w:val="32"/>
          <w:highlight w:val="none"/>
        </w:rPr>
      </w:pPr>
      <w:r>
        <w:rPr>
          <w:rFonts w:hint="eastAsia" w:ascii="仿宋_GB2312" w:hAnsi="仿宋" w:eastAsia="仿宋_GB2312" w:cs="宋体"/>
          <w:b/>
          <w:color w:val="auto"/>
          <w:kern w:val="0"/>
          <w:sz w:val="32"/>
          <w:szCs w:val="32"/>
          <w:highlight w:val="none"/>
        </w:rPr>
        <w:t>8.4有关消费者权益保护工作的内部培训、内部考评、审计及其他内部管理</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hint="eastAsia" w:ascii="仿宋_GB2312" w:hAnsi="仿宋" w:eastAsia="仿宋_GB2312" w:cs="宋体"/>
          <w:color w:val="auto"/>
          <w:kern w:val="0"/>
          <w:sz w:val="32"/>
          <w:szCs w:val="32"/>
          <w:highlight w:val="none"/>
          <w:lang w:eastAsia="zh-CN"/>
        </w:rPr>
      </w:pP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制定了202</w:t>
      </w:r>
      <w:r>
        <w:rPr>
          <w:rFonts w:hint="eastAsia" w:ascii="仿宋_GB2312" w:hAnsi="仿宋" w:eastAsia="仿宋_GB2312" w:cs="宋体"/>
          <w:color w:val="auto"/>
          <w:kern w:val="0"/>
          <w:sz w:val="32"/>
          <w:szCs w:val="32"/>
          <w:highlight w:val="none"/>
          <w:lang w:val="en-US" w:eastAsia="zh-CN"/>
        </w:rPr>
        <w:t>5</w:t>
      </w:r>
      <w:r>
        <w:rPr>
          <w:rFonts w:hint="eastAsia" w:ascii="仿宋_GB2312" w:hAnsi="仿宋" w:eastAsia="仿宋_GB2312" w:cs="宋体"/>
          <w:color w:val="auto"/>
          <w:kern w:val="0"/>
          <w:sz w:val="32"/>
          <w:szCs w:val="32"/>
          <w:highlight w:val="none"/>
        </w:rPr>
        <w:t>年重点业务培训计划，通过例会集中学习等方式开展消费者权益保护工作培训，培训对象包括部门及网点负责人及一般员工。制定了《大余农村商业银行消费者权益保护工作考核评价办法》，将202</w:t>
      </w:r>
      <w:r>
        <w:rPr>
          <w:rFonts w:hint="eastAsia" w:ascii="仿宋_GB2312" w:hAnsi="仿宋" w:eastAsia="仿宋_GB2312" w:cs="宋体"/>
          <w:color w:val="auto"/>
          <w:kern w:val="0"/>
          <w:sz w:val="32"/>
          <w:szCs w:val="32"/>
          <w:highlight w:val="none"/>
          <w:lang w:val="en-US" w:eastAsia="zh-CN"/>
        </w:rPr>
        <w:t>5</w:t>
      </w:r>
      <w:r>
        <w:rPr>
          <w:rFonts w:hint="eastAsia" w:ascii="仿宋_GB2312" w:hAnsi="仿宋" w:eastAsia="仿宋_GB2312" w:cs="宋体"/>
          <w:color w:val="auto"/>
          <w:kern w:val="0"/>
          <w:sz w:val="32"/>
          <w:szCs w:val="32"/>
          <w:highlight w:val="none"/>
        </w:rPr>
        <w:t>年度消保工作要点分解落实到各部门，确保员工了解掌握消保理念和要求。在202</w:t>
      </w:r>
      <w:r>
        <w:rPr>
          <w:rFonts w:hint="eastAsia" w:ascii="仿宋_GB2312" w:hAnsi="仿宋" w:eastAsia="仿宋_GB2312" w:cs="宋体"/>
          <w:color w:val="auto"/>
          <w:kern w:val="0"/>
          <w:sz w:val="32"/>
          <w:szCs w:val="32"/>
          <w:highlight w:val="none"/>
          <w:lang w:val="en-US" w:eastAsia="zh-CN"/>
        </w:rPr>
        <w:t>5</w:t>
      </w:r>
      <w:r>
        <w:rPr>
          <w:rFonts w:hint="eastAsia" w:ascii="仿宋_GB2312" w:hAnsi="仿宋" w:eastAsia="仿宋_GB2312" w:cs="宋体"/>
          <w:color w:val="auto"/>
          <w:kern w:val="0"/>
          <w:sz w:val="32"/>
          <w:szCs w:val="32"/>
          <w:highlight w:val="none"/>
        </w:rPr>
        <w:t>年的绩效考核中加入了消费者权益保护工作的考评；针对消费者权益保护工作设立了专门的审计项目，审计部对消费者权益保护工作开展了专项审计。202</w:t>
      </w:r>
      <w:r>
        <w:rPr>
          <w:rFonts w:hint="eastAsia" w:ascii="仿宋_GB2312" w:hAnsi="仿宋" w:eastAsia="仿宋_GB2312" w:cs="宋体"/>
          <w:color w:val="auto"/>
          <w:kern w:val="0"/>
          <w:sz w:val="32"/>
          <w:szCs w:val="32"/>
          <w:highlight w:val="none"/>
          <w:lang w:val="en-US" w:eastAsia="zh-CN"/>
        </w:rPr>
        <w:t>5</w:t>
      </w:r>
      <w:r>
        <w:rPr>
          <w:rFonts w:hint="eastAsia" w:ascii="仿宋_GB2312" w:hAnsi="仿宋" w:eastAsia="仿宋_GB2312" w:cs="宋体"/>
          <w:color w:val="auto"/>
          <w:kern w:val="0"/>
          <w:sz w:val="32"/>
          <w:szCs w:val="32"/>
          <w:highlight w:val="none"/>
        </w:rPr>
        <w:t>年度</w:t>
      </w:r>
      <w:r>
        <w:rPr>
          <w:rFonts w:hint="eastAsia" w:ascii="仿宋_GB2312" w:hAnsi="仿宋" w:eastAsia="仿宋_GB2312" w:cs="宋体"/>
          <w:color w:val="auto"/>
          <w:kern w:val="0"/>
          <w:sz w:val="32"/>
          <w:szCs w:val="32"/>
          <w:highlight w:val="none"/>
          <w:lang w:eastAsia="zh-CN"/>
        </w:rPr>
        <w:t>本行</w:t>
      </w:r>
      <w:r>
        <w:rPr>
          <w:rFonts w:hint="eastAsia" w:ascii="仿宋_GB2312" w:hAnsi="仿宋" w:eastAsia="仿宋_GB2312" w:cs="宋体"/>
          <w:color w:val="auto"/>
          <w:kern w:val="0"/>
          <w:sz w:val="32"/>
          <w:szCs w:val="32"/>
          <w:highlight w:val="none"/>
        </w:rPr>
        <w:t>在全省农商银行金融消保工作考评评价类别为</w:t>
      </w:r>
      <w:r>
        <w:rPr>
          <w:rFonts w:hint="eastAsia" w:ascii="仿宋_GB2312" w:hAnsi="仿宋" w:eastAsia="仿宋_GB2312" w:cs="宋体"/>
          <w:color w:val="auto"/>
          <w:kern w:val="0"/>
          <w:sz w:val="32"/>
          <w:szCs w:val="32"/>
          <w:highlight w:val="none"/>
          <w:lang w:val="en-US" w:eastAsia="zh-CN"/>
        </w:rPr>
        <w:t>三</w:t>
      </w:r>
      <w:r>
        <w:rPr>
          <w:rFonts w:hint="eastAsia" w:ascii="仿宋_GB2312" w:hAnsi="仿宋" w:eastAsia="仿宋_GB2312" w:cs="宋体"/>
          <w:color w:val="auto"/>
          <w:kern w:val="0"/>
          <w:sz w:val="32"/>
          <w:szCs w:val="32"/>
          <w:highlight w:val="none"/>
        </w:rPr>
        <w:t>级。</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lang w:eastAsia="zh-CN"/>
        </w:rPr>
        <w:t>九</w:t>
      </w:r>
      <w:r>
        <w:rPr>
          <w:rFonts w:hint="eastAsia" w:ascii="黑体" w:hAnsi="黑体" w:eastAsia="黑体" w:cs="黑体"/>
          <w:b w:val="0"/>
          <w:bCs/>
          <w:color w:val="auto"/>
          <w:kern w:val="0"/>
          <w:sz w:val="32"/>
          <w:szCs w:val="32"/>
          <w:highlight w:val="none"/>
        </w:rPr>
        <w:t>、报告期宣传普惠金融服务情况</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ascii="仿宋_GB2312" w:eastAsia="仿宋_GB2312" w:cs="宋体" w:hAnsiTheme="minorEastAsia"/>
          <w:color w:val="auto"/>
          <w:kern w:val="0"/>
          <w:sz w:val="32"/>
          <w:szCs w:val="32"/>
          <w:highlight w:val="none"/>
        </w:rPr>
      </w:pPr>
      <w:r>
        <w:rPr>
          <w:rFonts w:hint="eastAsia" w:ascii="仿宋_GB2312" w:eastAsia="仿宋_GB2312" w:cs="宋体" w:hAnsiTheme="minorEastAsia"/>
          <w:color w:val="auto"/>
          <w:kern w:val="0"/>
          <w:sz w:val="32"/>
          <w:szCs w:val="32"/>
          <w:highlight w:val="none"/>
        </w:rPr>
        <w:t>报告期通过开展普惠金融宣传服务1</w:t>
      </w:r>
      <w:r>
        <w:rPr>
          <w:rFonts w:hint="eastAsia" w:ascii="仿宋_GB2312" w:eastAsia="仿宋_GB2312" w:cs="宋体" w:hAnsiTheme="minorEastAsia"/>
          <w:color w:val="auto"/>
          <w:kern w:val="0"/>
          <w:sz w:val="32"/>
          <w:szCs w:val="32"/>
          <w:highlight w:val="none"/>
          <w:lang w:val="en-US" w:eastAsia="zh-CN"/>
        </w:rPr>
        <w:t>03</w:t>
      </w:r>
      <w:r>
        <w:rPr>
          <w:rFonts w:hint="eastAsia" w:ascii="仿宋_GB2312" w:eastAsia="仿宋_GB2312" w:cs="宋体" w:hAnsiTheme="minorEastAsia"/>
          <w:color w:val="auto"/>
          <w:kern w:val="0"/>
          <w:sz w:val="32"/>
          <w:szCs w:val="32"/>
          <w:highlight w:val="none"/>
        </w:rPr>
        <w:t>场次，共计发放宣传折页1</w:t>
      </w:r>
      <w:r>
        <w:rPr>
          <w:rFonts w:hint="eastAsia" w:ascii="仿宋_GB2312" w:eastAsia="仿宋_GB2312" w:cs="宋体" w:hAnsiTheme="minorEastAsia"/>
          <w:color w:val="auto"/>
          <w:kern w:val="0"/>
          <w:sz w:val="32"/>
          <w:szCs w:val="32"/>
          <w:highlight w:val="none"/>
          <w:lang w:eastAsia="zh-CN"/>
        </w:rPr>
        <w:t>万</w:t>
      </w:r>
      <w:r>
        <w:rPr>
          <w:rFonts w:hint="eastAsia" w:ascii="仿宋_GB2312" w:eastAsia="仿宋_GB2312" w:cs="宋体" w:hAnsiTheme="minorEastAsia"/>
          <w:color w:val="auto"/>
          <w:kern w:val="0"/>
          <w:sz w:val="32"/>
          <w:szCs w:val="32"/>
          <w:highlight w:val="none"/>
        </w:rPr>
        <w:t>余份，通过微信朋友圈转发金融</w:t>
      </w:r>
      <w:r>
        <w:rPr>
          <w:rFonts w:hint="eastAsia" w:ascii="仿宋_GB2312" w:eastAsia="仿宋_GB2312" w:cs="宋体" w:hAnsiTheme="minorEastAsia"/>
          <w:color w:val="auto"/>
          <w:kern w:val="0"/>
          <w:sz w:val="32"/>
          <w:szCs w:val="32"/>
          <w:highlight w:val="none"/>
          <w:lang w:eastAsia="zh-CN"/>
        </w:rPr>
        <w:t>知</w:t>
      </w:r>
      <w:r>
        <w:rPr>
          <w:rFonts w:hint="eastAsia" w:ascii="仿宋_GB2312" w:eastAsia="仿宋_GB2312" w:cs="宋体" w:hAnsiTheme="minorEastAsia"/>
          <w:color w:val="auto"/>
          <w:kern w:val="0"/>
          <w:sz w:val="32"/>
          <w:szCs w:val="32"/>
          <w:highlight w:val="none"/>
        </w:rPr>
        <w:t>识达</w:t>
      </w:r>
      <w:r>
        <w:rPr>
          <w:rFonts w:hint="eastAsia" w:ascii="仿宋_GB2312" w:eastAsia="仿宋_GB2312" w:cs="宋体" w:hAnsiTheme="minorEastAsia"/>
          <w:color w:val="auto"/>
          <w:kern w:val="0"/>
          <w:sz w:val="32"/>
          <w:szCs w:val="32"/>
          <w:highlight w:val="none"/>
          <w:lang w:val="en-US" w:eastAsia="zh-CN"/>
        </w:rPr>
        <w:t>21</w:t>
      </w:r>
      <w:r>
        <w:rPr>
          <w:rFonts w:hint="eastAsia" w:ascii="仿宋_GB2312" w:eastAsia="仿宋_GB2312" w:cs="宋体" w:hAnsiTheme="minorEastAsia"/>
          <w:color w:val="auto"/>
          <w:kern w:val="0"/>
          <w:sz w:val="32"/>
          <w:szCs w:val="32"/>
          <w:highlight w:val="none"/>
        </w:rPr>
        <w:t>00余次，建立普惠金融服务站10</w:t>
      </w:r>
      <w:r>
        <w:rPr>
          <w:rFonts w:hint="eastAsia" w:ascii="仿宋_GB2312" w:eastAsia="仿宋_GB2312" w:cs="宋体" w:hAnsiTheme="minorEastAsia"/>
          <w:color w:val="auto"/>
          <w:kern w:val="0"/>
          <w:sz w:val="32"/>
          <w:szCs w:val="32"/>
          <w:highlight w:val="none"/>
          <w:lang w:val="en-US" w:eastAsia="zh-CN"/>
        </w:rPr>
        <w:t>3</w:t>
      </w:r>
      <w:r>
        <w:rPr>
          <w:rFonts w:hint="eastAsia" w:ascii="仿宋_GB2312" w:eastAsia="仿宋_GB2312" w:cs="宋体" w:hAnsiTheme="minorEastAsia"/>
          <w:color w:val="auto"/>
          <w:kern w:val="0"/>
          <w:sz w:val="32"/>
          <w:szCs w:val="32"/>
          <w:highlight w:val="none"/>
        </w:rPr>
        <w:t>个，惠及3万余</w:t>
      </w:r>
      <w:r>
        <w:rPr>
          <w:rFonts w:hint="eastAsia" w:ascii="仿宋_GB2312" w:eastAsia="仿宋_GB2312" w:cs="宋体" w:hAnsiTheme="minorEastAsia"/>
          <w:color w:val="auto"/>
          <w:kern w:val="0"/>
          <w:sz w:val="32"/>
          <w:szCs w:val="32"/>
          <w:highlight w:val="none"/>
          <w:lang w:eastAsia="zh-CN"/>
        </w:rPr>
        <w:t>名</w:t>
      </w:r>
      <w:r>
        <w:rPr>
          <w:rFonts w:hint="eastAsia" w:ascii="仿宋_GB2312" w:eastAsia="仿宋_GB2312" w:cs="宋体" w:hAnsiTheme="minorEastAsia"/>
          <w:color w:val="auto"/>
          <w:kern w:val="0"/>
          <w:sz w:val="32"/>
          <w:szCs w:val="32"/>
          <w:highlight w:val="none"/>
        </w:rPr>
        <w:t>客户，社保卡激活率达</w:t>
      </w:r>
      <w:r>
        <w:rPr>
          <w:rFonts w:hint="eastAsia" w:ascii="仿宋_GB2312" w:eastAsia="仿宋_GB2312" w:cs="宋体" w:hAnsiTheme="minorEastAsia"/>
          <w:color w:val="auto"/>
          <w:kern w:val="0"/>
          <w:sz w:val="32"/>
          <w:szCs w:val="32"/>
          <w:highlight w:val="none"/>
          <w:lang w:val="en-US" w:eastAsia="zh-CN"/>
        </w:rPr>
        <w:t>86</w:t>
      </w:r>
      <w:r>
        <w:rPr>
          <w:rFonts w:hint="eastAsia" w:ascii="仿宋_GB2312" w:eastAsia="仿宋_GB2312" w:cs="宋体" w:hAnsiTheme="minorEastAsia"/>
          <w:color w:val="auto"/>
          <w:kern w:val="0"/>
          <w:sz w:val="32"/>
          <w:szCs w:val="32"/>
          <w:highlight w:val="none"/>
        </w:rPr>
        <w:t>%</w:t>
      </w:r>
      <w:r>
        <w:rPr>
          <w:rFonts w:hint="eastAsia" w:ascii="仿宋_GB2312" w:eastAsia="仿宋_GB2312" w:cs="宋体" w:hAnsiTheme="minorEastAsia"/>
          <w:color w:val="auto"/>
          <w:kern w:val="0"/>
          <w:sz w:val="32"/>
          <w:szCs w:val="32"/>
          <w:highlight w:val="none"/>
          <w:lang w:eastAsia="zh-CN"/>
        </w:rPr>
        <w:t>，</w:t>
      </w:r>
      <w:r>
        <w:rPr>
          <w:rFonts w:hint="eastAsia" w:ascii="仿宋_GB2312" w:eastAsia="仿宋_GB2312" w:cs="宋体" w:hAnsiTheme="minorEastAsia"/>
          <w:color w:val="auto"/>
          <w:kern w:val="0"/>
          <w:sz w:val="32"/>
          <w:szCs w:val="32"/>
          <w:highlight w:val="none"/>
        </w:rPr>
        <w:t>为客户提供方便快捷的金融服务。</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lang w:eastAsia="zh-CN"/>
        </w:rPr>
        <w:t>十</w:t>
      </w:r>
      <w:r>
        <w:rPr>
          <w:rFonts w:hint="eastAsia" w:ascii="黑体" w:hAnsi="黑体" w:eastAsia="黑体" w:cs="黑体"/>
          <w:b w:val="0"/>
          <w:bCs/>
          <w:color w:val="auto"/>
          <w:kern w:val="0"/>
          <w:sz w:val="32"/>
          <w:szCs w:val="32"/>
          <w:highlight w:val="none"/>
        </w:rPr>
        <w:t>、报告期小微企业金融服务情况</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ascii="仿宋_GB2312" w:eastAsia="仿宋_GB2312" w:cs="宋体" w:hAnsiTheme="minorEastAsia"/>
          <w:color w:val="auto"/>
          <w:kern w:val="0"/>
          <w:sz w:val="32"/>
          <w:szCs w:val="32"/>
          <w:highlight w:val="yellow"/>
        </w:rPr>
      </w:pPr>
      <w:r>
        <w:rPr>
          <w:rFonts w:hint="eastAsia" w:ascii="仿宋_GB2312" w:eastAsia="仿宋_GB2312" w:cs="宋体" w:hAnsiTheme="minorEastAsia"/>
          <w:color w:val="auto"/>
          <w:kern w:val="0"/>
          <w:sz w:val="32"/>
          <w:szCs w:val="32"/>
          <w:highlight w:val="none"/>
        </w:rPr>
        <w:t>全行1</w:t>
      </w:r>
      <w:r>
        <w:rPr>
          <w:rFonts w:hint="eastAsia" w:ascii="仿宋_GB2312" w:eastAsia="仿宋_GB2312" w:cs="宋体" w:hAnsiTheme="minorEastAsia"/>
          <w:color w:val="auto"/>
          <w:kern w:val="0"/>
          <w:sz w:val="32"/>
          <w:szCs w:val="32"/>
          <w:highlight w:val="none"/>
          <w:lang w:val="en-US" w:eastAsia="zh-CN"/>
        </w:rPr>
        <w:t>9</w:t>
      </w:r>
      <w:r>
        <w:rPr>
          <w:rFonts w:hint="eastAsia" w:ascii="仿宋_GB2312" w:eastAsia="仿宋_GB2312" w:cs="宋体" w:hAnsiTheme="minorEastAsia"/>
          <w:color w:val="auto"/>
          <w:kern w:val="0"/>
          <w:sz w:val="32"/>
          <w:szCs w:val="32"/>
          <w:highlight w:val="none"/>
        </w:rPr>
        <w:t>个基层网点已开展综合信贷业务，2025年信贷投放较年初上升5.05亿元，其中小微企业贷款余额35.80亿元，较年初增加3.75亿元；客户数量较年初减少3145户，其中小微企业客户数7576户，较年初增加375户；贷款加权平均利率4.70%，较年初降低0.98%。</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rPr>
        <w:t>十</w:t>
      </w:r>
      <w:r>
        <w:rPr>
          <w:rFonts w:hint="eastAsia" w:ascii="黑体" w:hAnsi="黑体" w:eastAsia="黑体" w:cs="黑体"/>
          <w:b w:val="0"/>
          <w:bCs/>
          <w:color w:val="auto"/>
          <w:kern w:val="0"/>
          <w:sz w:val="32"/>
          <w:szCs w:val="32"/>
          <w:highlight w:val="none"/>
          <w:lang w:eastAsia="zh-CN"/>
        </w:rPr>
        <w:t>一、薪酬情况</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eastAsia="仿宋_GB2312" w:cs="宋体" w:hAnsiTheme="minorEastAsia"/>
          <w:b/>
          <w:bCs w:val="0"/>
          <w:color w:val="auto"/>
          <w:kern w:val="0"/>
          <w:sz w:val="32"/>
          <w:szCs w:val="32"/>
          <w:lang w:eastAsia="zh-CN"/>
        </w:rPr>
      </w:pPr>
      <w:r>
        <w:rPr>
          <w:rFonts w:hint="eastAsia" w:ascii="仿宋_GB2312" w:eastAsia="仿宋_GB2312" w:cs="宋体" w:hAnsiTheme="minorEastAsia"/>
          <w:b/>
          <w:bCs w:val="0"/>
          <w:color w:val="auto"/>
          <w:kern w:val="0"/>
          <w:sz w:val="32"/>
          <w:szCs w:val="32"/>
          <w:lang w:eastAsia="zh-CN"/>
        </w:rPr>
        <w:t>1</w:t>
      </w:r>
      <w:r>
        <w:rPr>
          <w:rFonts w:hint="eastAsia" w:ascii="仿宋_GB2312" w:eastAsia="仿宋_GB2312" w:cs="宋体" w:hAnsiTheme="minorEastAsia"/>
          <w:b/>
          <w:bCs w:val="0"/>
          <w:color w:val="auto"/>
          <w:kern w:val="0"/>
          <w:sz w:val="32"/>
          <w:szCs w:val="32"/>
          <w:lang w:val="en-US" w:eastAsia="zh-CN"/>
        </w:rPr>
        <w:t>1</w:t>
      </w:r>
      <w:r>
        <w:rPr>
          <w:rFonts w:hint="eastAsia" w:ascii="仿宋_GB2312" w:eastAsia="仿宋_GB2312" w:cs="宋体" w:hAnsiTheme="minorEastAsia"/>
          <w:b/>
          <w:bCs w:val="0"/>
          <w:color w:val="auto"/>
          <w:kern w:val="0"/>
          <w:sz w:val="32"/>
          <w:szCs w:val="32"/>
          <w:lang w:eastAsia="zh-CN"/>
        </w:rPr>
        <w:t>.1薪酬管理架构及决策程序</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b w:val="0"/>
          <w:bCs/>
          <w:color w:val="auto"/>
          <w:kern w:val="0"/>
          <w:sz w:val="32"/>
          <w:szCs w:val="32"/>
          <w:lang w:eastAsia="zh-CN"/>
        </w:rPr>
      </w:pPr>
      <w:r>
        <w:rPr>
          <w:rFonts w:hint="eastAsia" w:ascii="仿宋_GB2312" w:eastAsia="仿宋_GB2312" w:cs="宋体" w:hAnsiTheme="minorEastAsia"/>
          <w:b w:val="0"/>
          <w:bCs/>
          <w:color w:val="auto"/>
          <w:kern w:val="0"/>
          <w:sz w:val="32"/>
          <w:szCs w:val="32"/>
          <w:lang w:eastAsia="zh-CN"/>
        </w:rPr>
        <w:t>本行董事会对薪酬管理负最终责任，董事会下设提名与薪酬委员会负责研究和审查董事及高级管理人员的薪酬政策与方案。提名与薪酬委员会主任委员由独立董事担任。人力资源部为薪酬管理实施部门。</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eastAsia="仿宋_GB2312" w:cs="宋体" w:hAnsiTheme="minorEastAsia"/>
          <w:b/>
          <w:bCs w:val="0"/>
          <w:color w:val="auto"/>
          <w:kern w:val="0"/>
          <w:sz w:val="32"/>
          <w:szCs w:val="32"/>
          <w:lang w:eastAsia="zh-CN"/>
        </w:rPr>
      </w:pPr>
      <w:r>
        <w:rPr>
          <w:rFonts w:hint="eastAsia" w:ascii="仿宋_GB2312" w:eastAsia="仿宋_GB2312" w:cs="宋体" w:hAnsiTheme="minorEastAsia"/>
          <w:b/>
          <w:bCs w:val="0"/>
          <w:color w:val="auto"/>
          <w:kern w:val="0"/>
          <w:sz w:val="32"/>
          <w:szCs w:val="32"/>
          <w:lang w:eastAsia="zh-CN"/>
        </w:rPr>
        <w:t>1</w:t>
      </w:r>
      <w:r>
        <w:rPr>
          <w:rFonts w:hint="eastAsia" w:ascii="仿宋_GB2312" w:eastAsia="仿宋_GB2312" w:cs="宋体" w:hAnsiTheme="minorEastAsia"/>
          <w:b/>
          <w:bCs w:val="0"/>
          <w:color w:val="auto"/>
          <w:kern w:val="0"/>
          <w:sz w:val="32"/>
          <w:szCs w:val="32"/>
          <w:lang w:val="en-US" w:eastAsia="zh-CN"/>
        </w:rPr>
        <w:t>1</w:t>
      </w:r>
      <w:r>
        <w:rPr>
          <w:rFonts w:hint="eastAsia" w:ascii="仿宋_GB2312" w:eastAsia="仿宋_GB2312" w:cs="宋体" w:hAnsiTheme="minorEastAsia"/>
          <w:b/>
          <w:bCs w:val="0"/>
          <w:color w:val="auto"/>
          <w:kern w:val="0"/>
          <w:sz w:val="32"/>
          <w:szCs w:val="32"/>
          <w:lang w:eastAsia="zh-CN"/>
        </w:rPr>
        <w:t>.2年度薪酬总量、受益人及薪酬结构</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b w:val="0"/>
          <w:bCs/>
          <w:color w:val="auto"/>
          <w:kern w:val="0"/>
          <w:sz w:val="32"/>
          <w:szCs w:val="32"/>
          <w:lang w:eastAsia="zh-CN"/>
        </w:rPr>
      </w:pPr>
      <w:r>
        <w:rPr>
          <w:rFonts w:hint="eastAsia" w:ascii="仿宋_GB2312" w:eastAsia="仿宋_GB2312" w:cs="宋体" w:hAnsiTheme="minorEastAsia"/>
          <w:b w:val="0"/>
          <w:bCs/>
          <w:color w:val="auto"/>
          <w:kern w:val="0"/>
          <w:sz w:val="32"/>
          <w:szCs w:val="32"/>
          <w:lang w:eastAsia="zh-CN"/>
        </w:rPr>
        <w:t>报告期内，本行薪酬总量为</w:t>
      </w:r>
      <w:r>
        <w:rPr>
          <w:rFonts w:hint="eastAsia" w:ascii="仿宋_GB2312" w:eastAsia="仿宋_GB2312" w:cs="宋体" w:hAnsiTheme="minorEastAsia"/>
          <w:b w:val="0"/>
          <w:bCs/>
          <w:color w:val="auto"/>
          <w:kern w:val="0"/>
          <w:sz w:val="32"/>
          <w:szCs w:val="32"/>
          <w:highlight w:val="none"/>
          <w:lang w:val="en-US" w:eastAsia="zh-CN"/>
        </w:rPr>
        <w:t>4261</w:t>
      </w:r>
      <w:r>
        <w:rPr>
          <w:rFonts w:hint="eastAsia" w:ascii="仿宋_GB2312" w:eastAsia="仿宋_GB2312" w:cs="宋体" w:hAnsiTheme="minorEastAsia"/>
          <w:b w:val="0"/>
          <w:bCs/>
          <w:color w:val="auto"/>
          <w:kern w:val="0"/>
          <w:sz w:val="32"/>
          <w:szCs w:val="32"/>
          <w:highlight w:val="none"/>
          <w:lang w:eastAsia="zh-CN"/>
        </w:rPr>
        <w:t>万元。其中基本薪酬1</w:t>
      </w:r>
      <w:r>
        <w:rPr>
          <w:rFonts w:hint="eastAsia" w:ascii="仿宋_GB2312" w:eastAsia="仿宋_GB2312" w:cs="宋体" w:hAnsiTheme="minorEastAsia"/>
          <w:b w:val="0"/>
          <w:bCs/>
          <w:color w:val="auto"/>
          <w:kern w:val="0"/>
          <w:sz w:val="32"/>
          <w:szCs w:val="32"/>
          <w:highlight w:val="none"/>
          <w:lang w:val="en-US" w:eastAsia="zh-CN"/>
        </w:rPr>
        <w:t>261</w:t>
      </w:r>
      <w:r>
        <w:rPr>
          <w:rFonts w:hint="eastAsia" w:ascii="仿宋_GB2312" w:eastAsia="仿宋_GB2312" w:cs="宋体" w:hAnsiTheme="minorEastAsia"/>
          <w:b w:val="0"/>
          <w:bCs/>
          <w:color w:val="auto"/>
          <w:kern w:val="0"/>
          <w:sz w:val="32"/>
          <w:szCs w:val="32"/>
          <w:highlight w:val="none"/>
          <w:lang w:eastAsia="zh-CN"/>
        </w:rPr>
        <w:t>万元、绩效薪酬</w:t>
      </w:r>
      <w:r>
        <w:rPr>
          <w:rFonts w:hint="eastAsia" w:ascii="仿宋_GB2312" w:eastAsia="仿宋_GB2312" w:cs="宋体" w:hAnsiTheme="minorEastAsia"/>
          <w:b w:val="0"/>
          <w:bCs/>
          <w:color w:val="auto"/>
          <w:kern w:val="0"/>
          <w:sz w:val="32"/>
          <w:szCs w:val="32"/>
          <w:highlight w:val="none"/>
          <w:lang w:val="en-US" w:eastAsia="zh-CN"/>
        </w:rPr>
        <w:t>2712</w:t>
      </w:r>
      <w:r>
        <w:rPr>
          <w:rFonts w:hint="eastAsia" w:ascii="仿宋_GB2312" w:eastAsia="仿宋_GB2312" w:cs="宋体" w:hAnsiTheme="minorEastAsia"/>
          <w:b w:val="0"/>
          <w:bCs/>
          <w:color w:val="auto"/>
          <w:kern w:val="0"/>
          <w:sz w:val="32"/>
          <w:szCs w:val="32"/>
          <w:highlight w:val="none"/>
          <w:lang w:eastAsia="zh-CN"/>
        </w:rPr>
        <w:t>万元、其他薪酬</w:t>
      </w:r>
      <w:r>
        <w:rPr>
          <w:rFonts w:hint="eastAsia" w:ascii="仿宋_GB2312" w:eastAsia="仿宋_GB2312" w:cs="宋体" w:hAnsiTheme="minorEastAsia"/>
          <w:b w:val="0"/>
          <w:bCs/>
          <w:color w:val="auto"/>
          <w:kern w:val="0"/>
          <w:sz w:val="32"/>
          <w:szCs w:val="32"/>
          <w:highlight w:val="none"/>
          <w:lang w:val="en-US" w:eastAsia="zh-CN"/>
        </w:rPr>
        <w:t>288万元</w:t>
      </w:r>
      <w:r>
        <w:rPr>
          <w:rFonts w:hint="eastAsia" w:ascii="仿宋_GB2312" w:eastAsia="仿宋_GB2312" w:cs="宋体" w:hAnsiTheme="minorEastAsia"/>
          <w:b w:val="0"/>
          <w:bCs/>
          <w:color w:val="auto"/>
          <w:kern w:val="0"/>
          <w:sz w:val="32"/>
          <w:szCs w:val="32"/>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eastAsia="仿宋_GB2312" w:cs="宋体" w:hAnsiTheme="minorEastAsia"/>
          <w:b/>
          <w:bCs w:val="0"/>
          <w:color w:val="auto"/>
          <w:kern w:val="0"/>
          <w:sz w:val="32"/>
          <w:szCs w:val="32"/>
          <w:lang w:eastAsia="zh-CN"/>
        </w:rPr>
      </w:pPr>
      <w:r>
        <w:rPr>
          <w:rFonts w:hint="eastAsia" w:ascii="仿宋_GB2312" w:eastAsia="仿宋_GB2312" w:cs="宋体" w:hAnsiTheme="minorEastAsia"/>
          <w:b/>
          <w:bCs w:val="0"/>
          <w:color w:val="auto"/>
          <w:kern w:val="0"/>
          <w:sz w:val="32"/>
          <w:szCs w:val="32"/>
          <w:lang w:eastAsia="zh-CN"/>
        </w:rPr>
        <w:t>1</w:t>
      </w:r>
      <w:r>
        <w:rPr>
          <w:rFonts w:hint="eastAsia" w:ascii="仿宋_GB2312" w:eastAsia="仿宋_GB2312" w:cs="宋体" w:hAnsiTheme="minorEastAsia"/>
          <w:b/>
          <w:bCs w:val="0"/>
          <w:color w:val="auto"/>
          <w:kern w:val="0"/>
          <w:sz w:val="32"/>
          <w:szCs w:val="32"/>
          <w:lang w:val="en-US" w:eastAsia="zh-CN"/>
        </w:rPr>
        <w:t>1</w:t>
      </w:r>
      <w:r>
        <w:rPr>
          <w:rFonts w:hint="eastAsia" w:ascii="仿宋_GB2312" w:eastAsia="仿宋_GB2312" w:cs="宋体" w:hAnsiTheme="minorEastAsia"/>
          <w:b/>
          <w:bCs w:val="0"/>
          <w:color w:val="auto"/>
          <w:kern w:val="0"/>
          <w:sz w:val="32"/>
          <w:szCs w:val="32"/>
          <w:lang w:eastAsia="zh-CN"/>
        </w:rPr>
        <w:t>.3薪酬与业绩衡量、风险调整的标准</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b w:val="0"/>
          <w:bCs/>
          <w:color w:val="auto"/>
          <w:kern w:val="0"/>
          <w:sz w:val="32"/>
          <w:szCs w:val="32"/>
          <w:lang w:eastAsia="zh-CN"/>
        </w:rPr>
      </w:pPr>
      <w:r>
        <w:rPr>
          <w:rFonts w:hint="eastAsia" w:ascii="仿宋_GB2312" w:eastAsia="仿宋_GB2312" w:cs="宋体" w:hAnsiTheme="minorEastAsia"/>
          <w:b w:val="0"/>
          <w:bCs/>
          <w:color w:val="auto"/>
          <w:kern w:val="0"/>
          <w:sz w:val="32"/>
          <w:szCs w:val="32"/>
          <w:lang w:eastAsia="zh-CN"/>
        </w:rPr>
        <w:t>本行薪酬制定坚持“合规管理、风险可控”的原则，统筹业务发展与风险防控，做到稳健经营、合规引领，建立兼顾效益与风险，当期成果与可持续发展的绩效考核指标体系，全面客观地实施绩效考核。坚持“全额挂钩、考核到人”的原则。除员工的基本薪酬以外，绩效薪酬同工同酬，全额与业绩挂钩，将绩效薪酬考核的目标、内容、方法、标准等直接落实到每一个员工，直接将绩效薪酬计发到员工个人。</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eastAsia="仿宋_GB2312" w:cs="宋体" w:hAnsiTheme="minorEastAsia"/>
          <w:b/>
          <w:bCs w:val="0"/>
          <w:color w:val="auto"/>
          <w:kern w:val="0"/>
          <w:sz w:val="32"/>
          <w:szCs w:val="32"/>
          <w:lang w:eastAsia="zh-CN"/>
        </w:rPr>
      </w:pPr>
      <w:r>
        <w:rPr>
          <w:rFonts w:hint="eastAsia" w:ascii="仿宋_GB2312" w:eastAsia="仿宋_GB2312" w:cs="宋体" w:hAnsiTheme="minorEastAsia"/>
          <w:b/>
          <w:bCs w:val="0"/>
          <w:color w:val="auto"/>
          <w:kern w:val="0"/>
          <w:sz w:val="32"/>
          <w:szCs w:val="32"/>
          <w:lang w:eastAsia="zh-CN"/>
        </w:rPr>
        <w:t>1</w:t>
      </w:r>
      <w:r>
        <w:rPr>
          <w:rFonts w:hint="eastAsia" w:ascii="仿宋_GB2312" w:eastAsia="仿宋_GB2312" w:cs="宋体" w:hAnsiTheme="minorEastAsia"/>
          <w:b/>
          <w:bCs w:val="0"/>
          <w:color w:val="auto"/>
          <w:kern w:val="0"/>
          <w:sz w:val="32"/>
          <w:szCs w:val="32"/>
          <w:lang w:val="en-US" w:eastAsia="zh-CN"/>
        </w:rPr>
        <w:t>1</w:t>
      </w:r>
      <w:r>
        <w:rPr>
          <w:rFonts w:hint="eastAsia" w:ascii="仿宋_GB2312" w:eastAsia="仿宋_GB2312" w:cs="宋体" w:hAnsiTheme="minorEastAsia"/>
          <w:b/>
          <w:bCs w:val="0"/>
          <w:color w:val="auto"/>
          <w:kern w:val="0"/>
          <w:sz w:val="32"/>
          <w:szCs w:val="32"/>
          <w:lang w:eastAsia="zh-CN"/>
        </w:rPr>
        <w:t>.4薪酬延期支付和非现金薪酬情况，包括因故扣回的情况</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b w:val="0"/>
          <w:bCs/>
          <w:color w:val="auto"/>
          <w:kern w:val="0"/>
          <w:sz w:val="32"/>
          <w:szCs w:val="32"/>
          <w:lang w:eastAsia="zh-CN"/>
        </w:rPr>
      </w:pPr>
      <w:r>
        <w:rPr>
          <w:rFonts w:hint="eastAsia" w:ascii="仿宋_GB2312" w:eastAsia="仿宋_GB2312" w:cs="宋体" w:hAnsiTheme="minorEastAsia"/>
          <w:b w:val="0"/>
          <w:bCs/>
          <w:color w:val="auto"/>
          <w:kern w:val="0"/>
          <w:sz w:val="32"/>
          <w:szCs w:val="32"/>
          <w:lang w:eastAsia="zh-CN"/>
        </w:rPr>
        <w:t>根据《商业银行稳健薪酬监管指引》规定,对高级管理人员及关键岗位人员绩效薪酬进行延期支付，延期支付薪酬按有关规定兑付。高级管理人员和关键岗位人员如存在明显过失或未尽到审慎管理义务，导致职责范围内风险超常暴露的，本行可以追索扣回其相应期限内的绩效薪酬。报告期内，本行未执行非现金薪酬。</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eastAsia="仿宋_GB2312" w:cs="宋体" w:hAnsiTheme="minorEastAsia"/>
          <w:b/>
          <w:bCs w:val="0"/>
          <w:color w:val="auto"/>
          <w:kern w:val="0"/>
          <w:sz w:val="32"/>
          <w:szCs w:val="32"/>
          <w:lang w:eastAsia="zh-CN"/>
        </w:rPr>
      </w:pPr>
      <w:r>
        <w:rPr>
          <w:rFonts w:hint="eastAsia" w:ascii="仿宋_GB2312" w:eastAsia="仿宋_GB2312" w:cs="宋体" w:hAnsiTheme="minorEastAsia"/>
          <w:b/>
          <w:bCs w:val="0"/>
          <w:color w:val="auto"/>
          <w:kern w:val="0"/>
          <w:sz w:val="32"/>
          <w:szCs w:val="32"/>
          <w:lang w:eastAsia="zh-CN"/>
        </w:rPr>
        <w:t>1</w:t>
      </w:r>
      <w:r>
        <w:rPr>
          <w:rFonts w:hint="eastAsia" w:ascii="仿宋_GB2312" w:eastAsia="仿宋_GB2312" w:cs="宋体" w:hAnsiTheme="minorEastAsia"/>
          <w:b/>
          <w:bCs w:val="0"/>
          <w:color w:val="auto"/>
          <w:kern w:val="0"/>
          <w:sz w:val="32"/>
          <w:szCs w:val="32"/>
          <w:lang w:val="en-US" w:eastAsia="zh-CN"/>
        </w:rPr>
        <w:t>1</w:t>
      </w:r>
      <w:r>
        <w:rPr>
          <w:rFonts w:hint="eastAsia" w:ascii="仿宋_GB2312" w:eastAsia="仿宋_GB2312" w:cs="宋体" w:hAnsiTheme="minorEastAsia"/>
          <w:b/>
          <w:bCs w:val="0"/>
          <w:color w:val="auto"/>
          <w:kern w:val="0"/>
          <w:sz w:val="32"/>
          <w:szCs w:val="32"/>
          <w:lang w:eastAsia="zh-CN"/>
        </w:rPr>
        <w:t>.5董事会、高级管理层和对银行风险有重要影响岗位上的员工的具体薪酬信息</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b w:val="0"/>
          <w:bCs/>
          <w:color w:val="auto"/>
          <w:kern w:val="0"/>
          <w:sz w:val="32"/>
          <w:szCs w:val="32"/>
          <w:lang w:eastAsia="zh-CN"/>
        </w:rPr>
      </w:pPr>
      <w:r>
        <w:rPr>
          <w:rFonts w:hint="eastAsia" w:ascii="仿宋_GB2312" w:eastAsia="仿宋_GB2312" w:cs="宋体" w:hAnsiTheme="minorEastAsia"/>
          <w:b w:val="0"/>
          <w:bCs/>
          <w:color w:val="auto"/>
          <w:kern w:val="0"/>
          <w:sz w:val="32"/>
          <w:szCs w:val="32"/>
          <w:lang w:eastAsia="zh-CN"/>
        </w:rPr>
        <w:t>报告期内，本行董事会、高级管理层等关键管理人员薪酬按照联合银行核定标准计发。本行绩效薪酬分配倾向于对风险有重要影响岗位和一线创造效益的员工。</w:t>
      </w:r>
      <w:r>
        <w:rPr>
          <w:rFonts w:hint="eastAsia" w:ascii="仿宋_GB2312" w:eastAsia="仿宋_GB2312" w:cs="宋体" w:hAnsiTheme="minorEastAsia"/>
          <w:b w:val="0"/>
          <w:bCs/>
          <w:color w:val="auto"/>
          <w:kern w:val="0"/>
          <w:sz w:val="32"/>
          <w:szCs w:val="32"/>
          <w:highlight w:val="none"/>
          <w:lang w:eastAsia="zh-CN"/>
        </w:rPr>
        <w:t>外部董事、外部监事和本行高级管理人员税前薪酬合计</w:t>
      </w:r>
      <w:r>
        <w:rPr>
          <w:rFonts w:hint="eastAsia" w:ascii="仿宋_GB2312" w:eastAsia="仿宋_GB2312" w:cs="宋体" w:hAnsiTheme="minorEastAsia"/>
          <w:b w:val="0"/>
          <w:bCs/>
          <w:color w:val="auto"/>
          <w:kern w:val="0"/>
          <w:sz w:val="32"/>
          <w:szCs w:val="32"/>
          <w:highlight w:val="none"/>
          <w:lang w:val="en-US" w:eastAsia="zh-CN"/>
        </w:rPr>
        <w:t>283.55</w:t>
      </w:r>
      <w:r>
        <w:rPr>
          <w:rFonts w:hint="eastAsia" w:ascii="仿宋_GB2312" w:eastAsia="仿宋_GB2312" w:cs="宋体" w:hAnsiTheme="minorEastAsia"/>
          <w:b w:val="0"/>
          <w:bCs/>
          <w:color w:val="auto"/>
          <w:kern w:val="0"/>
          <w:sz w:val="32"/>
          <w:szCs w:val="32"/>
          <w:highlight w:val="none"/>
          <w:lang w:eastAsia="zh-CN"/>
        </w:rPr>
        <w:t>万元。</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eastAsia="仿宋_GB2312" w:cs="宋体" w:hAnsiTheme="minorEastAsia"/>
          <w:b/>
          <w:bCs w:val="0"/>
          <w:color w:val="auto"/>
          <w:kern w:val="0"/>
          <w:sz w:val="32"/>
          <w:szCs w:val="32"/>
          <w:lang w:eastAsia="zh-CN"/>
        </w:rPr>
      </w:pPr>
      <w:r>
        <w:rPr>
          <w:rFonts w:hint="eastAsia" w:ascii="仿宋_GB2312" w:eastAsia="仿宋_GB2312" w:cs="宋体" w:hAnsiTheme="minorEastAsia"/>
          <w:b/>
          <w:bCs w:val="0"/>
          <w:color w:val="auto"/>
          <w:kern w:val="0"/>
          <w:sz w:val="32"/>
          <w:szCs w:val="32"/>
          <w:lang w:eastAsia="zh-CN"/>
        </w:rPr>
        <w:t>1</w:t>
      </w:r>
      <w:r>
        <w:rPr>
          <w:rFonts w:hint="eastAsia" w:ascii="仿宋_GB2312" w:eastAsia="仿宋_GB2312" w:cs="宋体" w:hAnsiTheme="minorEastAsia"/>
          <w:b/>
          <w:bCs w:val="0"/>
          <w:color w:val="auto"/>
          <w:kern w:val="0"/>
          <w:sz w:val="32"/>
          <w:szCs w:val="32"/>
          <w:lang w:val="en-US" w:eastAsia="zh-CN"/>
        </w:rPr>
        <w:t>1</w:t>
      </w:r>
      <w:r>
        <w:rPr>
          <w:rFonts w:hint="eastAsia" w:ascii="仿宋_GB2312" w:eastAsia="仿宋_GB2312" w:cs="宋体" w:hAnsiTheme="minorEastAsia"/>
          <w:b/>
          <w:bCs w:val="0"/>
          <w:color w:val="auto"/>
          <w:kern w:val="0"/>
          <w:sz w:val="32"/>
          <w:szCs w:val="32"/>
          <w:lang w:eastAsia="zh-CN"/>
        </w:rPr>
        <w:t>.6年度薪酬方案制定、备案及经济风险和社会责任指标完成考核情况</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b w:val="0"/>
          <w:bCs/>
          <w:color w:val="auto"/>
          <w:kern w:val="0"/>
          <w:sz w:val="32"/>
          <w:szCs w:val="32"/>
          <w:lang w:eastAsia="zh-CN"/>
        </w:rPr>
      </w:pPr>
      <w:r>
        <w:rPr>
          <w:rFonts w:hint="eastAsia" w:ascii="仿宋_GB2312" w:eastAsia="仿宋_GB2312" w:cs="宋体" w:hAnsiTheme="minorEastAsia"/>
          <w:b w:val="0"/>
          <w:bCs/>
          <w:color w:val="auto"/>
          <w:kern w:val="0"/>
          <w:sz w:val="32"/>
          <w:szCs w:val="32"/>
          <w:lang w:eastAsia="zh-CN"/>
        </w:rPr>
        <w:t>报告期内，本行制定了《大余农商银行202</w:t>
      </w:r>
      <w:r>
        <w:rPr>
          <w:rFonts w:hint="eastAsia" w:ascii="仿宋_GB2312" w:eastAsia="仿宋_GB2312" w:cs="宋体" w:hAnsiTheme="minorEastAsia"/>
          <w:b w:val="0"/>
          <w:bCs/>
          <w:color w:val="auto"/>
          <w:kern w:val="0"/>
          <w:sz w:val="32"/>
          <w:szCs w:val="32"/>
          <w:lang w:val="en-US" w:eastAsia="zh-CN"/>
        </w:rPr>
        <w:t>5</w:t>
      </w:r>
      <w:r>
        <w:rPr>
          <w:rFonts w:hint="eastAsia" w:ascii="仿宋_GB2312" w:eastAsia="仿宋_GB2312" w:cs="宋体" w:hAnsiTheme="minorEastAsia"/>
          <w:b w:val="0"/>
          <w:bCs/>
          <w:color w:val="auto"/>
          <w:kern w:val="0"/>
          <w:sz w:val="32"/>
          <w:szCs w:val="32"/>
          <w:lang w:eastAsia="zh-CN"/>
        </w:rPr>
        <w:t>年绩效考核方案(试行)》、《大余农商银行202</w:t>
      </w:r>
      <w:r>
        <w:rPr>
          <w:rFonts w:hint="eastAsia" w:ascii="仿宋_GB2312" w:eastAsia="仿宋_GB2312" w:cs="宋体" w:hAnsiTheme="minorEastAsia"/>
          <w:b w:val="0"/>
          <w:bCs/>
          <w:color w:val="auto"/>
          <w:kern w:val="0"/>
          <w:sz w:val="32"/>
          <w:szCs w:val="32"/>
          <w:lang w:val="en-US" w:eastAsia="zh-CN"/>
        </w:rPr>
        <w:t>5</w:t>
      </w:r>
      <w:r>
        <w:rPr>
          <w:rFonts w:hint="eastAsia" w:ascii="仿宋_GB2312" w:eastAsia="仿宋_GB2312" w:cs="宋体" w:hAnsiTheme="minorEastAsia"/>
          <w:b w:val="0"/>
          <w:bCs/>
          <w:color w:val="auto"/>
          <w:kern w:val="0"/>
          <w:sz w:val="32"/>
          <w:szCs w:val="32"/>
          <w:lang w:eastAsia="zh-CN"/>
        </w:rPr>
        <w:t>年综合考评实施方案》等方案。报告期内，本行经济、风险和社会责任指标完成预期目标。</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3" w:firstLineChars="200"/>
        <w:textAlignment w:val="auto"/>
        <w:outlineLvl w:val="9"/>
        <w:rPr>
          <w:rFonts w:hint="eastAsia" w:ascii="仿宋_GB2312" w:eastAsia="仿宋_GB2312" w:cs="宋体" w:hAnsiTheme="minorEastAsia"/>
          <w:b/>
          <w:bCs w:val="0"/>
          <w:color w:val="auto"/>
          <w:kern w:val="0"/>
          <w:sz w:val="32"/>
          <w:szCs w:val="32"/>
          <w:lang w:eastAsia="zh-CN"/>
        </w:rPr>
      </w:pPr>
      <w:r>
        <w:rPr>
          <w:rFonts w:hint="eastAsia" w:ascii="仿宋_GB2312" w:eastAsia="仿宋_GB2312" w:cs="宋体" w:hAnsiTheme="minorEastAsia"/>
          <w:b/>
          <w:bCs w:val="0"/>
          <w:color w:val="auto"/>
          <w:kern w:val="0"/>
          <w:sz w:val="32"/>
          <w:szCs w:val="32"/>
          <w:lang w:eastAsia="zh-CN"/>
        </w:rPr>
        <w:t>1</w:t>
      </w:r>
      <w:r>
        <w:rPr>
          <w:rFonts w:hint="eastAsia" w:ascii="仿宋_GB2312" w:eastAsia="仿宋_GB2312" w:cs="宋体" w:hAnsiTheme="minorEastAsia"/>
          <w:b/>
          <w:bCs w:val="0"/>
          <w:color w:val="auto"/>
          <w:kern w:val="0"/>
          <w:sz w:val="32"/>
          <w:szCs w:val="32"/>
          <w:lang w:val="en-US" w:eastAsia="zh-CN"/>
        </w:rPr>
        <w:t>1</w:t>
      </w:r>
      <w:r>
        <w:rPr>
          <w:rFonts w:hint="eastAsia" w:ascii="仿宋_GB2312" w:eastAsia="仿宋_GB2312" w:cs="宋体" w:hAnsiTheme="minorEastAsia"/>
          <w:b/>
          <w:bCs w:val="0"/>
          <w:color w:val="auto"/>
          <w:kern w:val="0"/>
          <w:sz w:val="32"/>
          <w:szCs w:val="32"/>
          <w:lang w:eastAsia="zh-CN"/>
        </w:rPr>
        <w:t>.7超出原定薪酬方案的例外情况</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cs="宋体" w:hAnsiTheme="minorEastAsia"/>
          <w:b w:val="0"/>
          <w:bCs/>
          <w:color w:val="auto"/>
          <w:kern w:val="0"/>
          <w:sz w:val="32"/>
          <w:szCs w:val="32"/>
          <w:lang w:eastAsia="zh-CN"/>
        </w:rPr>
      </w:pPr>
      <w:r>
        <w:rPr>
          <w:rFonts w:hint="eastAsia" w:ascii="仿宋_GB2312" w:eastAsia="仿宋_GB2312" w:cs="宋体" w:hAnsiTheme="minorEastAsia"/>
          <w:b w:val="0"/>
          <w:bCs/>
          <w:color w:val="auto"/>
          <w:kern w:val="0"/>
          <w:sz w:val="32"/>
          <w:szCs w:val="32"/>
          <w:lang w:eastAsia="zh-CN"/>
        </w:rPr>
        <w:t>报告期内，本行无超出原定薪酬方案的例外情况。</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lang w:eastAsia="zh-CN"/>
        </w:rPr>
        <w:t>十二</w:t>
      </w:r>
      <w:r>
        <w:rPr>
          <w:rFonts w:hint="eastAsia" w:ascii="黑体" w:hAnsi="黑体" w:eastAsia="黑体" w:cs="黑体"/>
          <w:b w:val="0"/>
          <w:bCs/>
          <w:color w:val="auto"/>
          <w:kern w:val="0"/>
          <w:sz w:val="32"/>
          <w:szCs w:val="32"/>
          <w:highlight w:val="none"/>
        </w:rPr>
        <w:t>、其他重要事项</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lang w:val="en-US" w:eastAsia="zh-CN"/>
        </w:rPr>
        <w:t>12.1</w:t>
      </w:r>
      <w:r>
        <w:rPr>
          <w:rFonts w:hint="eastAsia" w:ascii="仿宋_GB2312" w:eastAsia="仿宋_GB2312" w:cs="宋体" w:hAnsiTheme="minorEastAsia"/>
          <w:color w:val="auto"/>
          <w:kern w:val="0"/>
          <w:sz w:val="32"/>
          <w:szCs w:val="32"/>
        </w:rPr>
        <w:t>报告期内，无重大诉讼、仲裁事项。</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lang w:val="en-US" w:eastAsia="zh-CN"/>
        </w:rPr>
        <w:t>12.2</w:t>
      </w:r>
      <w:r>
        <w:rPr>
          <w:rFonts w:hint="eastAsia" w:ascii="仿宋_GB2312" w:eastAsia="仿宋_GB2312" w:cs="宋体" w:hAnsiTheme="minorEastAsia"/>
          <w:color w:val="auto"/>
          <w:kern w:val="0"/>
          <w:sz w:val="32"/>
          <w:szCs w:val="32"/>
        </w:rPr>
        <w:t>报告期内，未发生重大案件、重大差错等情况。</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lang w:val="en-US" w:eastAsia="zh-CN"/>
        </w:rPr>
        <w:t>12.3</w:t>
      </w:r>
      <w:r>
        <w:rPr>
          <w:rFonts w:hint="eastAsia" w:ascii="仿宋_GB2312" w:eastAsia="仿宋_GB2312" w:cs="宋体" w:hAnsiTheme="minorEastAsia"/>
          <w:color w:val="auto"/>
          <w:kern w:val="0"/>
          <w:sz w:val="32"/>
          <w:szCs w:val="32"/>
        </w:rPr>
        <w:t>报告期内本行各项业务合同履行情况正常，无重大合同纠纷发生。</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lang w:val="en-US" w:eastAsia="zh-CN"/>
        </w:rPr>
        <w:t>12.4</w:t>
      </w:r>
      <w:r>
        <w:rPr>
          <w:rFonts w:hint="eastAsia" w:ascii="仿宋_GB2312" w:eastAsia="仿宋_GB2312" w:cs="宋体" w:hAnsiTheme="minorEastAsia"/>
          <w:color w:val="auto"/>
          <w:kern w:val="0"/>
          <w:sz w:val="32"/>
          <w:szCs w:val="32"/>
        </w:rPr>
        <w:t>报告期内，本行董事、监事、高管人员未受到监管部门和司法部门处罚。</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除上述事项外，截至202</w:t>
      </w:r>
      <w:r>
        <w:rPr>
          <w:rFonts w:hint="eastAsia" w:ascii="仿宋_GB2312" w:eastAsia="仿宋_GB2312" w:cs="宋体" w:hAnsiTheme="minorEastAsia"/>
          <w:color w:val="auto"/>
          <w:kern w:val="0"/>
          <w:sz w:val="32"/>
          <w:szCs w:val="32"/>
          <w:lang w:val="en-US" w:eastAsia="zh-CN"/>
        </w:rPr>
        <w:t>5</w:t>
      </w:r>
      <w:r>
        <w:rPr>
          <w:rFonts w:hint="eastAsia" w:ascii="仿宋_GB2312" w:eastAsia="仿宋_GB2312" w:cs="宋体" w:hAnsiTheme="minorEastAsia"/>
          <w:color w:val="auto"/>
          <w:kern w:val="0"/>
          <w:sz w:val="32"/>
          <w:szCs w:val="32"/>
        </w:rPr>
        <w:t>年12月31日，本行无需要披露的其他重要事项。</w:t>
      </w:r>
    </w:p>
    <w:p>
      <w:pPr>
        <w:keepNext w:val="0"/>
        <w:keepLines w:val="0"/>
        <w:pageBreakBefore w:val="0"/>
        <w:kinsoku/>
        <w:wordWrap/>
        <w:overflowPunct/>
        <w:topLinePunct w:val="0"/>
        <w:autoSpaceDE/>
        <w:autoSpaceDN/>
        <w:bidi w:val="0"/>
        <w:adjustRightInd/>
        <w:snapToGrid/>
        <w:spacing w:line="500" w:lineRule="exact"/>
        <w:ind w:firstLine="633" w:firstLineChars="198"/>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十</w:t>
      </w:r>
      <w:r>
        <w:rPr>
          <w:rFonts w:hint="eastAsia" w:ascii="黑体" w:hAnsi="黑体" w:eastAsia="黑体" w:cs="黑体"/>
          <w:b w:val="0"/>
          <w:bCs/>
          <w:color w:val="auto"/>
          <w:kern w:val="0"/>
          <w:sz w:val="32"/>
          <w:szCs w:val="32"/>
          <w:highlight w:val="none"/>
          <w:lang w:eastAsia="zh-CN"/>
        </w:rPr>
        <w:t>三</w:t>
      </w:r>
      <w:r>
        <w:rPr>
          <w:rFonts w:hint="eastAsia" w:ascii="黑体" w:hAnsi="黑体" w:eastAsia="黑体" w:cs="黑体"/>
          <w:b w:val="0"/>
          <w:bCs/>
          <w:color w:val="auto"/>
          <w:kern w:val="0"/>
          <w:sz w:val="32"/>
          <w:szCs w:val="32"/>
          <w:highlight w:val="none"/>
        </w:rPr>
        <w:t>、财务报告审计意见</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ascii="仿宋_GB2312" w:eastAsia="仿宋_GB2312" w:cs="宋体" w:hAnsiTheme="minorEastAsia"/>
          <w:color w:val="auto"/>
          <w:kern w:val="0"/>
          <w:sz w:val="32"/>
          <w:szCs w:val="32"/>
        </w:rPr>
      </w:pPr>
      <w:r>
        <w:rPr>
          <w:rFonts w:hint="eastAsia" w:ascii="仿宋_GB2312" w:eastAsia="仿宋_GB2312" w:cs="宋体" w:hAnsiTheme="minorEastAsia"/>
          <w:color w:val="auto"/>
          <w:kern w:val="0"/>
          <w:sz w:val="32"/>
          <w:szCs w:val="32"/>
        </w:rPr>
        <w:t>本行202</w:t>
      </w:r>
      <w:r>
        <w:rPr>
          <w:rFonts w:hint="eastAsia" w:ascii="仿宋_GB2312" w:eastAsia="仿宋_GB2312" w:cs="宋体" w:hAnsiTheme="minorEastAsia"/>
          <w:color w:val="auto"/>
          <w:kern w:val="0"/>
          <w:sz w:val="32"/>
          <w:szCs w:val="32"/>
          <w:lang w:val="en-US" w:eastAsia="zh-CN"/>
        </w:rPr>
        <w:t>5</w:t>
      </w:r>
      <w:r>
        <w:rPr>
          <w:rFonts w:hint="eastAsia" w:ascii="仿宋_GB2312" w:eastAsia="仿宋_GB2312" w:cs="宋体" w:hAnsiTheme="minorEastAsia"/>
          <w:color w:val="auto"/>
          <w:kern w:val="0"/>
          <w:sz w:val="32"/>
          <w:szCs w:val="32"/>
        </w:rPr>
        <w:t>年度财务报告经赣州</w:t>
      </w:r>
      <w:r>
        <w:rPr>
          <w:rFonts w:hint="eastAsia" w:ascii="仿宋_GB2312" w:eastAsia="仿宋_GB2312" w:cs="宋体" w:hAnsiTheme="minorEastAsia"/>
          <w:color w:val="auto"/>
          <w:kern w:val="0"/>
          <w:sz w:val="32"/>
          <w:szCs w:val="32"/>
          <w:lang w:eastAsia="zh-CN"/>
        </w:rPr>
        <w:t>建诚天安</w:t>
      </w:r>
      <w:r>
        <w:rPr>
          <w:rFonts w:hint="eastAsia" w:ascii="仿宋_GB2312" w:eastAsia="仿宋_GB2312" w:cs="宋体" w:hAnsiTheme="minorEastAsia"/>
          <w:color w:val="auto"/>
          <w:kern w:val="0"/>
          <w:sz w:val="32"/>
          <w:szCs w:val="32"/>
        </w:rPr>
        <w:t>联合会计师事务所按国内审计准则审计，注册会计师</w:t>
      </w:r>
      <w:r>
        <w:rPr>
          <w:rFonts w:hint="eastAsia" w:ascii="仿宋_GB2312" w:eastAsia="仿宋_GB2312" w:cs="宋体" w:hAnsiTheme="minorEastAsia"/>
          <w:color w:val="auto"/>
          <w:kern w:val="0"/>
          <w:sz w:val="32"/>
          <w:szCs w:val="32"/>
          <w:lang w:eastAsia="zh-CN"/>
        </w:rPr>
        <w:t>叶花、郑传新</w:t>
      </w:r>
      <w:r>
        <w:rPr>
          <w:rFonts w:hint="eastAsia" w:ascii="仿宋_GB2312" w:eastAsia="仿宋_GB2312" w:cs="宋体" w:hAnsiTheme="minorEastAsia"/>
          <w:color w:val="auto"/>
          <w:kern w:val="0"/>
          <w:sz w:val="32"/>
          <w:szCs w:val="32"/>
        </w:rPr>
        <w:t>出具了标准无保留意见的审计报告（</w:t>
      </w:r>
      <w:r>
        <w:rPr>
          <w:rFonts w:hint="eastAsia" w:ascii="仿宋_GB2312" w:eastAsia="仿宋_GB2312" w:cs="宋体" w:hAnsiTheme="minorEastAsia"/>
          <w:color w:val="auto"/>
          <w:kern w:val="0"/>
          <w:sz w:val="32"/>
          <w:szCs w:val="32"/>
          <w:highlight w:val="none"/>
        </w:rPr>
        <w:t>赣</w:t>
      </w:r>
      <w:r>
        <w:rPr>
          <w:rFonts w:hint="eastAsia" w:ascii="仿宋_GB2312" w:eastAsia="仿宋_GB2312" w:cs="宋体" w:hAnsiTheme="minorEastAsia"/>
          <w:color w:val="auto"/>
          <w:kern w:val="0"/>
          <w:sz w:val="32"/>
          <w:szCs w:val="32"/>
          <w:highlight w:val="none"/>
          <w:lang w:eastAsia="zh-CN"/>
        </w:rPr>
        <w:t>建诚</w:t>
      </w:r>
      <w:r>
        <w:rPr>
          <w:rFonts w:hint="eastAsia" w:ascii="仿宋_GB2312" w:eastAsia="仿宋_GB2312" w:cs="宋体" w:hAnsiTheme="minorEastAsia"/>
          <w:color w:val="auto"/>
          <w:kern w:val="0"/>
          <w:sz w:val="32"/>
          <w:szCs w:val="32"/>
          <w:highlight w:val="none"/>
        </w:rPr>
        <w:t>会</w:t>
      </w:r>
      <w:r>
        <w:rPr>
          <w:rFonts w:hint="eastAsia" w:ascii="仿宋_GB2312" w:eastAsia="仿宋_GB2312" w:cs="宋体" w:hAnsiTheme="minorEastAsia"/>
          <w:color w:val="auto"/>
          <w:kern w:val="0"/>
          <w:sz w:val="32"/>
          <w:szCs w:val="32"/>
          <w:highlight w:val="none"/>
          <w:lang w:eastAsia="zh-CN"/>
        </w:rPr>
        <w:t>师</w:t>
      </w:r>
      <w:r>
        <w:rPr>
          <w:rFonts w:hint="eastAsia" w:ascii="仿宋_GB2312" w:eastAsia="仿宋_GB2312" w:cs="宋体" w:hAnsiTheme="minorEastAsia"/>
          <w:color w:val="auto"/>
          <w:kern w:val="0"/>
          <w:sz w:val="32"/>
          <w:szCs w:val="32"/>
          <w:highlight w:val="none"/>
        </w:rPr>
        <w:t>审字[202</w:t>
      </w:r>
      <w:r>
        <w:rPr>
          <w:rFonts w:hint="eastAsia" w:ascii="仿宋_GB2312" w:eastAsia="仿宋_GB2312" w:cs="宋体" w:hAnsiTheme="minorEastAsia"/>
          <w:color w:val="auto"/>
          <w:kern w:val="0"/>
          <w:sz w:val="32"/>
          <w:szCs w:val="32"/>
          <w:highlight w:val="none"/>
          <w:lang w:val="en-US" w:eastAsia="zh-CN"/>
        </w:rPr>
        <w:t>6</w:t>
      </w:r>
      <w:r>
        <w:rPr>
          <w:rFonts w:hint="eastAsia" w:ascii="仿宋_GB2312" w:eastAsia="仿宋_GB2312" w:cs="宋体" w:hAnsiTheme="minorEastAsia"/>
          <w:color w:val="auto"/>
          <w:kern w:val="0"/>
          <w:sz w:val="32"/>
          <w:szCs w:val="32"/>
          <w:highlight w:val="none"/>
        </w:rPr>
        <w:t>]第</w:t>
      </w:r>
      <w:r>
        <w:rPr>
          <w:rFonts w:hint="eastAsia" w:ascii="仿宋_GB2312" w:eastAsia="仿宋_GB2312" w:cs="宋体" w:hAnsiTheme="minorEastAsia"/>
          <w:color w:val="auto"/>
          <w:kern w:val="0"/>
          <w:sz w:val="32"/>
          <w:szCs w:val="32"/>
          <w:highlight w:val="none"/>
          <w:lang w:val="en-US" w:eastAsia="zh-CN"/>
        </w:rPr>
        <w:t>017</w:t>
      </w:r>
      <w:r>
        <w:rPr>
          <w:rFonts w:hint="eastAsia" w:ascii="仿宋_GB2312" w:eastAsia="仿宋_GB2312" w:cs="宋体" w:hAnsiTheme="minorEastAsia"/>
          <w:color w:val="auto"/>
          <w:kern w:val="0"/>
          <w:sz w:val="32"/>
          <w:szCs w:val="32"/>
          <w:highlight w:val="none"/>
        </w:rPr>
        <w:t>号）。</w:t>
      </w:r>
    </w:p>
    <w:p>
      <w:pPr>
        <w:keepNext w:val="0"/>
        <w:keepLines w:val="0"/>
        <w:pageBreakBefore w:val="0"/>
        <w:widowControl/>
        <w:shd w:val="clear" w:color="auto" w:fill="FFFFFF"/>
        <w:tabs>
          <w:tab w:val="left" w:pos="630"/>
        </w:tabs>
        <w:kinsoku/>
        <w:wordWrap/>
        <w:overflowPunct/>
        <w:topLinePunct w:val="0"/>
        <w:autoSpaceDE/>
        <w:autoSpaceDN/>
        <w:bidi w:val="0"/>
        <w:adjustRightInd/>
        <w:snapToGrid/>
        <w:spacing w:line="500" w:lineRule="exact"/>
        <w:ind w:firstLine="640" w:firstLineChars="200"/>
        <w:textAlignment w:val="auto"/>
        <w:outlineLvl w:val="9"/>
        <w:rPr>
          <w:rFonts w:ascii="仿宋_GB2312" w:eastAsia="仿宋_GB2312" w:cs="宋体" w:hAnsiTheme="minorEastAsia"/>
          <w:color w:val="auto"/>
          <w:kern w:val="0"/>
          <w:sz w:val="32"/>
          <w:szCs w:val="32"/>
        </w:rPr>
      </w:pP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9"/>
        <w:rPr>
          <w:rFonts w:ascii="仿宋_GB2312" w:eastAsia="仿宋_GB2312" w:hAnsiTheme="minorEastAsia"/>
          <w:color w:val="auto"/>
          <w:sz w:val="32"/>
          <w:szCs w:val="32"/>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大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33616"/>
    </w:sdtPr>
    <w:sdtContent>
      <w:p>
        <w:pPr>
          <w:pStyle w:val="4"/>
          <w:jc w:val="center"/>
        </w:pPr>
        <w:r>
          <w:fldChar w:fldCharType="begin"/>
        </w:r>
        <w:r>
          <w:instrText xml:space="preserve"> PAGE   \* MERGEFORMAT </w:instrText>
        </w:r>
        <w:r>
          <w:fldChar w:fldCharType="separate"/>
        </w:r>
        <w:r>
          <w:rPr>
            <w:lang w:val="zh-CN"/>
          </w:rPr>
          <w:t>19</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45E0"/>
    <w:rsid w:val="00015354"/>
    <w:rsid w:val="00021497"/>
    <w:rsid w:val="00030F6C"/>
    <w:rsid w:val="000353E6"/>
    <w:rsid w:val="00035E26"/>
    <w:rsid w:val="00047D76"/>
    <w:rsid w:val="000512A9"/>
    <w:rsid w:val="000603BE"/>
    <w:rsid w:val="00062D02"/>
    <w:rsid w:val="000703D9"/>
    <w:rsid w:val="000743B5"/>
    <w:rsid w:val="000824EC"/>
    <w:rsid w:val="00084799"/>
    <w:rsid w:val="00092784"/>
    <w:rsid w:val="000955E1"/>
    <w:rsid w:val="00095DBD"/>
    <w:rsid w:val="000A0AF5"/>
    <w:rsid w:val="000B24D6"/>
    <w:rsid w:val="000C566A"/>
    <w:rsid w:val="000E3774"/>
    <w:rsid w:val="000F60F8"/>
    <w:rsid w:val="000F77FA"/>
    <w:rsid w:val="0011340B"/>
    <w:rsid w:val="001352B9"/>
    <w:rsid w:val="00137A5D"/>
    <w:rsid w:val="0014034F"/>
    <w:rsid w:val="00147848"/>
    <w:rsid w:val="00150600"/>
    <w:rsid w:val="00155B56"/>
    <w:rsid w:val="001660C0"/>
    <w:rsid w:val="00172A20"/>
    <w:rsid w:val="00172A27"/>
    <w:rsid w:val="00174820"/>
    <w:rsid w:val="00181CB9"/>
    <w:rsid w:val="0018352D"/>
    <w:rsid w:val="00184773"/>
    <w:rsid w:val="001925D8"/>
    <w:rsid w:val="001A4A00"/>
    <w:rsid w:val="001A774F"/>
    <w:rsid w:val="001B18F7"/>
    <w:rsid w:val="001B31B5"/>
    <w:rsid w:val="001B5C0D"/>
    <w:rsid w:val="001B6792"/>
    <w:rsid w:val="001C6255"/>
    <w:rsid w:val="001D6465"/>
    <w:rsid w:val="001E069E"/>
    <w:rsid w:val="001F615C"/>
    <w:rsid w:val="001F7060"/>
    <w:rsid w:val="00200C5E"/>
    <w:rsid w:val="00204D94"/>
    <w:rsid w:val="00205CD2"/>
    <w:rsid w:val="00205E20"/>
    <w:rsid w:val="0022627F"/>
    <w:rsid w:val="0023103B"/>
    <w:rsid w:val="00231442"/>
    <w:rsid w:val="00231865"/>
    <w:rsid w:val="00233E66"/>
    <w:rsid w:val="00234500"/>
    <w:rsid w:val="0024259B"/>
    <w:rsid w:val="00251397"/>
    <w:rsid w:val="00257F6F"/>
    <w:rsid w:val="00262CA6"/>
    <w:rsid w:val="002636F4"/>
    <w:rsid w:val="002647BF"/>
    <w:rsid w:val="00294CD2"/>
    <w:rsid w:val="002B6DD6"/>
    <w:rsid w:val="002C39CA"/>
    <w:rsid w:val="002D07E7"/>
    <w:rsid w:val="002D5CAE"/>
    <w:rsid w:val="002E70B2"/>
    <w:rsid w:val="002F1A67"/>
    <w:rsid w:val="002F236F"/>
    <w:rsid w:val="00304ED8"/>
    <w:rsid w:val="00310E09"/>
    <w:rsid w:val="00311018"/>
    <w:rsid w:val="00317F97"/>
    <w:rsid w:val="0032220E"/>
    <w:rsid w:val="003428B5"/>
    <w:rsid w:val="003435E5"/>
    <w:rsid w:val="00346740"/>
    <w:rsid w:val="00350FF7"/>
    <w:rsid w:val="003605FB"/>
    <w:rsid w:val="00360664"/>
    <w:rsid w:val="003650BB"/>
    <w:rsid w:val="00366AA6"/>
    <w:rsid w:val="0039343D"/>
    <w:rsid w:val="003A19EB"/>
    <w:rsid w:val="003A6E6E"/>
    <w:rsid w:val="003B058D"/>
    <w:rsid w:val="003B2313"/>
    <w:rsid w:val="003B6078"/>
    <w:rsid w:val="003C2E52"/>
    <w:rsid w:val="003C46FE"/>
    <w:rsid w:val="003C4835"/>
    <w:rsid w:val="003C7C2F"/>
    <w:rsid w:val="003D065B"/>
    <w:rsid w:val="003D4535"/>
    <w:rsid w:val="003D50FB"/>
    <w:rsid w:val="003E407E"/>
    <w:rsid w:val="003E438B"/>
    <w:rsid w:val="003F48DB"/>
    <w:rsid w:val="0041183B"/>
    <w:rsid w:val="004207D2"/>
    <w:rsid w:val="0043040D"/>
    <w:rsid w:val="00443608"/>
    <w:rsid w:val="004634FC"/>
    <w:rsid w:val="00464FD5"/>
    <w:rsid w:val="004847F2"/>
    <w:rsid w:val="00485A0C"/>
    <w:rsid w:val="00486703"/>
    <w:rsid w:val="00491C55"/>
    <w:rsid w:val="00491FA5"/>
    <w:rsid w:val="00494E2D"/>
    <w:rsid w:val="00496C7E"/>
    <w:rsid w:val="00496FA6"/>
    <w:rsid w:val="004A0E3C"/>
    <w:rsid w:val="004A2268"/>
    <w:rsid w:val="004A285B"/>
    <w:rsid w:val="004A3CA6"/>
    <w:rsid w:val="004B07EB"/>
    <w:rsid w:val="004C251C"/>
    <w:rsid w:val="004C3308"/>
    <w:rsid w:val="004C503E"/>
    <w:rsid w:val="004E0A2E"/>
    <w:rsid w:val="004F2703"/>
    <w:rsid w:val="0051038F"/>
    <w:rsid w:val="00517CAF"/>
    <w:rsid w:val="00522386"/>
    <w:rsid w:val="00537E1B"/>
    <w:rsid w:val="00545DBC"/>
    <w:rsid w:val="00553493"/>
    <w:rsid w:val="00574103"/>
    <w:rsid w:val="00581741"/>
    <w:rsid w:val="00581ECE"/>
    <w:rsid w:val="005910E0"/>
    <w:rsid w:val="005926BD"/>
    <w:rsid w:val="005959FC"/>
    <w:rsid w:val="00595F68"/>
    <w:rsid w:val="005B1ED1"/>
    <w:rsid w:val="005B35DB"/>
    <w:rsid w:val="005B4D84"/>
    <w:rsid w:val="005B684B"/>
    <w:rsid w:val="005B71F1"/>
    <w:rsid w:val="005C7BC4"/>
    <w:rsid w:val="005D1548"/>
    <w:rsid w:val="005D6B5E"/>
    <w:rsid w:val="005E6A5C"/>
    <w:rsid w:val="005F4132"/>
    <w:rsid w:val="005F4D6F"/>
    <w:rsid w:val="005F70ED"/>
    <w:rsid w:val="0061271D"/>
    <w:rsid w:val="006128B3"/>
    <w:rsid w:val="00624EEB"/>
    <w:rsid w:val="0063122B"/>
    <w:rsid w:val="006370F6"/>
    <w:rsid w:val="00644B4F"/>
    <w:rsid w:val="006465D2"/>
    <w:rsid w:val="00655142"/>
    <w:rsid w:val="0067363C"/>
    <w:rsid w:val="00684CF1"/>
    <w:rsid w:val="006A6641"/>
    <w:rsid w:val="006D10C4"/>
    <w:rsid w:val="006D3250"/>
    <w:rsid w:val="006E7FD8"/>
    <w:rsid w:val="0070389F"/>
    <w:rsid w:val="00703C1E"/>
    <w:rsid w:val="00707A10"/>
    <w:rsid w:val="0071703B"/>
    <w:rsid w:val="0072167A"/>
    <w:rsid w:val="00732148"/>
    <w:rsid w:val="00732CA4"/>
    <w:rsid w:val="00747F1C"/>
    <w:rsid w:val="007526DE"/>
    <w:rsid w:val="00754188"/>
    <w:rsid w:val="007710F5"/>
    <w:rsid w:val="00780C80"/>
    <w:rsid w:val="00783FCE"/>
    <w:rsid w:val="007855B4"/>
    <w:rsid w:val="007B3BCB"/>
    <w:rsid w:val="007B420B"/>
    <w:rsid w:val="007C09E0"/>
    <w:rsid w:val="007D0336"/>
    <w:rsid w:val="007E0EFC"/>
    <w:rsid w:val="007F7D3B"/>
    <w:rsid w:val="0081797C"/>
    <w:rsid w:val="0082276C"/>
    <w:rsid w:val="008236E8"/>
    <w:rsid w:val="0082691F"/>
    <w:rsid w:val="0083101A"/>
    <w:rsid w:val="00832591"/>
    <w:rsid w:val="00834DDC"/>
    <w:rsid w:val="008365D1"/>
    <w:rsid w:val="008430AF"/>
    <w:rsid w:val="0084741E"/>
    <w:rsid w:val="00852AEE"/>
    <w:rsid w:val="00866673"/>
    <w:rsid w:val="0087149A"/>
    <w:rsid w:val="008727AE"/>
    <w:rsid w:val="0087309A"/>
    <w:rsid w:val="00875FEA"/>
    <w:rsid w:val="0087665C"/>
    <w:rsid w:val="008830E1"/>
    <w:rsid w:val="00893549"/>
    <w:rsid w:val="00895767"/>
    <w:rsid w:val="008963C6"/>
    <w:rsid w:val="008B29DD"/>
    <w:rsid w:val="008B6868"/>
    <w:rsid w:val="008C7562"/>
    <w:rsid w:val="008D05F4"/>
    <w:rsid w:val="008D1F16"/>
    <w:rsid w:val="008D2EA4"/>
    <w:rsid w:val="008F5E23"/>
    <w:rsid w:val="009270C3"/>
    <w:rsid w:val="00930573"/>
    <w:rsid w:val="009519E9"/>
    <w:rsid w:val="00957F32"/>
    <w:rsid w:val="0097439E"/>
    <w:rsid w:val="0098294F"/>
    <w:rsid w:val="00982B6A"/>
    <w:rsid w:val="00987864"/>
    <w:rsid w:val="009918C7"/>
    <w:rsid w:val="009A27EC"/>
    <w:rsid w:val="009A2B65"/>
    <w:rsid w:val="009A5A60"/>
    <w:rsid w:val="009B221A"/>
    <w:rsid w:val="009B2222"/>
    <w:rsid w:val="009B2FB4"/>
    <w:rsid w:val="009C042D"/>
    <w:rsid w:val="009C3B88"/>
    <w:rsid w:val="009D2B72"/>
    <w:rsid w:val="009E0A1B"/>
    <w:rsid w:val="009E0D03"/>
    <w:rsid w:val="009E0EA8"/>
    <w:rsid w:val="009E4811"/>
    <w:rsid w:val="009E5587"/>
    <w:rsid w:val="009F2782"/>
    <w:rsid w:val="00A00756"/>
    <w:rsid w:val="00A0177C"/>
    <w:rsid w:val="00A03753"/>
    <w:rsid w:val="00A044B6"/>
    <w:rsid w:val="00A046E8"/>
    <w:rsid w:val="00A071BD"/>
    <w:rsid w:val="00A07A3F"/>
    <w:rsid w:val="00A1394E"/>
    <w:rsid w:val="00A15444"/>
    <w:rsid w:val="00A1739B"/>
    <w:rsid w:val="00A23FC6"/>
    <w:rsid w:val="00A2635F"/>
    <w:rsid w:val="00A30E2E"/>
    <w:rsid w:val="00A34919"/>
    <w:rsid w:val="00A40E2F"/>
    <w:rsid w:val="00A54425"/>
    <w:rsid w:val="00A57532"/>
    <w:rsid w:val="00A60DAA"/>
    <w:rsid w:val="00A676B5"/>
    <w:rsid w:val="00A72BDD"/>
    <w:rsid w:val="00A74F51"/>
    <w:rsid w:val="00A815AA"/>
    <w:rsid w:val="00A93C72"/>
    <w:rsid w:val="00A96841"/>
    <w:rsid w:val="00A9768B"/>
    <w:rsid w:val="00AA5C81"/>
    <w:rsid w:val="00AB5A7D"/>
    <w:rsid w:val="00AB6537"/>
    <w:rsid w:val="00AC2515"/>
    <w:rsid w:val="00AC3B9D"/>
    <w:rsid w:val="00AE076E"/>
    <w:rsid w:val="00AE1C96"/>
    <w:rsid w:val="00AE2794"/>
    <w:rsid w:val="00AE7D40"/>
    <w:rsid w:val="00AF1800"/>
    <w:rsid w:val="00AF4855"/>
    <w:rsid w:val="00AF4FAA"/>
    <w:rsid w:val="00B02131"/>
    <w:rsid w:val="00B06A03"/>
    <w:rsid w:val="00B23B47"/>
    <w:rsid w:val="00B312F3"/>
    <w:rsid w:val="00B3575F"/>
    <w:rsid w:val="00B439B8"/>
    <w:rsid w:val="00B456D7"/>
    <w:rsid w:val="00B57349"/>
    <w:rsid w:val="00B8494E"/>
    <w:rsid w:val="00B91BE3"/>
    <w:rsid w:val="00B94911"/>
    <w:rsid w:val="00B966F2"/>
    <w:rsid w:val="00B96DBA"/>
    <w:rsid w:val="00BB5939"/>
    <w:rsid w:val="00BC6799"/>
    <w:rsid w:val="00BE4F85"/>
    <w:rsid w:val="00BF1920"/>
    <w:rsid w:val="00BF6B55"/>
    <w:rsid w:val="00C127EF"/>
    <w:rsid w:val="00C1378A"/>
    <w:rsid w:val="00C1411F"/>
    <w:rsid w:val="00C146F7"/>
    <w:rsid w:val="00C255A2"/>
    <w:rsid w:val="00C27245"/>
    <w:rsid w:val="00C32439"/>
    <w:rsid w:val="00C34046"/>
    <w:rsid w:val="00C413A7"/>
    <w:rsid w:val="00C4486A"/>
    <w:rsid w:val="00C46B55"/>
    <w:rsid w:val="00C645CF"/>
    <w:rsid w:val="00C661DA"/>
    <w:rsid w:val="00C703D2"/>
    <w:rsid w:val="00C77ED0"/>
    <w:rsid w:val="00C92C28"/>
    <w:rsid w:val="00CA18BE"/>
    <w:rsid w:val="00CA3DB8"/>
    <w:rsid w:val="00CA42C0"/>
    <w:rsid w:val="00CB5CD7"/>
    <w:rsid w:val="00CB6372"/>
    <w:rsid w:val="00CC16F3"/>
    <w:rsid w:val="00CD2305"/>
    <w:rsid w:val="00CE5DDE"/>
    <w:rsid w:val="00CF0F1E"/>
    <w:rsid w:val="00D0562F"/>
    <w:rsid w:val="00D133B0"/>
    <w:rsid w:val="00D27A5C"/>
    <w:rsid w:val="00D35C51"/>
    <w:rsid w:val="00D45EDF"/>
    <w:rsid w:val="00D47A24"/>
    <w:rsid w:val="00D50A93"/>
    <w:rsid w:val="00D53321"/>
    <w:rsid w:val="00D57D4F"/>
    <w:rsid w:val="00D64C37"/>
    <w:rsid w:val="00D7210F"/>
    <w:rsid w:val="00D7617E"/>
    <w:rsid w:val="00D77CB5"/>
    <w:rsid w:val="00D8401D"/>
    <w:rsid w:val="00D8597E"/>
    <w:rsid w:val="00D8675D"/>
    <w:rsid w:val="00D922F3"/>
    <w:rsid w:val="00DC2C7B"/>
    <w:rsid w:val="00DC4AED"/>
    <w:rsid w:val="00DD0582"/>
    <w:rsid w:val="00DD21F6"/>
    <w:rsid w:val="00DD3732"/>
    <w:rsid w:val="00DD50A9"/>
    <w:rsid w:val="00DE51AA"/>
    <w:rsid w:val="00DE5A3E"/>
    <w:rsid w:val="00E00F3E"/>
    <w:rsid w:val="00E02DBB"/>
    <w:rsid w:val="00E046A1"/>
    <w:rsid w:val="00E15715"/>
    <w:rsid w:val="00E225D1"/>
    <w:rsid w:val="00E24486"/>
    <w:rsid w:val="00E33FB2"/>
    <w:rsid w:val="00E34D98"/>
    <w:rsid w:val="00E511A5"/>
    <w:rsid w:val="00E66D47"/>
    <w:rsid w:val="00E671AB"/>
    <w:rsid w:val="00E74AF7"/>
    <w:rsid w:val="00E754E1"/>
    <w:rsid w:val="00E7614B"/>
    <w:rsid w:val="00E97872"/>
    <w:rsid w:val="00EA0D1E"/>
    <w:rsid w:val="00EA3A1F"/>
    <w:rsid w:val="00EA5538"/>
    <w:rsid w:val="00EA58D9"/>
    <w:rsid w:val="00EB0BF1"/>
    <w:rsid w:val="00EB466E"/>
    <w:rsid w:val="00EC0317"/>
    <w:rsid w:val="00EC150E"/>
    <w:rsid w:val="00EC5EF7"/>
    <w:rsid w:val="00ED4F06"/>
    <w:rsid w:val="00ED6A3B"/>
    <w:rsid w:val="00EF622C"/>
    <w:rsid w:val="00EF75DD"/>
    <w:rsid w:val="00EF7CF0"/>
    <w:rsid w:val="00F06BD1"/>
    <w:rsid w:val="00F1180F"/>
    <w:rsid w:val="00F13E7E"/>
    <w:rsid w:val="00F211AA"/>
    <w:rsid w:val="00F25F2B"/>
    <w:rsid w:val="00F36EDE"/>
    <w:rsid w:val="00F405E1"/>
    <w:rsid w:val="00F43438"/>
    <w:rsid w:val="00F5502C"/>
    <w:rsid w:val="00F643AF"/>
    <w:rsid w:val="00F83D13"/>
    <w:rsid w:val="00F9467C"/>
    <w:rsid w:val="00F96609"/>
    <w:rsid w:val="00FB6604"/>
    <w:rsid w:val="00FC4B93"/>
    <w:rsid w:val="00FD468A"/>
    <w:rsid w:val="00FD740F"/>
    <w:rsid w:val="00FE4013"/>
    <w:rsid w:val="00FE49D3"/>
    <w:rsid w:val="00FF009E"/>
    <w:rsid w:val="00FF13C8"/>
    <w:rsid w:val="00FF482E"/>
    <w:rsid w:val="012F3846"/>
    <w:rsid w:val="0186731E"/>
    <w:rsid w:val="0337371D"/>
    <w:rsid w:val="033F1FC1"/>
    <w:rsid w:val="036432A1"/>
    <w:rsid w:val="038D4449"/>
    <w:rsid w:val="0458679D"/>
    <w:rsid w:val="04951947"/>
    <w:rsid w:val="04B45157"/>
    <w:rsid w:val="04F87D8A"/>
    <w:rsid w:val="054D45CB"/>
    <w:rsid w:val="05E85694"/>
    <w:rsid w:val="062A6F69"/>
    <w:rsid w:val="064E2C1F"/>
    <w:rsid w:val="06B064E1"/>
    <w:rsid w:val="06BC6D86"/>
    <w:rsid w:val="06DD57F5"/>
    <w:rsid w:val="075C6528"/>
    <w:rsid w:val="07CF7DB5"/>
    <w:rsid w:val="080227D8"/>
    <w:rsid w:val="0831686A"/>
    <w:rsid w:val="084B4978"/>
    <w:rsid w:val="08A37EF7"/>
    <w:rsid w:val="08E75562"/>
    <w:rsid w:val="08FB2EEC"/>
    <w:rsid w:val="09196701"/>
    <w:rsid w:val="09492062"/>
    <w:rsid w:val="098F0AF2"/>
    <w:rsid w:val="0A422D64"/>
    <w:rsid w:val="0A4B57AB"/>
    <w:rsid w:val="0ABE35A7"/>
    <w:rsid w:val="0AE36B02"/>
    <w:rsid w:val="0B4B2395"/>
    <w:rsid w:val="0C396404"/>
    <w:rsid w:val="0C794CCC"/>
    <w:rsid w:val="0C8C4959"/>
    <w:rsid w:val="0CF53198"/>
    <w:rsid w:val="0D796037"/>
    <w:rsid w:val="0DFC4ECF"/>
    <w:rsid w:val="0E1F3234"/>
    <w:rsid w:val="0E7D353D"/>
    <w:rsid w:val="0EC17583"/>
    <w:rsid w:val="0F604209"/>
    <w:rsid w:val="0F81791E"/>
    <w:rsid w:val="0FB11AC1"/>
    <w:rsid w:val="0FFE7C6D"/>
    <w:rsid w:val="10D00701"/>
    <w:rsid w:val="10E75338"/>
    <w:rsid w:val="11B825BC"/>
    <w:rsid w:val="11EA0A9F"/>
    <w:rsid w:val="12666221"/>
    <w:rsid w:val="13065D52"/>
    <w:rsid w:val="13CA7092"/>
    <w:rsid w:val="13E266C4"/>
    <w:rsid w:val="140A13F8"/>
    <w:rsid w:val="14771857"/>
    <w:rsid w:val="156A7A7F"/>
    <w:rsid w:val="156B12B2"/>
    <w:rsid w:val="156F6EE9"/>
    <w:rsid w:val="15845966"/>
    <w:rsid w:val="162D33A6"/>
    <w:rsid w:val="169507B4"/>
    <w:rsid w:val="17496839"/>
    <w:rsid w:val="176658B5"/>
    <w:rsid w:val="18222BA8"/>
    <w:rsid w:val="192B38B4"/>
    <w:rsid w:val="193D65B8"/>
    <w:rsid w:val="19583346"/>
    <w:rsid w:val="19A20004"/>
    <w:rsid w:val="19D831C2"/>
    <w:rsid w:val="1ACE6D14"/>
    <w:rsid w:val="1B522B5A"/>
    <w:rsid w:val="1BA84ED3"/>
    <w:rsid w:val="1C242B63"/>
    <w:rsid w:val="1C5D3DB4"/>
    <w:rsid w:val="1C764E2B"/>
    <w:rsid w:val="1C770ED5"/>
    <w:rsid w:val="1C9C53ED"/>
    <w:rsid w:val="1CAA2171"/>
    <w:rsid w:val="1D2C2260"/>
    <w:rsid w:val="1D8F46C7"/>
    <w:rsid w:val="1DB95EB6"/>
    <w:rsid w:val="1DCB08C5"/>
    <w:rsid w:val="1DE8585D"/>
    <w:rsid w:val="1DF519B0"/>
    <w:rsid w:val="1F272486"/>
    <w:rsid w:val="1F354C0E"/>
    <w:rsid w:val="1F7C09FA"/>
    <w:rsid w:val="1FB9280E"/>
    <w:rsid w:val="1FB9501F"/>
    <w:rsid w:val="2167670B"/>
    <w:rsid w:val="218669F8"/>
    <w:rsid w:val="21DE538D"/>
    <w:rsid w:val="227D752A"/>
    <w:rsid w:val="22965E63"/>
    <w:rsid w:val="22992F18"/>
    <w:rsid w:val="22A50C5F"/>
    <w:rsid w:val="22C56D00"/>
    <w:rsid w:val="232878E4"/>
    <w:rsid w:val="237619D8"/>
    <w:rsid w:val="23B50048"/>
    <w:rsid w:val="24026B9B"/>
    <w:rsid w:val="249E32E7"/>
    <w:rsid w:val="24AF6E2E"/>
    <w:rsid w:val="24BB43AA"/>
    <w:rsid w:val="24D63465"/>
    <w:rsid w:val="24EA327E"/>
    <w:rsid w:val="26104214"/>
    <w:rsid w:val="26155ABD"/>
    <w:rsid w:val="26331D99"/>
    <w:rsid w:val="26723FE9"/>
    <w:rsid w:val="277043E5"/>
    <w:rsid w:val="27AA3D94"/>
    <w:rsid w:val="27E2397A"/>
    <w:rsid w:val="28C27BCF"/>
    <w:rsid w:val="28D875A5"/>
    <w:rsid w:val="2A265614"/>
    <w:rsid w:val="2AB06880"/>
    <w:rsid w:val="2ABB2389"/>
    <w:rsid w:val="2ACA522B"/>
    <w:rsid w:val="2AD73194"/>
    <w:rsid w:val="2B7341DB"/>
    <w:rsid w:val="2B8A6EAD"/>
    <w:rsid w:val="2BF31A13"/>
    <w:rsid w:val="2C753DF0"/>
    <w:rsid w:val="2D3E5532"/>
    <w:rsid w:val="2D660775"/>
    <w:rsid w:val="2DF17732"/>
    <w:rsid w:val="2E943D61"/>
    <w:rsid w:val="2EE84B00"/>
    <w:rsid w:val="2F406FA1"/>
    <w:rsid w:val="2FBF65E5"/>
    <w:rsid w:val="30102F90"/>
    <w:rsid w:val="30825C91"/>
    <w:rsid w:val="30EB1BCA"/>
    <w:rsid w:val="31501CD0"/>
    <w:rsid w:val="324976AF"/>
    <w:rsid w:val="324D58EC"/>
    <w:rsid w:val="32816363"/>
    <w:rsid w:val="32926D85"/>
    <w:rsid w:val="32F82B70"/>
    <w:rsid w:val="33036C6B"/>
    <w:rsid w:val="332974EE"/>
    <w:rsid w:val="333C194D"/>
    <w:rsid w:val="33467DB8"/>
    <w:rsid w:val="339E7A28"/>
    <w:rsid w:val="33C74FB7"/>
    <w:rsid w:val="33E5548A"/>
    <w:rsid w:val="33F24663"/>
    <w:rsid w:val="342A46EF"/>
    <w:rsid w:val="343A3318"/>
    <w:rsid w:val="34471FF9"/>
    <w:rsid w:val="34AE061B"/>
    <w:rsid w:val="34E07107"/>
    <w:rsid w:val="3568600D"/>
    <w:rsid w:val="36284A25"/>
    <w:rsid w:val="37535076"/>
    <w:rsid w:val="378A6C33"/>
    <w:rsid w:val="37F36166"/>
    <w:rsid w:val="38823020"/>
    <w:rsid w:val="38A776FD"/>
    <w:rsid w:val="38D67318"/>
    <w:rsid w:val="39276E6C"/>
    <w:rsid w:val="39A67AC2"/>
    <w:rsid w:val="39FD2724"/>
    <w:rsid w:val="3A031E56"/>
    <w:rsid w:val="3A4E3C01"/>
    <w:rsid w:val="3B0C1229"/>
    <w:rsid w:val="3B4E74C0"/>
    <w:rsid w:val="3B8A44A6"/>
    <w:rsid w:val="3BAB3035"/>
    <w:rsid w:val="3BB62437"/>
    <w:rsid w:val="3BEE1365"/>
    <w:rsid w:val="3D144878"/>
    <w:rsid w:val="3D4F29B3"/>
    <w:rsid w:val="3D85196B"/>
    <w:rsid w:val="3DCA3A5F"/>
    <w:rsid w:val="3E06560D"/>
    <w:rsid w:val="3E0E63ED"/>
    <w:rsid w:val="3E1B79D0"/>
    <w:rsid w:val="3E4D7A70"/>
    <w:rsid w:val="3EAC39CB"/>
    <w:rsid w:val="3F894022"/>
    <w:rsid w:val="3F98176D"/>
    <w:rsid w:val="3FAC3263"/>
    <w:rsid w:val="3FBA745D"/>
    <w:rsid w:val="41276F37"/>
    <w:rsid w:val="41464E39"/>
    <w:rsid w:val="41532998"/>
    <w:rsid w:val="415D00E3"/>
    <w:rsid w:val="416B49AB"/>
    <w:rsid w:val="41A51BA3"/>
    <w:rsid w:val="41D2042D"/>
    <w:rsid w:val="41D50B16"/>
    <w:rsid w:val="42854915"/>
    <w:rsid w:val="42CF58AB"/>
    <w:rsid w:val="43F91E00"/>
    <w:rsid w:val="440E305A"/>
    <w:rsid w:val="44CA0A33"/>
    <w:rsid w:val="45075C4E"/>
    <w:rsid w:val="45234DB6"/>
    <w:rsid w:val="452D6200"/>
    <w:rsid w:val="4582351B"/>
    <w:rsid w:val="4592013D"/>
    <w:rsid w:val="459F3AFA"/>
    <w:rsid w:val="45B8062B"/>
    <w:rsid w:val="461C69B4"/>
    <w:rsid w:val="466C4234"/>
    <w:rsid w:val="46893D42"/>
    <w:rsid w:val="469B67B6"/>
    <w:rsid w:val="46FA3B54"/>
    <w:rsid w:val="471C61D6"/>
    <w:rsid w:val="474B0C15"/>
    <w:rsid w:val="4804283D"/>
    <w:rsid w:val="48251D26"/>
    <w:rsid w:val="487034E7"/>
    <w:rsid w:val="499F1AC1"/>
    <w:rsid w:val="49C457D2"/>
    <w:rsid w:val="4B025590"/>
    <w:rsid w:val="4B7162C9"/>
    <w:rsid w:val="4BDF01BA"/>
    <w:rsid w:val="4C760707"/>
    <w:rsid w:val="4C8056CB"/>
    <w:rsid w:val="4D775A80"/>
    <w:rsid w:val="4F116B9E"/>
    <w:rsid w:val="4FAB049B"/>
    <w:rsid w:val="4FC34AC0"/>
    <w:rsid w:val="4FC73EDE"/>
    <w:rsid w:val="4FFA0CF1"/>
    <w:rsid w:val="507B75EA"/>
    <w:rsid w:val="51BE61A8"/>
    <w:rsid w:val="520C1981"/>
    <w:rsid w:val="522A0BC5"/>
    <w:rsid w:val="527F7F02"/>
    <w:rsid w:val="529062C9"/>
    <w:rsid w:val="52A50906"/>
    <w:rsid w:val="52E2153C"/>
    <w:rsid w:val="52F73CC7"/>
    <w:rsid w:val="537D2E08"/>
    <w:rsid w:val="544652DC"/>
    <w:rsid w:val="557152B0"/>
    <w:rsid w:val="55830515"/>
    <w:rsid w:val="55A36C1F"/>
    <w:rsid w:val="560D6BB5"/>
    <w:rsid w:val="56747326"/>
    <w:rsid w:val="56916AFF"/>
    <w:rsid w:val="574350D1"/>
    <w:rsid w:val="577375B8"/>
    <w:rsid w:val="57E2346C"/>
    <w:rsid w:val="57F01EF9"/>
    <w:rsid w:val="57F50556"/>
    <w:rsid w:val="58407DDE"/>
    <w:rsid w:val="58AD5D60"/>
    <w:rsid w:val="58CB5A15"/>
    <w:rsid w:val="59456A2F"/>
    <w:rsid w:val="5A634451"/>
    <w:rsid w:val="5A86459A"/>
    <w:rsid w:val="5B1E26A4"/>
    <w:rsid w:val="5B465EC2"/>
    <w:rsid w:val="5D7455AB"/>
    <w:rsid w:val="5D8D6621"/>
    <w:rsid w:val="5DAF5419"/>
    <w:rsid w:val="5E32105E"/>
    <w:rsid w:val="5E542B5C"/>
    <w:rsid w:val="5EA24A47"/>
    <w:rsid w:val="5ED966E9"/>
    <w:rsid w:val="5EF85A79"/>
    <w:rsid w:val="5F120DBD"/>
    <w:rsid w:val="5F131013"/>
    <w:rsid w:val="5F602EC6"/>
    <w:rsid w:val="5FD54934"/>
    <w:rsid w:val="5FE337C5"/>
    <w:rsid w:val="60480EFA"/>
    <w:rsid w:val="61F6408C"/>
    <w:rsid w:val="62A47C2F"/>
    <w:rsid w:val="631E76F4"/>
    <w:rsid w:val="63650B12"/>
    <w:rsid w:val="63772D9A"/>
    <w:rsid w:val="644733E1"/>
    <w:rsid w:val="6464383B"/>
    <w:rsid w:val="64DE68FC"/>
    <w:rsid w:val="64ED77C4"/>
    <w:rsid w:val="651F0E71"/>
    <w:rsid w:val="65893E71"/>
    <w:rsid w:val="665E1B08"/>
    <w:rsid w:val="68505242"/>
    <w:rsid w:val="68873361"/>
    <w:rsid w:val="68942FE3"/>
    <w:rsid w:val="68B939BD"/>
    <w:rsid w:val="68C75259"/>
    <w:rsid w:val="69047886"/>
    <w:rsid w:val="69FC2A2F"/>
    <w:rsid w:val="6A336E89"/>
    <w:rsid w:val="6A443391"/>
    <w:rsid w:val="6B107C45"/>
    <w:rsid w:val="6BB95F89"/>
    <w:rsid w:val="6C2D1201"/>
    <w:rsid w:val="6CFF48B5"/>
    <w:rsid w:val="6D1C45C0"/>
    <w:rsid w:val="6DA335C3"/>
    <w:rsid w:val="6DCE125A"/>
    <w:rsid w:val="6E381BC3"/>
    <w:rsid w:val="6ED401B7"/>
    <w:rsid w:val="6F223B35"/>
    <w:rsid w:val="6F2F4EDB"/>
    <w:rsid w:val="6FDE465F"/>
    <w:rsid w:val="706D0B57"/>
    <w:rsid w:val="708F6377"/>
    <w:rsid w:val="70AE5F1F"/>
    <w:rsid w:val="71501CD8"/>
    <w:rsid w:val="718A3E5E"/>
    <w:rsid w:val="719915C7"/>
    <w:rsid w:val="71B04BE3"/>
    <w:rsid w:val="71C00373"/>
    <w:rsid w:val="72D45CA6"/>
    <w:rsid w:val="72DD4808"/>
    <w:rsid w:val="72E209D3"/>
    <w:rsid w:val="72FA7943"/>
    <w:rsid w:val="72FD16E9"/>
    <w:rsid w:val="732C48A5"/>
    <w:rsid w:val="73BB3461"/>
    <w:rsid w:val="73E0376C"/>
    <w:rsid w:val="747643B4"/>
    <w:rsid w:val="74FC5AA7"/>
    <w:rsid w:val="75AA7EED"/>
    <w:rsid w:val="7603622B"/>
    <w:rsid w:val="760F59F6"/>
    <w:rsid w:val="767D24CD"/>
    <w:rsid w:val="770B2D41"/>
    <w:rsid w:val="774048A3"/>
    <w:rsid w:val="77A9424F"/>
    <w:rsid w:val="780D52E5"/>
    <w:rsid w:val="786F4870"/>
    <w:rsid w:val="788B171C"/>
    <w:rsid w:val="796B6F31"/>
    <w:rsid w:val="7A1A780B"/>
    <w:rsid w:val="7A1F3630"/>
    <w:rsid w:val="7A5362CF"/>
    <w:rsid w:val="7A592AED"/>
    <w:rsid w:val="7A8F0A34"/>
    <w:rsid w:val="7BCC73BF"/>
    <w:rsid w:val="7BFC4F0D"/>
    <w:rsid w:val="7C021770"/>
    <w:rsid w:val="7C2D627B"/>
    <w:rsid w:val="7C9E0546"/>
    <w:rsid w:val="7CC31F11"/>
    <w:rsid w:val="7CD92967"/>
    <w:rsid w:val="7D166F57"/>
    <w:rsid w:val="7E1D54B6"/>
    <w:rsid w:val="7EA667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2"/>
    <w:qFormat/>
    <w:uiPriority w:val="0"/>
    <w:rPr>
      <w:rFonts w:ascii="宋体" w:hAnsi="Courier New" w:eastAsia="宋体" w:cs="Courier New"/>
      <w:szCs w:val="21"/>
    </w:rPr>
  </w:style>
  <w:style w:type="paragraph" w:styleId="3">
    <w:name w:val="Balloon Text"/>
    <w:basedOn w:val="1"/>
    <w:link w:val="13"/>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rFonts w:ascii="Calibri" w:hAnsi="Calibri" w:eastAsia="宋体" w:cs="Times New Roman"/>
      <w:sz w:val="24"/>
      <w:szCs w:val="24"/>
    </w:rPr>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qFormat/>
    <w:uiPriority w:val="99"/>
    <w:rPr>
      <w:sz w:val="18"/>
      <w:szCs w:val="18"/>
    </w:rPr>
  </w:style>
  <w:style w:type="paragraph" w:styleId="11">
    <w:name w:val="List Paragraph"/>
    <w:basedOn w:val="1"/>
    <w:qFormat/>
    <w:uiPriority w:val="34"/>
    <w:pPr>
      <w:ind w:firstLine="420" w:firstLineChars="200"/>
    </w:pPr>
    <w:rPr>
      <w:rFonts w:ascii="Calibri" w:hAnsi="Calibri" w:eastAsia="宋体" w:cs="Times New Roman"/>
    </w:rPr>
  </w:style>
  <w:style w:type="character" w:customStyle="1" w:styleId="12">
    <w:name w:val="纯文本 Char"/>
    <w:basedOn w:val="7"/>
    <w:link w:val="2"/>
    <w:qFormat/>
    <w:uiPriority w:val="0"/>
    <w:rPr>
      <w:rFonts w:ascii="宋体" w:hAnsi="Courier New" w:eastAsia="宋体" w:cs="Courier New"/>
      <w:szCs w:val="21"/>
    </w:rPr>
  </w:style>
  <w:style w:type="character" w:customStyle="1" w:styleId="13">
    <w:name w:val="批注框文本 Char"/>
    <w:basedOn w:val="7"/>
    <w:link w:val="3"/>
    <w:semiHidden/>
    <w:qFormat/>
    <w:uiPriority w:val="99"/>
    <w:rPr>
      <w:kern w:val="2"/>
      <w:sz w:val="18"/>
      <w:szCs w:val="18"/>
    </w:rPr>
  </w:style>
  <w:style w:type="paragraph" w:customStyle="1" w:styleId="14">
    <w:name w:val="列出段落1"/>
    <w:basedOn w:val="1"/>
    <w:qFormat/>
    <w:uiPriority w:val="34"/>
    <w:pPr>
      <w:ind w:firstLine="420" w:firstLineChars="200"/>
    </w:pPr>
    <w:rPr>
      <w:rFonts w:ascii="Calibri" w:hAnsi="Calibri" w:eastAsia="宋体" w:cs="Times New Roman"/>
    </w:rPr>
  </w:style>
  <w:style w:type="paragraph" w:customStyle="1" w:styleId="15">
    <w:name w:val="Heading2"/>
    <w:basedOn w:val="1"/>
    <w:next w:val="1"/>
    <w:qFormat/>
    <w:uiPriority w:val="0"/>
    <w:pPr>
      <w:keepNext/>
      <w:keepLines/>
      <w:spacing w:before="260" w:after="260" w:line="416" w:lineRule="auto"/>
    </w:pPr>
    <w:rPr>
      <w:rFonts w:ascii="Cambria" w:hAnsi="Cambria" w:eastAsia="宋体"/>
      <w:b/>
      <w:bCs/>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Pages>
  <Words>2250</Words>
  <Characters>12830</Characters>
  <Lines>106</Lines>
  <Paragraphs>30</Paragraphs>
  <TotalTime>11</TotalTime>
  <ScaleCrop>false</ScaleCrop>
  <LinksUpToDate>false</LinksUpToDate>
  <CharactersWithSpaces>15050</CharactersWithSpaces>
  <Application>WPS Office_10.8.2.7030_F1E327BC-269C-435d-A152-05C5408002CA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2018-05-25T01:43:00Z</dcterms:created>
  <dc:creator>USER-</dc:creator>
  <cp:lastModifiedBy>x</cp:lastModifiedBy>
  <cp:lastPrinted>2022-06-14T07:08:00Z</cp:lastPrinted>
  <dcterms:modified xsi:type="dcterms:W3CDTF">2026-06-23T01:51:19Z</dcterms:modified>
  <cp:revision>216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2052-10.8.2.7030</vt:lpwstr>
  </property>
</Properties>
</file>