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hint="eastAsia"/>
        </w:rPr>
        <w:t>奉新农商银行202</w:t>
      </w:r>
      <w:r>
        <w:t>6</w:t>
      </w:r>
      <w:r>
        <w:rPr>
          <w:rFonts w:hint="eastAsia"/>
        </w:rPr>
        <w:t>年重大关联交易信息披露报告</w:t>
      </w:r>
    </w:p>
    <w:p>
      <w:pPr>
        <w:snapToGrid w:val="0"/>
        <w:spacing w:line="560" w:lineRule="exact"/>
        <w:rPr>
          <w:rFonts w:ascii="仿宋_GB2312" w:hAnsi="仿宋_GB2312" w:eastAsia="仿宋_GB2312" w:cs="仿宋_GB2312"/>
        </w:rPr>
      </w:pPr>
      <w:r>
        <w:rPr>
          <w:rFonts w:hint="eastAsia" w:ascii="仿宋_GB2312" w:hAnsi="仿宋_GB2312" w:eastAsia="仿宋_GB2312" w:cs="仿宋_GB2312"/>
        </w:rPr>
        <w:t>根据《银行保险机构关联交易管理办法》及《奉新农商银行关联交易管理办法》等相关规定，</w:t>
      </w:r>
      <w:r>
        <w:rPr>
          <w:rFonts w:hint="eastAsia" w:ascii="仿宋_GB2312" w:hAnsi="仿宋_GB2312" w:eastAsia="仿宋_GB2312" w:cs="仿宋_GB2312"/>
          <w:lang w:eastAsia="zh-CN"/>
        </w:rPr>
        <w:t>本行</w:t>
      </w:r>
      <w:r>
        <w:rPr>
          <w:rFonts w:hint="eastAsia" w:ascii="仿宋_GB2312" w:hAnsi="仿宋_GB2312" w:eastAsia="仿宋_GB2312" w:cs="仿宋_GB2312"/>
        </w:rPr>
        <w:t>就以下重大关联交易事项公告如下：</w:t>
      </w:r>
    </w:p>
    <w:p>
      <w:pPr>
        <w:numPr>
          <w:ilvl w:val="0"/>
          <w:numId w:val="1"/>
        </w:numPr>
        <w:autoSpaceDE/>
        <w:autoSpaceDN/>
        <w:snapToGrid w:val="0"/>
        <w:spacing w:line="560" w:lineRule="exact"/>
        <w:rPr>
          <w:rFonts w:hint="eastAsia" w:ascii="黑体" w:hAnsi="黑体" w:eastAsia="黑体" w:cs="黑体"/>
        </w:rPr>
      </w:pPr>
      <w:r>
        <w:rPr>
          <w:rFonts w:hint="eastAsia" w:ascii="黑体" w:hAnsi="黑体" w:eastAsia="黑体" w:cs="黑体"/>
        </w:rPr>
        <w:t>本次重大关联交易事项概述</w:t>
      </w:r>
    </w:p>
    <w:p>
      <w:pPr>
        <w:snapToGrid w:val="0"/>
        <w:spacing w:line="560" w:lineRule="exact"/>
      </w:pPr>
      <w:r>
        <w:rPr>
          <w:rFonts w:hint="eastAsia"/>
          <w:lang w:val="en-US" w:eastAsia="zh-CN"/>
        </w:rPr>
        <w:t>2026年9月22日，</w:t>
      </w:r>
      <w:r>
        <w:rPr>
          <w:rFonts w:hint="eastAsia"/>
          <w:lang w:eastAsia="zh-CN"/>
        </w:rPr>
        <w:t>本行</w:t>
      </w:r>
      <w:r>
        <w:rPr>
          <w:rFonts w:hint="eastAsia"/>
          <w:lang w:val="en-US" w:eastAsia="zh-CN"/>
        </w:rPr>
        <w:t>与</w:t>
      </w:r>
      <w:r>
        <w:rPr>
          <w:rFonts w:hint="eastAsia"/>
        </w:rPr>
        <w:t>奉新县悦和混凝土有限公司</w:t>
      </w:r>
      <w:r>
        <w:rPr>
          <w:rFonts w:hint="eastAsia"/>
          <w:lang w:val="en-US" w:eastAsia="zh-CN"/>
        </w:rPr>
        <w:t>签订贷款合同，</w:t>
      </w:r>
      <w:r>
        <w:t>授信金额为1000万元，期限1年，担保方式为保证</w:t>
      </w:r>
      <w:r>
        <w:rPr>
          <w:rFonts w:hint="eastAsia"/>
        </w:rPr>
        <w:t>，年利率3.5%</w:t>
      </w:r>
      <w:r>
        <w:t>，贷款用途为</w:t>
      </w:r>
      <w:r>
        <w:rPr>
          <w:rFonts w:hint="eastAsia"/>
        </w:rPr>
        <w:t>购买水泥等原材料</w:t>
      </w:r>
      <w:r>
        <w:t>。</w:t>
      </w:r>
    </w:p>
    <w:p>
      <w:pPr>
        <w:spacing w:line="560" w:lineRule="exact"/>
        <w:ind w:firstLine="645"/>
      </w:pPr>
      <w:r>
        <w:rPr>
          <w:rFonts w:hint="eastAsia" w:ascii="仿宋" w:hAnsi="仿宋" w:eastAsia="仿宋" w:cs="仿宋"/>
          <w:sz w:val="32"/>
          <w:szCs w:val="32"/>
        </w:rPr>
        <w:t>奉新县悦和混凝土有限公司关联本行董事童绍荣。本行董事童绍荣所在关联集团</w:t>
      </w:r>
      <w:r>
        <w:rPr>
          <w:rFonts w:hint="eastAsia" w:ascii="仿宋" w:hAnsi="仿宋" w:eastAsia="仿宋" w:cs="仿宋"/>
          <w:sz w:val="32"/>
          <w:szCs w:val="32"/>
          <w:lang w:val="en-US" w:eastAsia="zh-CN"/>
        </w:rPr>
        <w:t>本次</w:t>
      </w:r>
      <w:r>
        <w:rPr>
          <w:rFonts w:hint="eastAsia" w:ascii="仿宋" w:hAnsi="仿宋" w:eastAsia="仿宋" w:cs="仿宋"/>
          <w:sz w:val="32"/>
          <w:szCs w:val="32"/>
        </w:rPr>
        <w:t>授信</w:t>
      </w:r>
      <w:r>
        <w:rPr>
          <w:rFonts w:hint="eastAsia" w:ascii="仿宋" w:hAnsi="仿宋" w:eastAsia="仿宋" w:cs="仿宋"/>
          <w:sz w:val="32"/>
          <w:szCs w:val="32"/>
          <w:lang w:val="en-US" w:eastAsia="zh-CN"/>
        </w:rPr>
        <w:t>申请总计</w:t>
      </w:r>
      <w:r>
        <w:rPr>
          <w:rFonts w:hint="eastAsia" w:ascii="仿宋" w:hAnsi="仿宋" w:eastAsia="仿宋" w:cs="仿宋"/>
          <w:sz w:val="32"/>
          <w:szCs w:val="32"/>
        </w:rPr>
        <w:t>12790万元，其中</w:t>
      </w:r>
      <w:r>
        <w:rPr>
          <w:rFonts w:hint="eastAsia" w:cs="仿宋"/>
          <w:color w:val="auto"/>
          <w:sz w:val="32"/>
          <w:szCs w:val="32"/>
          <w:lang w:val="en-US" w:eastAsia="zh-CN"/>
        </w:rPr>
        <w:t>童斌授信920万元，年利率4.35%，期限3年，担保方式为保证，贷款用途购买钢材混凝土等原材料</w:t>
      </w:r>
      <w:r>
        <w:rPr>
          <w:rFonts w:hint="eastAsia" w:ascii="仿宋" w:hAnsi="仿宋" w:eastAsia="仿宋" w:cs="仿宋"/>
          <w:color w:val="auto"/>
          <w:sz w:val="32"/>
          <w:szCs w:val="32"/>
        </w:rPr>
        <w:t>。</w:t>
      </w:r>
    </w:p>
    <w:p>
      <w:pPr>
        <w:autoSpaceDE/>
        <w:autoSpaceDN/>
        <w:snapToGrid w:val="0"/>
        <w:spacing w:line="560" w:lineRule="exact"/>
        <w:ind w:firstLine="643"/>
        <w:rPr>
          <w:rFonts w:ascii="黑体" w:hAnsi="黑体" w:eastAsia="黑体" w:cs="黑体"/>
          <w:b/>
          <w:bCs/>
          <w:spacing w:val="0"/>
          <w:kern w:val="2"/>
        </w:rPr>
      </w:pPr>
      <w:r>
        <w:rPr>
          <w:rFonts w:hint="eastAsia" w:ascii="黑体" w:hAnsi="黑体" w:eastAsia="黑体" w:cs="黑体"/>
          <w:b/>
          <w:bCs/>
          <w:spacing w:val="0"/>
          <w:kern w:val="2"/>
        </w:rPr>
        <w:t>二、关联交易方的基本情况</w:t>
      </w:r>
    </w:p>
    <w:p>
      <w:pPr>
        <w:snapToGrid w:val="0"/>
        <w:spacing w:line="560" w:lineRule="exact"/>
        <w:rPr>
          <w:rFonts w:hint="eastAsia"/>
        </w:rPr>
      </w:pPr>
      <w:r>
        <w:rPr>
          <w:rFonts w:hint="eastAsia"/>
        </w:rPr>
        <w:t>关联交易方：奉新县悦和混凝土有限公司，统一社会信用代码：91360921MA396AXF3D</w:t>
      </w:r>
      <w:r>
        <w:t>，法定代表人：黄娟，注册资本2500万元，公司类型为有限责任公司，公司经营范围为</w:t>
      </w:r>
      <w:r>
        <w:rPr>
          <w:rFonts w:hint="eastAsia"/>
        </w:rPr>
        <w:t>预拌商品混凝土、混凝土预制构件、建筑材料生产销售。</w:t>
      </w:r>
    </w:p>
    <w:p>
      <w:pPr>
        <w:snapToGrid w:val="0"/>
        <w:spacing w:line="560" w:lineRule="exact"/>
      </w:pPr>
      <w:r>
        <w:rPr>
          <w:rFonts w:hint="eastAsia" w:cs="仿宋"/>
          <w:color w:val="auto"/>
          <w:sz w:val="32"/>
          <w:szCs w:val="32"/>
          <w:lang w:val="en-US" w:eastAsia="zh-CN"/>
        </w:rPr>
        <w:t>童斌按照实质重于形式原则认定为关联方，纳入本行关联方进行管理。</w:t>
      </w:r>
      <w:bookmarkStart w:id="0" w:name="_GoBack"/>
      <w:bookmarkEnd w:id="0"/>
    </w:p>
    <w:p>
      <w:pPr>
        <w:autoSpaceDE/>
        <w:autoSpaceDN/>
        <w:snapToGrid w:val="0"/>
        <w:spacing w:line="560" w:lineRule="exact"/>
        <w:ind w:firstLine="643"/>
        <w:rPr>
          <w:rFonts w:ascii="黑体" w:hAnsi="黑体" w:eastAsia="黑体" w:cs="黑体"/>
          <w:b/>
          <w:bCs/>
          <w:spacing w:val="0"/>
          <w:kern w:val="2"/>
        </w:rPr>
      </w:pPr>
      <w:r>
        <w:rPr>
          <w:rFonts w:hint="eastAsia" w:ascii="黑体" w:hAnsi="黑体" w:eastAsia="黑体" w:cs="黑体"/>
          <w:b/>
          <w:bCs/>
          <w:spacing w:val="0"/>
          <w:kern w:val="2"/>
        </w:rPr>
        <w:t>三、定价政策及交易标的情况</w:t>
      </w:r>
    </w:p>
    <w:p>
      <w:pPr>
        <w:adjustRightInd w:val="0"/>
        <w:snapToGrid w:val="0"/>
        <w:spacing w:line="560" w:lineRule="exact"/>
        <w:rPr>
          <w:rFonts w:hint="eastAsia" w:ascii="仿宋_GB2312" w:hAnsi="仿宋_GB2312" w:eastAsia="仿宋_GB2312" w:cs="仿宋_GB2312"/>
        </w:rPr>
      </w:pPr>
      <w:r>
        <w:rPr>
          <w:rFonts w:hint="eastAsia" w:ascii="仿宋_GB2312" w:hAnsi="仿宋_GB2312" w:eastAsia="仿宋_GB2312" w:cs="仿宋_GB2312"/>
        </w:rPr>
        <w:t>本行与关联方之间交易严格按照商业原则和内部审批流程程序，以不优于对非关联方同类交易的条件进行，确保关联方未享有优惠利益，未受到内部相关因素影响。</w:t>
      </w:r>
    </w:p>
    <w:p>
      <w:pPr>
        <w:autoSpaceDE/>
        <w:autoSpaceDN/>
        <w:snapToGrid w:val="0"/>
        <w:spacing w:line="560" w:lineRule="exact"/>
        <w:ind w:firstLine="643"/>
      </w:pPr>
      <w:r>
        <w:rPr>
          <w:rFonts w:hint="eastAsia" w:ascii="黑体" w:hAnsi="黑体" w:eastAsia="黑体" w:cs="黑体"/>
          <w:b/>
          <w:bCs/>
          <w:spacing w:val="0"/>
          <w:kern w:val="2"/>
        </w:rPr>
        <w:t>四、关联交易金额及相应比例</w:t>
      </w:r>
    </w:p>
    <w:p>
      <w:pPr>
        <w:snapToGrid w:val="0"/>
        <w:spacing w:line="560" w:lineRule="exact"/>
      </w:pPr>
      <w:r>
        <w:rPr>
          <w:rFonts w:hint="eastAsia"/>
        </w:rPr>
        <w:t>按相关监管规定，银行机构重大关联交易是指银行机构与单个关联方之间单笔交易金额达到银行机构上季末资本净额</w:t>
      </w:r>
      <w:r>
        <w:t>1%以上，或累计达到银行机构上季末资本净额5%以上的交易。银行机构与单个关联方的交易金额累计达到前款标准后，其后发生的关联交易，每累计达到上季末资本净额1%以上，则应当重新认定为重大关联交易。</w:t>
      </w:r>
    </w:p>
    <w:p>
      <w:pPr>
        <w:snapToGrid w:val="0"/>
        <w:spacing w:line="560" w:lineRule="exact"/>
      </w:pPr>
      <w:r>
        <w:rPr>
          <w:rFonts w:hint="eastAsia"/>
        </w:rPr>
        <w:t>截至</w:t>
      </w:r>
      <w:r>
        <w:t>2026年6月末，本行资本净额为102263.02万元，</w:t>
      </w:r>
      <w:r>
        <w:rPr>
          <w:rFonts w:hint="eastAsia"/>
        </w:rPr>
        <w:t>奉新县悦和混凝土有限公司综合授信2</w:t>
      </w:r>
      <w:r>
        <w:t>000万元，本次授信金额为1000万元，</w:t>
      </w:r>
      <w:r>
        <w:rPr>
          <w:rFonts w:hint="eastAsia"/>
        </w:rPr>
        <w:t>本年度单户累计授信1</w:t>
      </w:r>
      <w:r>
        <w:t>400万元，占本行上季末资本净额1.37%，</w:t>
      </w:r>
      <w:r>
        <w:rPr>
          <w:rFonts w:hint="eastAsia"/>
        </w:rPr>
        <w:t>该笔交易金额占本行上季末资本净额1%以上属于重大关联交易。</w:t>
      </w:r>
      <w:r>
        <w:t>童斌</w:t>
      </w:r>
      <w:r>
        <w:rPr>
          <w:rFonts w:hint="eastAsia"/>
        </w:rPr>
        <w:t>授信金额</w:t>
      </w:r>
      <w:r>
        <w:t>920</w:t>
      </w:r>
      <w:r>
        <w:rPr>
          <w:rFonts w:hint="eastAsia"/>
        </w:rPr>
        <w:t>万元，授信占上季度末资本净额0.</w:t>
      </w:r>
      <w:r>
        <w:t>90</w:t>
      </w:r>
      <w:r>
        <w:rPr>
          <w:rFonts w:hint="eastAsia"/>
        </w:rPr>
        <w:t>%，符合监管要求。</w:t>
      </w:r>
    </w:p>
    <w:p>
      <w:pPr>
        <w:snapToGrid w:val="0"/>
        <w:spacing w:line="560" w:lineRule="exact"/>
      </w:pPr>
      <w:r>
        <w:rPr>
          <w:rFonts w:hint="eastAsia"/>
        </w:rPr>
        <w:t>奉新县悦和混凝土有限公司、童斌所在关联集团授信总计</w:t>
      </w:r>
      <w:r>
        <w:t>12790</w:t>
      </w:r>
      <w:r>
        <w:rPr>
          <w:rFonts w:hint="eastAsia"/>
        </w:rPr>
        <w:t>万元，集团授信占上季末资本净额比例为</w:t>
      </w:r>
      <w:r>
        <w:t>12.51</w:t>
      </w:r>
      <w:r>
        <w:rPr>
          <w:rFonts w:hint="eastAsia"/>
        </w:rPr>
        <w:t>%，符合集团关联度不超15%的监管要求</w:t>
      </w:r>
      <w:r>
        <w:t>。</w:t>
      </w:r>
    </w:p>
    <w:p>
      <w:pPr>
        <w:autoSpaceDE/>
        <w:autoSpaceDN/>
        <w:snapToGrid w:val="0"/>
        <w:spacing w:line="560" w:lineRule="exact"/>
        <w:ind w:firstLine="643"/>
        <w:rPr>
          <w:rFonts w:ascii="黑体" w:hAnsi="黑体" w:eastAsia="黑体" w:cs="黑体"/>
          <w:b/>
          <w:bCs/>
          <w:spacing w:val="0"/>
          <w:kern w:val="2"/>
        </w:rPr>
      </w:pPr>
      <w:r>
        <w:rPr>
          <w:rFonts w:hint="eastAsia" w:ascii="黑体" w:hAnsi="黑体" w:eastAsia="黑体" w:cs="黑体"/>
          <w:b/>
          <w:bCs/>
          <w:spacing w:val="0"/>
          <w:kern w:val="2"/>
        </w:rPr>
        <w:t>五、会议审议及决议情况</w:t>
      </w:r>
    </w:p>
    <w:p>
      <w:pPr>
        <w:autoSpaceDE/>
        <w:autoSpaceDN/>
        <w:snapToGrid w:val="0"/>
        <w:spacing w:line="560" w:lineRule="exact"/>
        <w:ind w:firstLine="643"/>
        <w:rPr>
          <w:rFonts w:hint="eastAsia"/>
        </w:rPr>
      </w:pPr>
      <w:r>
        <w:rPr>
          <w:rFonts w:hint="eastAsia"/>
        </w:rPr>
        <w:t>本次关联交易经本行风险与关联交易控制委员会审查通过，并提交本行董事会审批通过。</w:t>
      </w:r>
    </w:p>
    <w:p>
      <w:pPr>
        <w:autoSpaceDE/>
        <w:autoSpaceDN/>
        <w:snapToGrid w:val="0"/>
        <w:spacing w:line="560" w:lineRule="exact"/>
        <w:ind w:firstLine="643"/>
        <w:rPr>
          <w:rFonts w:ascii="黑体" w:hAnsi="黑体" w:eastAsia="黑体" w:cs="黑体"/>
          <w:b/>
          <w:bCs/>
          <w:spacing w:val="0"/>
          <w:kern w:val="2"/>
        </w:rPr>
      </w:pPr>
      <w:r>
        <w:rPr>
          <w:rFonts w:hint="eastAsia" w:ascii="黑体" w:hAnsi="黑体" w:eastAsia="黑体" w:cs="黑体"/>
          <w:b/>
          <w:bCs/>
          <w:spacing w:val="0"/>
          <w:kern w:val="2"/>
        </w:rPr>
        <w:t>六、独立董事发表意见情况</w:t>
      </w:r>
    </w:p>
    <w:p>
      <w:pPr>
        <w:snapToGrid w:val="0"/>
        <w:spacing w:line="560" w:lineRule="exact"/>
      </w:pPr>
      <w:r>
        <w:rPr>
          <w:rFonts w:hint="eastAsia"/>
        </w:rPr>
        <w:t>本行独立董事本着客观、独立、审慎的原则，积极参与该重大关联交易的决策事项研究，对本次重大关联交易出具了独立意见，认为本次重大关联交易符合相关规定，结论意见为同意，未提出异议。</w:t>
      </w:r>
    </w:p>
    <w:p>
      <w:pPr>
        <w:autoSpaceDE/>
        <w:autoSpaceDN/>
        <w:snapToGrid w:val="0"/>
        <w:spacing w:line="560" w:lineRule="exact"/>
        <w:ind w:firstLine="643"/>
        <w:rPr>
          <w:rFonts w:ascii="黑体" w:hAnsi="黑体" w:eastAsia="黑体" w:cs="黑体"/>
          <w:b/>
          <w:bCs/>
          <w:spacing w:val="0"/>
          <w:kern w:val="2"/>
        </w:rPr>
      </w:pPr>
      <w:r>
        <w:rPr>
          <w:rFonts w:hint="eastAsia" w:ascii="黑体" w:hAnsi="黑体" w:eastAsia="黑体" w:cs="黑体"/>
          <w:b/>
          <w:bCs/>
          <w:spacing w:val="0"/>
          <w:kern w:val="2"/>
        </w:rPr>
        <w:t>七、其他报告事项</w:t>
      </w:r>
    </w:p>
    <w:p>
      <w:pPr>
        <w:snapToGrid w:val="0"/>
        <w:spacing w:line="560" w:lineRule="exact"/>
      </w:pPr>
      <w:r>
        <w:rPr>
          <w:rFonts w:hint="eastAsia"/>
        </w:rPr>
        <w:t>以上交易事项已向国家金融监督管理总局宜春监管分局报告。</w:t>
      </w:r>
    </w:p>
    <w:p>
      <w:pPr>
        <w:tabs>
          <w:tab w:val="left" w:pos="5820"/>
        </w:tabs>
        <w:ind w:firstLine="5928" w:firstLineChars="1900"/>
      </w:pPr>
      <w:r>
        <w:t>奉新农商银行</w:t>
      </w:r>
    </w:p>
    <w:p>
      <w:pPr>
        <w:tabs>
          <w:tab w:val="left" w:pos="5820"/>
        </w:tabs>
      </w:pPr>
      <w:r>
        <w:tab/>
      </w:r>
      <w:r>
        <w:t>2026年</w:t>
      </w:r>
      <w:r>
        <w:rPr>
          <w:rFonts w:hint="eastAsia"/>
          <w:lang w:val="en-US" w:eastAsia="zh-CN"/>
        </w:rPr>
        <w:t>10</w:t>
      </w:r>
      <w:r>
        <w:rPr>
          <w:rFonts w:hint="eastAsia"/>
        </w:rPr>
        <w:t>月</w:t>
      </w:r>
      <w:r>
        <w:rPr>
          <w:rFonts w:hint="eastAsia"/>
          <w:lang w:val="en-US" w:eastAsia="zh-CN"/>
        </w:rPr>
        <w:t>8</w:t>
      </w:r>
      <w:r>
        <w:rPr>
          <w:rFonts w:hint="eastAsia"/>
        </w:rPr>
        <w:t>日</w:t>
      </w:r>
    </w:p>
    <w:p>
      <w:pPr>
        <w:ind w:left="0" w:leftChars="0" w:firstLine="0" w:firstLineChars="0"/>
      </w:pPr>
    </w:p>
    <w:p>
      <w:pPr>
        <w:tabs>
          <w:tab w:val="left" w:pos="5820"/>
        </w:tabs>
      </w:pPr>
      <w:r>
        <w:tab/>
      </w:r>
    </w:p>
    <w:sectPr>
      <w:pgSz w:w="11906" w:h="16838"/>
      <w:pgMar w:top="1327" w:right="1689" w:bottom="1327"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00"/>
    <w:family w:val="auto"/>
    <w:pitch w:val="default"/>
    <w:sig w:usb0="00000000" w:usb1="00000000" w:usb2="00000000" w:usb3="00000000" w:csb0="00000000" w:csb1="00000000"/>
  </w:font>
  <w:font w:name="汉仪书宋二KW">
    <w:altName w:val="宋体"/>
    <w:panose1 w:val="00020600040101010101"/>
    <w:charset w:val="86"/>
    <w:family w:val="auto"/>
    <w:pitch w:val="default"/>
    <w:sig w:usb0="00000000" w:usb1="00000000" w:usb2="00000016" w:usb3="00000000" w:csb0="00040000" w:csb1="00000000"/>
  </w:font>
  <w:font w:name="Kingsoft Confetti">
    <w:altName w:val="Segoe Print"/>
    <w:panose1 w:val="05000100010000000000"/>
    <w:charset w:val="00"/>
    <w:family w:val="auto"/>
    <w:pitch w:val="default"/>
    <w:sig w:usb0="00000000" w:usb1="00000000" w:usb2="00000000" w:usb3="00000000" w:csb0="80000000" w:csb1="00000000"/>
  </w:font>
  <w:font w:name="汉仪中黑KW">
    <w:altName w:val="黑体"/>
    <w:panose1 w:val="00020600040101010101"/>
    <w:charset w:val="86"/>
    <w:family w:val="auto"/>
    <w:pitch w:val="default"/>
    <w:sig w:usb0="00000000" w:usb1="00000000" w:usb2="00000016" w:usb3="00000000" w:csb0="00040000" w:csb1="00000000"/>
  </w:font>
  <w:font w:name="Kingsoft Sign">
    <w:altName w:val="Segoe Print"/>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汉仪仿宋KW">
    <w:altName w:val="仿宋"/>
    <w:panose1 w:val="00020600040101010101"/>
    <w:charset w:val="86"/>
    <w:family w:val="auto"/>
    <w:pitch w:val="default"/>
    <w:sig w:usb0="00000000" w:usb1="00000000" w:usb2="00000016" w:usb3="00000000" w:csb0="00040000" w:csb1="00000000"/>
  </w:font>
  <w:font w:name="汉仪楷体KW">
    <w:altName w:val="宋体"/>
    <w:panose1 w:val="00020600040101010101"/>
    <w:charset w:val="86"/>
    <w:family w:val="auto"/>
    <w:pitch w:val="default"/>
    <w:sig w:usb0="00000000" w:usb1="00000000" w:usb2="00000016"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A0ED7"/>
    <w:multiLevelType w:val="singleLevel"/>
    <w:tmpl w:val="62FA0ED7"/>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54E"/>
    <w:rsid w:val="000F175F"/>
    <w:rsid w:val="00221910"/>
    <w:rsid w:val="0032476F"/>
    <w:rsid w:val="00600608"/>
    <w:rsid w:val="009C12D5"/>
    <w:rsid w:val="00B5154E"/>
    <w:rsid w:val="00B7461E"/>
    <w:rsid w:val="00B961CC"/>
    <w:rsid w:val="00C20757"/>
    <w:rsid w:val="00C52294"/>
    <w:rsid w:val="00DB1FA5"/>
    <w:rsid w:val="00EE0276"/>
    <w:rsid w:val="00F24B70"/>
    <w:rsid w:val="00F621A5"/>
    <w:rsid w:val="30613AA5"/>
    <w:rsid w:val="642E08A9"/>
    <w:rsid w:val="74D33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ind w:firstLine="624" w:firstLineChars="200"/>
      <w:jc w:val="both"/>
    </w:pPr>
    <w:rPr>
      <w:rFonts w:ascii="仿宋" w:hAnsi="仿宋" w:eastAsia="仿宋" w:cs="仿宋"/>
      <w:spacing w:val="-4"/>
      <w:kern w:val="0"/>
      <w:sz w:val="32"/>
      <w:szCs w:val="32"/>
      <w:lang w:val="en-US" w:eastAsia="zh-CN" w:bidi="ar-SA"/>
    </w:rPr>
  </w:style>
  <w:style w:type="paragraph" w:styleId="2">
    <w:name w:val="heading 1"/>
    <w:basedOn w:val="1"/>
    <w:next w:val="1"/>
    <w:link w:val="7"/>
    <w:qFormat/>
    <w:uiPriority w:val="0"/>
    <w:pPr>
      <w:keepNext/>
      <w:keepLines/>
      <w:autoSpaceDE/>
      <w:autoSpaceDN/>
      <w:spacing w:before="340" w:after="330" w:line="576" w:lineRule="auto"/>
      <w:ind w:firstLine="0" w:firstLineChars="0"/>
      <w:outlineLvl w:val="0"/>
    </w:pPr>
    <w:rPr>
      <w:rFonts w:asciiTheme="minorHAnsi" w:hAnsiTheme="minorHAnsi" w:eastAsiaTheme="minorEastAsia" w:cstheme="minorBidi"/>
      <w:b/>
      <w:spacing w:val="0"/>
      <w:kern w:val="44"/>
      <w:sz w:val="44"/>
      <w:szCs w:val="24"/>
    </w:rPr>
  </w:style>
  <w:style w:type="character" w:default="1" w:styleId="4">
    <w:name w:val="Default Paragraph Font"/>
    <w:unhideWhenUsed/>
    <w:qFormat/>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3">
    <w:name w:val="Body Text"/>
    <w:basedOn w:val="1"/>
    <w:link w:val="6"/>
    <w:qFormat/>
    <w:uiPriority w:val="1"/>
    <w:pPr>
      <w:ind w:left="108"/>
    </w:pPr>
    <w:rPr>
      <w:szCs w:val="24"/>
    </w:rPr>
  </w:style>
  <w:style w:type="character" w:customStyle="1" w:styleId="6">
    <w:name w:val="正文文本 Char"/>
    <w:basedOn w:val="4"/>
    <w:link w:val="3"/>
    <w:qFormat/>
    <w:uiPriority w:val="1"/>
    <w:rPr>
      <w:rFonts w:ascii="宋体" w:hAnsi="宋体" w:eastAsia="仿宋" w:cs="宋体"/>
      <w:kern w:val="0"/>
      <w:sz w:val="32"/>
      <w:szCs w:val="24"/>
    </w:rPr>
  </w:style>
  <w:style w:type="character" w:customStyle="1" w:styleId="7">
    <w:name w:val="标题 1 Char"/>
    <w:basedOn w:val="4"/>
    <w:link w:val="2"/>
    <w:uiPriority w:val="0"/>
    <w:rPr>
      <w:b/>
      <w:kern w:val="44"/>
      <w:sz w:val="4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175</Words>
  <Characters>1004</Characters>
  <Lines>8</Lines>
  <Paragraphs>2</Paragraphs>
  <TotalTime>1</TotalTime>
  <ScaleCrop>false</ScaleCrop>
  <LinksUpToDate>false</LinksUpToDate>
  <CharactersWithSpaces>1177</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2026-09-08T07:34:00Z</dcterms:created>
  <dc:creator>匿名用户</dc:creator>
  <cp:lastModifiedBy>匿名用户</cp:lastModifiedBy>
  <cp:lastPrinted>2026-10-09T02:25:00Z</cp:lastPrinted>
  <dcterms:modified xsi:type="dcterms:W3CDTF">2026-10-09T02:49:00Z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