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outlineLvl w:val="1"/>
        <w:rPr>
          <w:rFonts w:ascii="黑体" w:hAnsi="宋体" w:eastAsia="黑体" w:cs="宋体"/>
          <w:bCs/>
          <w:color w:val="auto"/>
          <w:kern w:val="36"/>
          <w:sz w:val="32"/>
          <w:szCs w:val="32"/>
          <w:highlight w:val="none"/>
        </w:rPr>
      </w:pPr>
    </w:p>
    <w:p>
      <w:pPr>
        <w:widowControl/>
        <w:shd w:val="clear" w:color="auto" w:fill="FFFFFF"/>
        <w:spacing w:line="520" w:lineRule="exact"/>
        <w:jc w:val="center"/>
        <w:outlineLvl w:val="1"/>
        <w:rPr>
          <w:rFonts w:hint="eastAsia" w:ascii="方正大标宋简体" w:hAnsi="方正大标宋简体" w:eastAsia="方正大标宋简体" w:cs="方正大标宋简体"/>
          <w:b w:val="0"/>
          <w:bCs/>
          <w:color w:val="auto"/>
          <w:kern w:val="36"/>
          <w:sz w:val="44"/>
          <w:szCs w:val="44"/>
          <w:highlight w:val="none"/>
        </w:rPr>
      </w:pPr>
      <w:r>
        <w:rPr>
          <w:rFonts w:hint="eastAsia" w:ascii="方正大标宋简体" w:hAnsi="方正大标宋简体" w:eastAsia="方正大标宋简体" w:cs="方正大标宋简体"/>
          <w:b w:val="0"/>
          <w:bCs/>
          <w:color w:val="auto"/>
          <w:kern w:val="36"/>
          <w:sz w:val="44"/>
          <w:szCs w:val="44"/>
          <w:highlight w:val="none"/>
        </w:rPr>
        <w:t>江西高安农村商业银行股份有限公司202</w:t>
      </w:r>
      <w:r>
        <w:rPr>
          <w:rFonts w:hint="eastAsia" w:ascii="方正大标宋简体" w:hAnsi="方正大标宋简体" w:eastAsia="方正大标宋简体" w:cs="方正大标宋简体"/>
          <w:b w:val="0"/>
          <w:bCs/>
          <w:color w:val="auto"/>
          <w:kern w:val="36"/>
          <w:sz w:val="44"/>
          <w:szCs w:val="44"/>
          <w:highlight w:val="none"/>
          <w:lang w:val="en-US" w:eastAsia="zh-CN"/>
        </w:rPr>
        <w:t>4</w:t>
      </w:r>
      <w:r>
        <w:rPr>
          <w:rFonts w:hint="eastAsia" w:ascii="方正大标宋简体" w:hAnsi="方正大标宋简体" w:eastAsia="方正大标宋简体" w:cs="方正大标宋简体"/>
          <w:b w:val="0"/>
          <w:bCs/>
          <w:color w:val="auto"/>
          <w:kern w:val="36"/>
          <w:sz w:val="44"/>
          <w:szCs w:val="44"/>
          <w:highlight w:val="none"/>
        </w:rPr>
        <w:t>年度信息披露报告</w:t>
      </w:r>
    </w:p>
    <w:p>
      <w:pPr>
        <w:widowControl/>
        <w:shd w:val="clear" w:color="auto" w:fill="FFFFFF"/>
        <w:spacing w:line="520" w:lineRule="exact"/>
        <w:jc w:val="left"/>
        <w:rPr>
          <w:rFonts w:ascii="黑体" w:hAnsi="宋体" w:eastAsia="黑体" w:cs="宋体"/>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江西高安农村商业银行股份有限公司（以下简称“本行”）董事会及董事保证本报告所载资料不存在任何虚假记载、误导性陈述或者重大遗漏，并对其内容的真实性、准确性和完整性承担个别及连带责任。</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kern w:val="0"/>
          <w:sz w:val="32"/>
          <w:szCs w:val="32"/>
          <w:highlight w:val="yellow"/>
        </w:rPr>
      </w:pPr>
      <w:r>
        <w:rPr>
          <w:rFonts w:hint="eastAsia" w:ascii="仿宋_GB2312" w:hAnsi="仿宋" w:eastAsia="仿宋_GB2312" w:cs="宋体"/>
          <w:kern w:val="0"/>
          <w:sz w:val="32"/>
          <w:szCs w:val="32"/>
          <w:highlight w:val="none"/>
        </w:rPr>
        <w:t>本行第</w:t>
      </w:r>
      <w:r>
        <w:rPr>
          <w:rFonts w:hint="eastAsia" w:ascii="仿宋_GB2312" w:hAnsi="仿宋" w:eastAsia="仿宋_GB2312" w:cs="宋体"/>
          <w:kern w:val="0"/>
          <w:sz w:val="32"/>
          <w:szCs w:val="32"/>
          <w:highlight w:val="none"/>
          <w:lang w:eastAsia="zh-CN"/>
        </w:rPr>
        <w:t>三</w:t>
      </w:r>
      <w:r>
        <w:rPr>
          <w:rFonts w:hint="eastAsia" w:ascii="仿宋_GB2312" w:hAnsi="仿宋" w:eastAsia="仿宋_GB2312" w:cs="宋体"/>
          <w:kern w:val="0"/>
          <w:sz w:val="32"/>
          <w:szCs w:val="32"/>
          <w:highlight w:val="none"/>
        </w:rPr>
        <w:t>届董事会第</w:t>
      </w:r>
      <w:r>
        <w:rPr>
          <w:rFonts w:hint="eastAsia" w:ascii="仿宋_GB2312" w:hAnsi="仿宋" w:eastAsia="仿宋_GB2312" w:cs="宋体"/>
          <w:kern w:val="0"/>
          <w:sz w:val="32"/>
          <w:szCs w:val="32"/>
          <w:highlight w:val="none"/>
          <w:lang w:val="en-US" w:eastAsia="zh-CN"/>
        </w:rPr>
        <w:t>三十八</w:t>
      </w:r>
      <w:r>
        <w:rPr>
          <w:rFonts w:hint="eastAsia" w:ascii="仿宋_GB2312" w:hAnsi="仿宋" w:eastAsia="仿宋_GB2312" w:cs="宋体"/>
          <w:kern w:val="0"/>
          <w:sz w:val="32"/>
          <w:szCs w:val="32"/>
          <w:highlight w:val="none"/>
        </w:rPr>
        <w:t>次会议审议通过了本年度报告。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本行</w:t>
      </w:r>
      <w:r>
        <w:rPr>
          <w:rFonts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年度财务决算报告经江西惠普会计师事务所有</w:t>
      </w:r>
      <w:r>
        <w:rPr>
          <w:rFonts w:ascii="仿宋_GB2312" w:hAnsi="宋体" w:eastAsia="仿宋_GB2312" w:cs="宋体"/>
          <w:kern w:val="0"/>
          <w:sz w:val="32"/>
          <w:szCs w:val="32"/>
          <w:highlight w:val="none"/>
        </w:rPr>
        <w:t>限责任公司</w:t>
      </w:r>
      <w:r>
        <w:rPr>
          <w:rFonts w:hint="eastAsia" w:ascii="仿宋_GB2312" w:hAnsi="宋体" w:eastAsia="仿宋_GB2312" w:cs="宋体"/>
          <w:kern w:val="0"/>
          <w:sz w:val="32"/>
          <w:szCs w:val="32"/>
          <w:highlight w:val="none"/>
        </w:rPr>
        <w:t>根据国内审计准则审计，并出具了标准无保留意见的审计报告。</w:t>
      </w:r>
    </w:p>
    <w:p>
      <w:pPr>
        <w:widowControl/>
        <w:shd w:val="clear" w:color="auto" w:fill="FFFFFF"/>
        <w:spacing w:line="520" w:lineRule="exact"/>
        <w:ind w:firstLine="640" w:firstLineChars="200"/>
        <w:jc w:val="left"/>
        <w:rPr>
          <w:rFonts w:ascii="宋体" w:cs="宋体"/>
          <w:color w:val="auto"/>
          <w:kern w:val="0"/>
          <w:sz w:val="32"/>
          <w:szCs w:val="32"/>
          <w:highlight w:val="none"/>
        </w:rPr>
      </w:pPr>
      <w:r>
        <w:rPr>
          <w:rFonts w:hint="eastAsia" w:ascii="黑体" w:hAnsi="宋体" w:eastAsia="黑体" w:cs="宋体"/>
          <w:color w:val="auto"/>
          <w:kern w:val="0"/>
          <w:sz w:val="32"/>
          <w:szCs w:val="32"/>
          <w:highlight w:val="none"/>
        </w:rPr>
        <w:t>一、基本情况简介</w:t>
      </w:r>
    </w:p>
    <w:p>
      <w:pPr>
        <w:spacing w:line="520" w:lineRule="exact"/>
        <w:ind w:firstLine="643" w:firstLineChars="200"/>
        <w:rPr>
          <w:rFonts w:hint="eastAsia" w:ascii="宋体" w:eastAsia="仿宋_GB2312" w:cs="宋体"/>
          <w:color w:val="auto"/>
          <w:kern w:val="0"/>
          <w:sz w:val="32"/>
          <w:szCs w:val="32"/>
          <w:highlight w:val="none"/>
          <w:lang w:eastAsia="zh-CN"/>
        </w:rPr>
      </w:pPr>
      <w:r>
        <w:rPr>
          <w:rFonts w:ascii="仿宋_GB2312" w:hAnsi="宋体" w:eastAsia="仿宋_GB2312" w:cs="宋体"/>
          <w:b/>
          <w:color w:val="auto"/>
          <w:kern w:val="0"/>
          <w:sz w:val="32"/>
          <w:szCs w:val="32"/>
          <w:highlight w:val="none"/>
        </w:rPr>
        <w:t>1.1</w:t>
      </w:r>
      <w:r>
        <w:rPr>
          <w:rFonts w:hint="eastAsia" w:ascii="仿宋_GB2312" w:hAnsi="宋体" w:eastAsia="仿宋_GB2312" w:cs="宋体"/>
          <w:b/>
          <w:color w:val="auto"/>
          <w:kern w:val="0"/>
          <w:sz w:val="32"/>
          <w:szCs w:val="32"/>
          <w:highlight w:val="none"/>
        </w:rPr>
        <w:t>法定中文名称：</w:t>
      </w:r>
      <w:r>
        <w:rPr>
          <w:rFonts w:hint="eastAsia" w:ascii="仿宋_GB2312" w:eastAsia="仿宋_GB2312" w:cs="宋体"/>
          <w:color w:val="auto"/>
          <w:kern w:val="0"/>
          <w:sz w:val="32"/>
          <w:szCs w:val="32"/>
          <w:highlight w:val="none"/>
        </w:rPr>
        <w:t>江西高安农村商业银行股份有限公司</w:t>
      </w:r>
      <w:r>
        <w:rPr>
          <w:rFonts w:hint="eastAsia" w:ascii="仿宋_GB2312" w:hAnsi="宋体" w:eastAsia="仿宋_GB2312" w:cs="宋体"/>
          <w:color w:val="auto"/>
          <w:kern w:val="0"/>
          <w:sz w:val="32"/>
          <w:szCs w:val="32"/>
          <w:highlight w:val="none"/>
        </w:rPr>
        <w:t>，简称：高安农商银行，</w:t>
      </w:r>
      <w:r>
        <w:rPr>
          <w:rFonts w:hint="eastAsia" w:ascii="仿宋_GB2312" w:hAnsi="宋体" w:eastAsia="仿宋_GB2312" w:cs="宋体"/>
          <w:b/>
          <w:color w:val="auto"/>
          <w:kern w:val="0"/>
          <w:sz w:val="32"/>
          <w:szCs w:val="32"/>
          <w:highlight w:val="none"/>
        </w:rPr>
        <w:t>法定英文名称：</w:t>
      </w:r>
      <w:r>
        <w:rPr>
          <w:rFonts w:ascii="仿宋_GB2312" w:eastAsia="仿宋_GB2312"/>
          <w:color w:val="auto"/>
          <w:sz w:val="32"/>
          <w:szCs w:val="32"/>
          <w:highlight w:val="none"/>
        </w:rPr>
        <w:t xml:space="preserve">Jiang Xi </w:t>
      </w:r>
      <w:r>
        <w:rPr>
          <w:rFonts w:ascii="仿宋_GB2312" w:hAnsi="宋体" w:eastAsia="仿宋_GB2312"/>
          <w:color w:val="auto"/>
          <w:sz w:val="32"/>
          <w:szCs w:val="32"/>
          <w:highlight w:val="none"/>
        </w:rPr>
        <w:t>Gaoan</w:t>
      </w:r>
      <w:r>
        <w:rPr>
          <w:rFonts w:ascii="仿宋_GB2312" w:hAnsi="华文中宋" w:eastAsia="仿宋_GB2312"/>
          <w:color w:val="auto"/>
          <w:sz w:val="32"/>
          <w:szCs w:val="32"/>
          <w:highlight w:val="none"/>
        </w:rPr>
        <w:t xml:space="preserve"> </w:t>
      </w:r>
      <w:r>
        <w:rPr>
          <w:rFonts w:ascii="仿宋_GB2312" w:eastAsia="仿宋_GB2312"/>
          <w:color w:val="auto"/>
          <w:sz w:val="32"/>
          <w:szCs w:val="32"/>
          <w:highlight w:val="none"/>
        </w:rPr>
        <w:t>Rural Commercial Bank Co.</w:t>
      </w:r>
      <w:r>
        <w:rPr>
          <w:rFonts w:hint="eastAsia" w:ascii="仿宋_GB2312" w:eastAsia="仿宋_GB2312"/>
          <w:color w:val="auto"/>
          <w:sz w:val="32"/>
          <w:szCs w:val="32"/>
          <w:highlight w:val="none"/>
        </w:rPr>
        <w:t>，</w:t>
      </w:r>
      <w:r>
        <w:rPr>
          <w:rFonts w:ascii="仿宋_GB2312" w:eastAsia="仿宋_GB2312"/>
          <w:color w:val="auto"/>
          <w:sz w:val="32"/>
          <w:szCs w:val="32"/>
          <w:highlight w:val="none"/>
        </w:rPr>
        <w:t>Ltd.</w:t>
      </w:r>
      <w:r>
        <w:rPr>
          <w:rFonts w:hint="eastAsia" w:ascii="仿宋_GB2312" w:hAnsi="宋体" w:eastAsia="仿宋_GB2312" w:cs="宋体"/>
          <w:color w:val="auto"/>
          <w:kern w:val="0"/>
          <w:sz w:val="32"/>
          <w:szCs w:val="32"/>
          <w:highlight w:val="none"/>
        </w:rPr>
        <w:t>，英文简称：</w:t>
      </w:r>
      <w:r>
        <w:rPr>
          <w:rFonts w:ascii="仿宋_GB2312" w:hAnsi="宋体" w:eastAsia="仿宋_GB2312"/>
          <w:color w:val="auto"/>
          <w:sz w:val="32"/>
          <w:szCs w:val="32"/>
          <w:highlight w:val="none"/>
        </w:rPr>
        <w:t>Gaoan</w:t>
      </w:r>
      <w:r>
        <w:rPr>
          <w:rFonts w:ascii="仿宋_GB2312" w:hAnsi="宋体" w:eastAsia="仿宋_GB2312" w:cs="宋体"/>
          <w:color w:val="auto"/>
          <w:kern w:val="0"/>
          <w:sz w:val="32"/>
          <w:szCs w:val="32"/>
          <w:highlight w:val="none"/>
        </w:rPr>
        <w:t xml:space="preserve"> Rural Commercial Bank</w:t>
      </w:r>
      <w:r>
        <w:rPr>
          <w:rFonts w:hint="eastAsia" w:ascii="仿宋_GB2312" w:hAnsi="宋体" w:eastAsia="仿宋_GB2312" w:cs="宋体"/>
          <w:color w:val="auto"/>
          <w:kern w:val="0"/>
          <w:sz w:val="32"/>
          <w:szCs w:val="32"/>
          <w:highlight w:val="none"/>
          <w:lang w:eastAsia="zh-CN"/>
        </w:rPr>
        <w:t>。</w:t>
      </w:r>
    </w:p>
    <w:p>
      <w:pPr>
        <w:widowControl/>
        <w:shd w:val="clear" w:color="auto" w:fill="FFFFFF"/>
        <w:tabs>
          <w:tab w:val="left" w:pos="630"/>
        </w:tabs>
        <w:spacing w:line="520" w:lineRule="exact"/>
        <w:ind w:firstLine="643" w:firstLineChars="200"/>
        <w:jc w:val="left"/>
        <w:rPr>
          <w:rFonts w:hint="default" w:ascii="宋体" w:eastAsia="仿宋_GB2312" w:cs="宋体"/>
          <w:color w:val="auto"/>
          <w:kern w:val="0"/>
          <w:sz w:val="32"/>
          <w:szCs w:val="32"/>
          <w:highlight w:val="none"/>
          <w:lang w:val="en-US" w:eastAsia="zh-CN"/>
        </w:rPr>
      </w:pPr>
      <w:r>
        <w:rPr>
          <w:rFonts w:ascii="仿宋_GB2312" w:hAnsi="宋体" w:eastAsia="仿宋_GB2312" w:cs="宋体"/>
          <w:b/>
          <w:color w:val="auto"/>
          <w:kern w:val="0"/>
          <w:sz w:val="32"/>
          <w:szCs w:val="32"/>
          <w:highlight w:val="none"/>
        </w:rPr>
        <w:t>1.2</w:t>
      </w:r>
      <w:r>
        <w:rPr>
          <w:rFonts w:hint="eastAsia" w:ascii="仿宋_GB2312" w:hAnsi="宋体" w:eastAsia="仿宋_GB2312" w:cs="宋体"/>
          <w:b/>
          <w:color w:val="auto"/>
          <w:kern w:val="0"/>
          <w:sz w:val="32"/>
          <w:szCs w:val="32"/>
          <w:highlight w:val="none"/>
        </w:rPr>
        <w:t>法定代表人：</w:t>
      </w:r>
      <w:r>
        <w:rPr>
          <w:rFonts w:hint="eastAsia" w:ascii="仿宋_GB2312" w:hAnsi="宋体" w:eastAsia="仿宋_GB2312" w:cs="宋体"/>
          <w:color w:val="auto"/>
          <w:kern w:val="0"/>
          <w:sz w:val="32"/>
          <w:szCs w:val="32"/>
          <w:highlight w:val="none"/>
          <w:lang w:val="en-US" w:eastAsia="zh-CN"/>
        </w:rPr>
        <w:t>陈洪海</w:t>
      </w:r>
    </w:p>
    <w:p>
      <w:pPr>
        <w:widowControl/>
        <w:shd w:val="clear" w:color="auto" w:fill="FFFFFF"/>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1.3</w:t>
      </w:r>
      <w:r>
        <w:rPr>
          <w:rFonts w:hint="eastAsia" w:ascii="仿宋_GB2312" w:hAnsi="宋体" w:eastAsia="仿宋_GB2312" w:cs="宋体"/>
          <w:b/>
          <w:color w:val="auto"/>
          <w:kern w:val="0"/>
          <w:sz w:val="32"/>
          <w:szCs w:val="32"/>
          <w:highlight w:val="none"/>
        </w:rPr>
        <w:t>注册及办公地址：</w:t>
      </w:r>
      <w:r>
        <w:rPr>
          <w:rFonts w:hint="eastAsia" w:ascii="仿宋_GB2312" w:hAnsi="宋体" w:eastAsia="仿宋_GB2312"/>
          <w:color w:val="auto"/>
          <w:sz w:val="32"/>
          <w:szCs w:val="32"/>
          <w:highlight w:val="none"/>
          <w:lang w:val="en-US" w:eastAsia="zh-CN"/>
        </w:rPr>
        <w:t>江西省宜春市高安市瑞州街道锦惠北路与锦绣大道交汇处</w:t>
      </w:r>
      <w:r>
        <w:rPr>
          <w:rFonts w:hint="eastAsia" w:ascii="仿宋_GB2312" w:hAnsi="宋体" w:eastAsia="仿宋_GB2312" w:cs="宋体"/>
          <w:color w:val="auto"/>
          <w:kern w:val="0"/>
          <w:sz w:val="32"/>
          <w:szCs w:val="32"/>
          <w:highlight w:val="none"/>
        </w:rPr>
        <w:t>。邮政编码：</w:t>
      </w:r>
      <w:r>
        <w:rPr>
          <w:rFonts w:ascii="仿宋_GB2312" w:hAnsi="宋体" w:eastAsia="仿宋_GB2312" w:cs="宋体"/>
          <w:color w:val="auto"/>
          <w:kern w:val="0"/>
          <w:sz w:val="32"/>
          <w:szCs w:val="32"/>
          <w:highlight w:val="none"/>
        </w:rPr>
        <w:t>330800</w:t>
      </w:r>
      <w:r>
        <w:rPr>
          <w:rFonts w:hint="eastAsia" w:ascii="仿宋_GB2312" w:hAnsi="宋体" w:eastAsia="仿宋_GB2312" w:cs="宋体"/>
          <w:color w:val="auto"/>
          <w:kern w:val="0"/>
          <w:sz w:val="32"/>
          <w:szCs w:val="32"/>
          <w:highlight w:val="none"/>
        </w:rPr>
        <w:t>。</w:t>
      </w:r>
    </w:p>
    <w:p>
      <w:pPr>
        <w:widowControl/>
        <w:shd w:val="clear" w:color="auto" w:fill="FFFFFF"/>
        <w:spacing w:line="520" w:lineRule="exact"/>
        <w:ind w:firstLine="643" w:firstLineChars="200"/>
        <w:jc w:val="both"/>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1.4</w:t>
      </w:r>
      <w:r>
        <w:rPr>
          <w:rFonts w:hint="eastAsia" w:ascii="仿宋_GB2312" w:hAnsi="宋体" w:eastAsia="仿宋_GB2312" w:cs="宋体"/>
          <w:b/>
          <w:color w:val="auto"/>
          <w:kern w:val="0"/>
          <w:sz w:val="32"/>
          <w:szCs w:val="32"/>
          <w:highlight w:val="none"/>
        </w:rPr>
        <w:t>其他有关资料：</w:t>
      </w:r>
      <w:r>
        <w:rPr>
          <w:rFonts w:hint="eastAsia" w:ascii="仿宋_GB2312" w:hAnsi="宋体" w:eastAsia="仿宋_GB2312" w:cs="宋体"/>
          <w:color w:val="auto"/>
          <w:kern w:val="0"/>
          <w:sz w:val="32"/>
          <w:szCs w:val="32"/>
          <w:highlight w:val="none"/>
        </w:rPr>
        <w:t>企业法人营业执照注册号：</w:t>
      </w:r>
      <w:r>
        <w:rPr>
          <w:rFonts w:ascii="仿宋_GB2312" w:hAnsi="宋体" w:eastAsia="仿宋_GB2312" w:cs="宋体"/>
          <w:color w:val="auto"/>
          <w:spacing w:val="-10"/>
          <w:kern w:val="0"/>
          <w:sz w:val="32"/>
          <w:szCs w:val="32"/>
          <w:highlight w:val="none"/>
        </w:rPr>
        <w:t>913609004921260045</w:t>
      </w:r>
      <w:r>
        <w:rPr>
          <w:rFonts w:hint="eastAsia" w:ascii="仿宋_GB2312" w:hAnsi="宋体" w:eastAsia="仿宋_GB2312" w:cs="宋体"/>
          <w:color w:val="auto"/>
          <w:spacing w:val="-6"/>
          <w:kern w:val="0"/>
          <w:sz w:val="32"/>
          <w:szCs w:val="32"/>
          <w:highlight w:val="none"/>
        </w:rPr>
        <w:t>，</w:t>
      </w:r>
      <w:r>
        <w:rPr>
          <w:rFonts w:hint="eastAsia" w:ascii="仿宋_GB2312" w:hAnsi="宋体" w:eastAsia="仿宋_GB2312" w:cs="宋体"/>
          <w:color w:val="auto"/>
          <w:spacing w:val="-10"/>
          <w:kern w:val="0"/>
          <w:sz w:val="32"/>
          <w:szCs w:val="32"/>
          <w:highlight w:val="none"/>
        </w:rPr>
        <w:t>金融许可证号：</w:t>
      </w:r>
      <w:r>
        <w:rPr>
          <w:rFonts w:ascii="仿宋_GB2312" w:hAnsi="宋体" w:eastAsia="仿宋_GB2312" w:cs="宋体"/>
          <w:color w:val="auto"/>
          <w:spacing w:val="-10"/>
          <w:kern w:val="0"/>
          <w:sz w:val="32"/>
          <w:szCs w:val="32"/>
          <w:highlight w:val="none"/>
        </w:rPr>
        <w:t>B0556H</w:t>
      </w:r>
      <w:r>
        <w:rPr>
          <w:rFonts w:hint="eastAsia" w:ascii="仿宋_GB2312" w:hAnsi="宋体" w:eastAsia="仿宋_GB2312" w:cs="宋体"/>
          <w:color w:val="auto"/>
          <w:spacing w:val="-10"/>
          <w:kern w:val="0"/>
          <w:sz w:val="32"/>
          <w:szCs w:val="32"/>
          <w:highlight w:val="none"/>
          <w:lang w:val="en-US" w:eastAsia="zh-CN"/>
        </w:rPr>
        <w:t>3</w:t>
      </w:r>
      <w:r>
        <w:rPr>
          <w:rFonts w:ascii="仿宋_GB2312" w:hAnsi="宋体" w:eastAsia="仿宋_GB2312" w:cs="宋体"/>
          <w:color w:val="auto"/>
          <w:spacing w:val="-10"/>
          <w:kern w:val="0"/>
          <w:sz w:val="32"/>
          <w:szCs w:val="32"/>
          <w:highlight w:val="none"/>
        </w:rPr>
        <w:t>36090001</w:t>
      </w:r>
      <w:r>
        <w:rPr>
          <w:rFonts w:hint="eastAsia" w:ascii="仿宋_GB2312" w:hAnsi="宋体" w:eastAsia="仿宋_GB2312" w:cs="宋体"/>
          <w:color w:val="auto"/>
          <w:spacing w:val="-10"/>
          <w:kern w:val="0"/>
          <w:sz w:val="32"/>
          <w:szCs w:val="32"/>
          <w:highlight w:val="none"/>
        </w:rPr>
        <w:t>。</w:t>
      </w:r>
    </w:p>
    <w:p>
      <w:pPr>
        <w:widowControl/>
        <w:shd w:val="clear" w:color="auto" w:fill="FFFFFF"/>
        <w:spacing w:line="52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二、主要业务数据</w:t>
      </w:r>
    </w:p>
    <w:p>
      <w:pPr>
        <w:widowControl/>
        <w:shd w:val="clear" w:color="auto" w:fill="FFFFFF"/>
        <w:spacing w:line="520" w:lineRule="exact"/>
        <w:ind w:firstLine="640" w:firstLineChars="200"/>
        <w:jc w:val="left"/>
        <w:rPr>
          <w:rFonts w:ascii="宋体" w:hAnsi="Times New Roman" w:eastAsia="宋体" w:cs="宋体"/>
          <w:color w:val="auto"/>
          <w:kern w:val="0"/>
          <w:sz w:val="32"/>
          <w:szCs w:val="32"/>
          <w:highlight w:val="none"/>
        </w:rPr>
      </w:pPr>
      <w:r>
        <w:rPr>
          <w:rFonts w:hint="eastAsia" w:ascii="仿宋_GB2312" w:hAnsi="宋体" w:eastAsia="仿宋_GB2312" w:cs="宋体"/>
          <w:color w:val="auto"/>
          <w:kern w:val="0"/>
          <w:sz w:val="32"/>
          <w:szCs w:val="32"/>
          <w:highlight w:val="none"/>
        </w:rPr>
        <w:t>截止202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年末，各项资产总计264872</w:t>
      </w:r>
      <w:r>
        <w:rPr>
          <w:rFonts w:hint="eastAsia" w:ascii="仿宋_GB2312" w:hAnsi="宋体" w:eastAsia="仿宋_GB2312" w:cs="宋体"/>
          <w:color w:val="auto"/>
          <w:kern w:val="0"/>
          <w:sz w:val="32"/>
          <w:szCs w:val="32"/>
          <w:highlight w:val="none"/>
          <w:lang w:val="en-US" w:eastAsia="zh-CN"/>
        </w:rPr>
        <w:t>9</w:t>
      </w:r>
      <w:r>
        <w:rPr>
          <w:rFonts w:hint="eastAsia" w:ascii="仿宋_GB2312" w:hAnsi="宋体" w:eastAsia="仿宋_GB2312" w:cs="宋体"/>
          <w:color w:val="auto"/>
          <w:kern w:val="0"/>
          <w:sz w:val="32"/>
          <w:szCs w:val="32"/>
          <w:highlight w:val="none"/>
        </w:rPr>
        <w:t>万元；负债总计245739</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万元；所有者权益19133</w:t>
      </w:r>
      <w:r>
        <w:rPr>
          <w:rFonts w:hint="eastAsia" w:ascii="仿宋_GB2312" w:hAnsi="宋体" w:eastAsia="仿宋_GB2312" w:cs="宋体"/>
          <w:color w:val="auto"/>
          <w:kern w:val="0"/>
          <w:sz w:val="32"/>
          <w:szCs w:val="32"/>
          <w:highlight w:val="none"/>
          <w:lang w:val="en-US" w:eastAsia="zh-CN"/>
        </w:rPr>
        <w:t>6</w:t>
      </w:r>
      <w:r>
        <w:rPr>
          <w:rFonts w:hint="eastAsia" w:ascii="仿宋_GB2312" w:hAnsi="宋体" w:eastAsia="仿宋_GB2312" w:cs="宋体"/>
          <w:color w:val="auto"/>
          <w:kern w:val="0"/>
          <w:sz w:val="32"/>
          <w:szCs w:val="32"/>
          <w:highlight w:val="none"/>
        </w:rPr>
        <w:t>万元；实现各项收</w:t>
      </w:r>
      <w:r>
        <w:rPr>
          <w:rFonts w:hint="eastAsia" w:ascii="仿宋_GB2312" w:hAnsi="宋体" w:eastAsia="仿宋_GB2312" w:cs="宋体"/>
          <w:color w:val="auto"/>
          <w:kern w:val="0"/>
          <w:sz w:val="32"/>
          <w:szCs w:val="32"/>
          <w:highlight w:val="none"/>
          <w:lang w:eastAsia="zh-CN"/>
        </w:rPr>
        <w:t>入</w:t>
      </w:r>
      <w:r>
        <w:rPr>
          <w:rFonts w:hint="eastAsia" w:ascii="仿宋_GB2312" w:hAnsi="宋体" w:eastAsia="仿宋_GB2312" w:cs="宋体"/>
          <w:color w:val="auto"/>
          <w:kern w:val="0"/>
          <w:sz w:val="32"/>
          <w:szCs w:val="32"/>
          <w:highlight w:val="none"/>
        </w:rPr>
        <w:t>109490万元。</w:t>
      </w:r>
    </w:p>
    <w:p>
      <w:pPr>
        <w:widowControl/>
        <w:shd w:val="clear" w:color="auto" w:fill="FFFFFF"/>
        <w:tabs>
          <w:tab w:val="left" w:pos="630"/>
        </w:tabs>
        <w:spacing w:line="480" w:lineRule="exact"/>
        <w:ind w:firstLine="790" w:firstLineChars="246"/>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2.1</w:t>
      </w:r>
      <w:r>
        <w:rPr>
          <w:rFonts w:hint="eastAsia" w:ascii="仿宋_GB2312" w:hAnsi="宋体" w:eastAsia="仿宋_GB2312" w:cs="宋体"/>
          <w:b/>
          <w:color w:val="auto"/>
          <w:kern w:val="0"/>
          <w:sz w:val="32"/>
          <w:szCs w:val="32"/>
          <w:highlight w:val="none"/>
        </w:rPr>
        <w:t>报告期主要利润指标情况</w:t>
      </w:r>
    </w:p>
    <w:p>
      <w:pPr>
        <w:widowControl/>
        <w:shd w:val="clear" w:color="auto" w:fill="FFFFFF"/>
        <w:spacing w:line="480" w:lineRule="exact"/>
        <w:ind w:firstLine="640" w:firstLineChars="200"/>
        <w:jc w:val="left"/>
        <w:rPr>
          <w:rFonts w:ascii="宋体" w:eastAsia="宋体" w:cs="宋体"/>
          <w:color w:val="auto"/>
          <w:kern w:val="0"/>
          <w:sz w:val="32"/>
          <w:szCs w:val="32"/>
          <w:highlight w:val="none"/>
        </w:rPr>
      </w:pPr>
      <w:r>
        <w:rPr>
          <w:rFonts w:ascii="宋体" w:hAnsi="宋体" w:eastAsia="宋体" w:cs="宋体"/>
          <w:color w:val="auto"/>
          <w:kern w:val="0"/>
          <w:sz w:val="32"/>
          <w:szCs w:val="32"/>
          <w:highlight w:val="none"/>
        </w:rPr>
        <w:t xml:space="preserve">  </w:t>
      </w: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7"/>
        <w:tblW w:w="8126" w:type="dxa"/>
        <w:jc w:val="center"/>
        <w:tblInd w:w="0" w:type="dxa"/>
        <w:tblLayout w:type="fixed"/>
        <w:tblCellMar>
          <w:top w:w="0" w:type="dxa"/>
          <w:left w:w="108" w:type="dxa"/>
          <w:bottom w:w="0" w:type="dxa"/>
          <w:right w:w="108" w:type="dxa"/>
        </w:tblCellMar>
      </w:tblPr>
      <w:tblGrid>
        <w:gridCol w:w="3420"/>
        <w:gridCol w:w="4706"/>
      </w:tblGrid>
      <w:tr>
        <w:tblPrEx>
          <w:tblLayout w:type="fixed"/>
          <w:tblCellMar>
            <w:top w:w="0" w:type="dxa"/>
            <w:left w:w="108" w:type="dxa"/>
            <w:bottom w:w="0" w:type="dxa"/>
            <w:right w:w="108" w:type="dxa"/>
          </w:tblCellMar>
        </w:tblPrEx>
        <w:trPr>
          <w:trHeight w:val="444"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项目</w:t>
            </w:r>
          </w:p>
        </w:tc>
        <w:tc>
          <w:tcPr>
            <w:tcW w:w="47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w:t>
            </w:r>
          </w:p>
        </w:tc>
      </w:tr>
      <w:tr>
        <w:tblPrEx>
          <w:tblLayout w:type="fixed"/>
          <w:tblCellMar>
            <w:top w:w="0" w:type="dxa"/>
            <w:left w:w="108" w:type="dxa"/>
            <w:bottom w:w="0" w:type="dxa"/>
            <w:right w:w="108" w:type="dxa"/>
          </w:tblCellMar>
        </w:tblPrEx>
        <w:trPr>
          <w:trHeight w:val="394"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营业利润</w:t>
            </w:r>
          </w:p>
        </w:tc>
        <w:tc>
          <w:tcPr>
            <w:tcW w:w="470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22242</w:t>
            </w:r>
          </w:p>
        </w:tc>
      </w:tr>
      <w:tr>
        <w:tblPrEx>
          <w:tblLayout w:type="fixed"/>
          <w:tblCellMar>
            <w:top w:w="0" w:type="dxa"/>
            <w:left w:w="108" w:type="dxa"/>
            <w:bottom w:w="0" w:type="dxa"/>
            <w:right w:w="108" w:type="dxa"/>
          </w:tblCellMar>
        </w:tblPrEx>
        <w:trPr>
          <w:trHeight w:val="426"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利润总额</w:t>
            </w:r>
          </w:p>
        </w:tc>
        <w:tc>
          <w:tcPr>
            <w:tcW w:w="47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21802</w:t>
            </w:r>
          </w:p>
        </w:tc>
      </w:tr>
      <w:tr>
        <w:tblPrEx>
          <w:tblLayout w:type="fixed"/>
          <w:tblCellMar>
            <w:top w:w="0" w:type="dxa"/>
            <w:left w:w="108" w:type="dxa"/>
            <w:bottom w:w="0" w:type="dxa"/>
            <w:right w:w="108" w:type="dxa"/>
          </w:tblCellMar>
        </w:tblPrEx>
        <w:trPr>
          <w:trHeight w:val="481"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净利润</w:t>
            </w:r>
          </w:p>
        </w:tc>
        <w:tc>
          <w:tcPr>
            <w:tcW w:w="47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17701</w:t>
            </w:r>
          </w:p>
        </w:tc>
      </w:tr>
    </w:tbl>
    <w:p>
      <w:pPr>
        <w:widowControl/>
        <w:shd w:val="clear" w:color="auto" w:fill="FFFFFF"/>
        <w:tabs>
          <w:tab w:val="left" w:pos="630"/>
        </w:tabs>
        <w:spacing w:line="400" w:lineRule="exact"/>
        <w:ind w:firstLine="790" w:firstLineChars="246"/>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00" w:lineRule="exact"/>
        <w:ind w:firstLine="321" w:firstLineChars="1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2.2</w:t>
      </w:r>
      <w:r>
        <w:rPr>
          <w:rFonts w:hint="eastAsia" w:ascii="仿宋_GB2312" w:hAnsi="宋体" w:eastAsia="仿宋_GB2312" w:cs="宋体"/>
          <w:b/>
          <w:color w:val="auto"/>
          <w:kern w:val="0"/>
          <w:sz w:val="32"/>
          <w:szCs w:val="32"/>
          <w:highlight w:val="none"/>
        </w:rPr>
        <w:t>截止报告期末前二年的主要会计财务数据和财务指标</w:t>
      </w:r>
      <w:r>
        <w:rPr>
          <w:rFonts w:ascii="仿宋_GB2312" w:hAnsi="宋体" w:eastAsia="仿宋_GB2312" w:cs="宋体"/>
          <w:b/>
          <w:color w:val="auto"/>
          <w:kern w:val="0"/>
          <w:sz w:val="32"/>
          <w:szCs w:val="32"/>
          <w:highlight w:val="none"/>
        </w:rPr>
        <w:t xml:space="preserve"> </w:t>
      </w:r>
    </w:p>
    <w:p>
      <w:pPr>
        <w:widowControl/>
        <w:shd w:val="clear" w:color="auto" w:fill="FFFFFF"/>
        <w:tabs>
          <w:tab w:val="left" w:pos="630"/>
        </w:tabs>
        <w:spacing w:line="400" w:lineRule="exact"/>
        <w:ind w:right="491"/>
        <w:jc w:val="right"/>
        <w:rPr>
          <w:rFonts w:ascii="宋体" w:eastAsia="宋体" w:cs="宋体"/>
          <w:color w:val="auto"/>
          <w:kern w:val="0"/>
          <w:sz w:val="28"/>
          <w:szCs w:val="28"/>
          <w:highlight w:val="none"/>
        </w:rPr>
      </w:pPr>
      <w:r>
        <w:rPr>
          <w:rFonts w:hint="eastAsia" w:ascii="仿宋_GB2312" w:hAnsi="宋体" w:eastAsia="仿宋_GB2312" w:cs="宋体"/>
          <w:color w:val="auto"/>
          <w:kern w:val="0"/>
          <w:sz w:val="28"/>
          <w:szCs w:val="28"/>
          <w:highlight w:val="none"/>
        </w:rPr>
        <w:t xml:space="preserve">  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7"/>
        <w:tblW w:w="8194" w:type="dxa"/>
        <w:jc w:val="center"/>
        <w:tblInd w:w="0" w:type="dxa"/>
        <w:tblLayout w:type="fixed"/>
        <w:tblCellMar>
          <w:top w:w="0" w:type="dxa"/>
          <w:left w:w="108" w:type="dxa"/>
          <w:bottom w:w="0" w:type="dxa"/>
          <w:right w:w="108" w:type="dxa"/>
        </w:tblCellMar>
      </w:tblPr>
      <w:tblGrid>
        <w:gridCol w:w="3364"/>
        <w:gridCol w:w="2415"/>
        <w:gridCol w:w="2415"/>
      </w:tblGrid>
      <w:tr>
        <w:tblPrEx>
          <w:tblLayout w:type="fixed"/>
          <w:tblCellMar>
            <w:top w:w="0" w:type="dxa"/>
            <w:left w:w="108" w:type="dxa"/>
            <w:bottom w:w="0" w:type="dxa"/>
            <w:right w:w="108" w:type="dxa"/>
          </w:tblCellMar>
        </w:tblPrEx>
        <w:trPr>
          <w:trHeight w:val="456"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项目</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2023年</w:t>
            </w:r>
          </w:p>
        </w:tc>
        <w:tc>
          <w:tcPr>
            <w:tcW w:w="241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b/>
                <w:color w:val="auto"/>
                <w:kern w:val="0"/>
                <w:sz w:val="28"/>
                <w:szCs w:val="28"/>
                <w:highlight w:val="none"/>
                <w:lang w:val="en-US" w:eastAsia="zh-CN" w:bidi="ar"/>
              </w:rPr>
              <w:t>2024年</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营业收入</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114620</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lang w:val="en-US"/>
              </w:rPr>
            </w:pPr>
            <w:r>
              <w:rPr>
                <w:rFonts w:hint="eastAsia" w:ascii="仿宋_GB2312" w:hAnsi="宋体" w:eastAsia="仿宋_GB2312" w:cs="宋体"/>
                <w:color w:val="auto"/>
                <w:kern w:val="0"/>
                <w:sz w:val="28"/>
                <w:szCs w:val="28"/>
                <w:highlight w:val="none"/>
                <w:lang w:val="en-US" w:eastAsia="zh-CN" w:bidi="ar"/>
              </w:rPr>
              <w:t>109396</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年末总资产</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2467224</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2648729</w:t>
            </w:r>
          </w:p>
        </w:tc>
      </w:tr>
      <w:tr>
        <w:tblPrEx>
          <w:tblLayout w:type="fixed"/>
          <w:tblCellMar>
            <w:top w:w="0" w:type="dxa"/>
            <w:left w:w="108" w:type="dxa"/>
            <w:bottom w:w="0" w:type="dxa"/>
            <w:right w:w="108" w:type="dxa"/>
          </w:tblCellMar>
        </w:tblPrEx>
        <w:trPr>
          <w:trHeight w:val="90"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年末存款余额</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2154449</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2257104</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年末贷款余额</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1538056</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1639781</w:t>
            </w:r>
          </w:p>
        </w:tc>
      </w:tr>
      <w:tr>
        <w:tblPrEx>
          <w:tblLayout w:type="fixed"/>
          <w:tblCellMar>
            <w:top w:w="0" w:type="dxa"/>
            <w:left w:w="108" w:type="dxa"/>
            <w:bottom w:w="0" w:type="dxa"/>
            <w:right w:w="108" w:type="dxa"/>
          </w:tblCellMar>
        </w:tblPrEx>
        <w:trPr>
          <w:trHeight w:val="157"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年末所有者权益</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184154</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191336</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每股收益(元/股)</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0.27</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0.3</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净资产收益率</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8.99%</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9.54%</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3" w:firstLineChars="200"/>
        <w:jc w:val="left"/>
        <w:textAlignment w:val="auto"/>
        <w:outlineLvl w:val="9"/>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2.3</w:t>
      </w:r>
      <w:r>
        <w:rPr>
          <w:rFonts w:hint="eastAsia" w:ascii="仿宋_GB2312" w:hAnsi="宋体" w:eastAsia="仿宋_GB2312" w:cs="宋体"/>
          <w:b/>
          <w:color w:val="auto"/>
          <w:kern w:val="0"/>
          <w:sz w:val="32"/>
          <w:szCs w:val="32"/>
          <w:highlight w:val="none"/>
        </w:rPr>
        <w:t>报告期内资本构成及其变化情况</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right="0"/>
        <w:jc w:val="right"/>
        <w:textAlignment w:val="auto"/>
        <w:outlineLvl w:val="9"/>
        <w:rPr>
          <w:color w:val="auto"/>
          <w:highlight w:val="none"/>
        </w:rPr>
      </w:pP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7"/>
        <w:tblpPr w:leftFromText="180" w:rightFromText="180" w:vertAnchor="text" w:horzAnchor="page" w:tblpX="1987" w:tblpY="478"/>
        <w:tblOverlap w:val="never"/>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黑体" w:hAnsi="黑体" w:eastAsia="黑体" w:cs="黑体"/>
                <w:b/>
                <w:bCs/>
                <w:color w:val="auto"/>
                <w:kern w:val="0"/>
                <w:sz w:val="28"/>
                <w:szCs w:val="28"/>
                <w:highlight w:val="none"/>
              </w:rPr>
            </w:pPr>
            <w:r>
              <w:rPr>
                <w:rFonts w:hint="default" w:ascii="黑体" w:hAnsi="黑体" w:eastAsia="黑体" w:cs="黑体"/>
                <w:b/>
                <w:bCs/>
                <w:color w:val="auto"/>
                <w:kern w:val="0"/>
                <w:sz w:val="28"/>
                <w:szCs w:val="28"/>
                <w:highlight w:val="none"/>
              </w:rPr>
              <w:t>20</w:t>
            </w:r>
            <w:r>
              <w:rPr>
                <w:rFonts w:hint="eastAsia" w:ascii="黑体" w:hAnsi="黑体" w:eastAsia="黑体" w:cs="黑体"/>
                <w:b/>
                <w:bCs/>
                <w:color w:val="auto"/>
                <w:kern w:val="0"/>
                <w:sz w:val="28"/>
                <w:szCs w:val="28"/>
                <w:highlight w:val="none"/>
              </w:rPr>
              <w:t>2</w:t>
            </w:r>
            <w:r>
              <w:rPr>
                <w:rFonts w:hint="eastAsia" w:ascii="黑体" w:hAnsi="黑体" w:eastAsia="黑体" w:cs="黑体"/>
                <w:b/>
                <w:bCs/>
                <w:color w:val="auto"/>
                <w:kern w:val="0"/>
                <w:sz w:val="28"/>
                <w:szCs w:val="28"/>
                <w:highlight w:val="none"/>
                <w:lang w:val="en-US" w:eastAsia="zh-CN"/>
              </w:rPr>
              <w:t>4</w:t>
            </w:r>
            <w:r>
              <w:rPr>
                <w:rFonts w:hint="eastAsia" w:ascii="黑体" w:hAnsi="黑体" w:eastAsia="黑体" w:cs="黑体"/>
                <w:b/>
                <w:bCs/>
                <w:color w:val="auto"/>
                <w:kern w:val="0"/>
                <w:sz w:val="28"/>
                <w:szCs w:val="28"/>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1.</w:t>
            </w:r>
            <w:r>
              <w:rPr>
                <w:rFonts w:hint="eastAsia" w:ascii="仿宋_GB2312" w:hAnsi="宋体-PUA" w:eastAsia="仿宋_GB2312" w:cs="宋体-PUA"/>
                <w:color w:val="auto"/>
                <w:kern w:val="0"/>
                <w:sz w:val="28"/>
                <w:szCs w:val="28"/>
                <w:highlight w:val="none"/>
              </w:rPr>
              <w:t>核心一级资本净额</w:t>
            </w:r>
          </w:p>
        </w:tc>
        <w:tc>
          <w:tcPr>
            <w:tcW w:w="4680"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190622.99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2.</w:t>
            </w:r>
            <w:r>
              <w:rPr>
                <w:rFonts w:hint="eastAsia" w:ascii="仿宋_GB2312" w:hAnsi="宋体-PUA" w:eastAsia="仿宋_GB2312" w:cs="宋体-PUA"/>
                <w:color w:val="auto"/>
                <w:kern w:val="0"/>
                <w:sz w:val="28"/>
                <w:szCs w:val="28"/>
                <w:highlight w:val="none"/>
              </w:rPr>
              <w:t>一级资本净额</w:t>
            </w:r>
          </w:p>
        </w:tc>
        <w:tc>
          <w:tcPr>
            <w:tcW w:w="4680"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190622.99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3.</w:t>
            </w:r>
            <w:r>
              <w:rPr>
                <w:rFonts w:hint="eastAsia" w:ascii="仿宋_GB2312" w:hAnsi="宋体-PUA" w:eastAsia="仿宋_GB2312" w:cs="宋体-PUA"/>
                <w:color w:val="auto"/>
                <w:kern w:val="0"/>
                <w:sz w:val="28"/>
                <w:szCs w:val="28"/>
                <w:highlight w:val="none"/>
              </w:rPr>
              <w:t>资本净额</w:t>
            </w:r>
          </w:p>
        </w:tc>
        <w:tc>
          <w:tcPr>
            <w:tcW w:w="4680"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206738.05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4.</w:t>
            </w:r>
            <w:r>
              <w:rPr>
                <w:rFonts w:hint="eastAsia" w:ascii="仿宋_GB2312" w:hAnsi="宋体-PUA" w:eastAsia="仿宋_GB2312" w:cs="宋体-PUA"/>
                <w:color w:val="auto"/>
                <w:kern w:val="0"/>
                <w:sz w:val="28"/>
                <w:szCs w:val="28"/>
                <w:highlight w:val="none"/>
              </w:rPr>
              <w:t>信用风险加权资产</w:t>
            </w:r>
          </w:p>
        </w:tc>
        <w:tc>
          <w:tcPr>
            <w:tcW w:w="4680"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1305319.9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其中：表内风险加权资产</w:t>
            </w:r>
          </w:p>
        </w:tc>
        <w:tc>
          <w:tcPr>
            <w:tcW w:w="4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1296393.21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840" w:firstLineChars="300"/>
              <w:jc w:val="left"/>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表外风险加权资产</w:t>
            </w:r>
          </w:p>
        </w:tc>
        <w:tc>
          <w:tcPr>
            <w:tcW w:w="4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8926.69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5</w:t>
            </w:r>
            <w:r>
              <w:rPr>
                <w:rFonts w:hint="eastAsia" w:ascii="仿宋_GB2312" w:hAnsi="宋体-PUA" w:eastAsia="仿宋_GB2312" w:cs="宋体-PUA"/>
                <w:color w:val="auto"/>
                <w:kern w:val="0"/>
                <w:sz w:val="28"/>
                <w:szCs w:val="28"/>
                <w:highlight w:val="none"/>
              </w:rPr>
              <w:t>．市场风险加权资产</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 w:eastAsia="仿宋_GB2312" w:cs="宋体"/>
                <w:color w:val="auto"/>
                <w:kern w:val="0"/>
                <w:sz w:val="28"/>
                <w:szCs w:val="28"/>
                <w:highlight w:val="none"/>
              </w:rPr>
            </w:pPr>
            <w:r>
              <w:rPr>
                <w:rFonts w:hint="default" w:ascii="仿宋_GB2312" w:hAnsi="宋体" w:eastAsia="仿宋_GB2312" w:cs="宋体"/>
                <w:color w:val="auto"/>
                <w:kern w:val="0"/>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6</w:t>
            </w:r>
            <w:r>
              <w:rPr>
                <w:rFonts w:hint="eastAsia" w:ascii="仿宋_GB2312" w:hAnsi="宋体-PUA" w:eastAsia="仿宋_GB2312" w:cs="宋体-PUA"/>
                <w:color w:val="auto"/>
                <w:kern w:val="0"/>
                <w:sz w:val="28"/>
                <w:szCs w:val="28"/>
                <w:highlight w:val="none"/>
              </w:rPr>
              <w:t>．操作风险加权资产</w:t>
            </w:r>
          </w:p>
        </w:tc>
        <w:tc>
          <w:tcPr>
            <w:tcW w:w="4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141463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7</w:t>
            </w:r>
            <w:r>
              <w:rPr>
                <w:rFonts w:hint="eastAsia" w:ascii="仿宋_GB2312" w:hAnsi="宋体-PUA" w:eastAsia="仿宋_GB2312" w:cs="宋体-PUA"/>
                <w:color w:val="auto"/>
                <w:kern w:val="0"/>
                <w:sz w:val="28"/>
                <w:szCs w:val="28"/>
                <w:highlight w:val="none"/>
              </w:rPr>
              <w:t>．风险加权资产合计</w:t>
            </w:r>
          </w:p>
        </w:tc>
        <w:tc>
          <w:tcPr>
            <w:tcW w:w="4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1446782.9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8</w:t>
            </w:r>
            <w:r>
              <w:rPr>
                <w:rFonts w:hint="eastAsia" w:ascii="仿宋_GB2312" w:hAnsi="宋体-PUA" w:eastAsia="仿宋_GB2312" w:cs="宋体-PUA"/>
                <w:color w:val="auto"/>
                <w:kern w:val="0"/>
                <w:sz w:val="28"/>
                <w:szCs w:val="28"/>
                <w:highlight w:val="none"/>
              </w:rPr>
              <w:t>．核心一级资本充足率</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13.18</w:t>
            </w:r>
            <w:r>
              <w:rPr>
                <w:rFonts w:hint="default" w:ascii="仿宋_GB2312" w:hAnsi="宋体" w:eastAsia="仿宋_GB2312"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9</w:t>
            </w:r>
            <w:r>
              <w:rPr>
                <w:rFonts w:hint="eastAsia" w:ascii="仿宋_GB2312" w:hAnsi="宋体-PUA" w:eastAsia="仿宋_GB2312" w:cs="宋体-PUA"/>
                <w:color w:val="auto"/>
                <w:kern w:val="0"/>
                <w:sz w:val="28"/>
                <w:szCs w:val="28"/>
                <w:highlight w:val="none"/>
              </w:rPr>
              <w:t>．一级资本充足率</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13.18</w:t>
            </w:r>
            <w:r>
              <w:rPr>
                <w:rFonts w:hint="default" w:ascii="仿宋_GB2312" w:hAnsi="宋体" w:eastAsia="仿宋_GB2312"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10</w:t>
            </w:r>
            <w:r>
              <w:rPr>
                <w:rFonts w:hint="eastAsia" w:ascii="仿宋_GB2312" w:hAnsi="宋体-PUA" w:eastAsia="仿宋_GB2312" w:cs="宋体-PUA"/>
                <w:color w:val="auto"/>
                <w:kern w:val="0"/>
                <w:sz w:val="28"/>
                <w:szCs w:val="28"/>
                <w:highlight w:val="none"/>
              </w:rPr>
              <w:t>．资本充足率</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14.29</w:t>
            </w:r>
            <w:r>
              <w:rPr>
                <w:rFonts w:hint="default" w:ascii="仿宋_GB2312" w:hAnsi="宋体" w:eastAsia="仿宋_GB2312" w:cs="宋体"/>
                <w:color w:val="auto"/>
                <w:kern w:val="0"/>
                <w:sz w:val="28"/>
                <w:szCs w:val="28"/>
                <w:highlight w:val="none"/>
              </w:rPr>
              <w:t>%</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right="0"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2.4</w:t>
      </w:r>
      <w:r>
        <w:rPr>
          <w:rFonts w:hint="eastAsia" w:ascii="仿宋_GB2312" w:hAnsi="宋体" w:eastAsia="仿宋_GB2312" w:cs="宋体"/>
          <w:b/>
          <w:color w:val="auto"/>
          <w:kern w:val="0"/>
          <w:sz w:val="32"/>
          <w:szCs w:val="32"/>
          <w:highlight w:val="none"/>
        </w:rPr>
        <w:t>利润实现情况</w:t>
      </w:r>
    </w:p>
    <w:p>
      <w:pPr>
        <w:widowControl/>
        <w:shd w:val="clear" w:color="auto" w:fill="FFFFFF"/>
        <w:spacing w:line="480" w:lineRule="exact"/>
        <w:ind w:firstLine="624" w:firstLineChars="200"/>
        <w:jc w:val="left"/>
        <w:rPr>
          <w:rFonts w:ascii="仿宋_GB2312" w:hAnsi="宋体" w:eastAsia="仿宋_GB2312" w:cs="宋体"/>
          <w:color w:val="auto"/>
          <w:spacing w:val="-4"/>
          <w:kern w:val="0"/>
          <w:sz w:val="32"/>
          <w:szCs w:val="32"/>
          <w:highlight w:val="none"/>
        </w:rPr>
      </w:pPr>
      <w:r>
        <w:rPr>
          <w:rFonts w:hint="eastAsia" w:ascii="仿宋_GB2312" w:hAnsi="宋体" w:eastAsia="仿宋_GB2312" w:cs="宋体"/>
          <w:color w:val="auto"/>
          <w:spacing w:val="-4"/>
          <w:kern w:val="0"/>
          <w:sz w:val="32"/>
          <w:szCs w:val="32"/>
          <w:highlight w:val="none"/>
        </w:rPr>
        <w:t>全行</w:t>
      </w:r>
      <w:r>
        <w:rPr>
          <w:rFonts w:ascii="仿宋_GB2312" w:hAnsi="宋体" w:eastAsia="仿宋_GB2312" w:cs="宋体"/>
          <w:color w:val="auto"/>
          <w:spacing w:val="-4"/>
          <w:kern w:val="0"/>
          <w:sz w:val="32"/>
          <w:szCs w:val="32"/>
          <w:highlight w:val="none"/>
        </w:rPr>
        <w:t>202</w:t>
      </w:r>
      <w:r>
        <w:rPr>
          <w:rFonts w:hint="eastAsia" w:ascii="仿宋_GB2312" w:hAnsi="宋体" w:eastAsia="仿宋_GB2312" w:cs="宋体"/>
          <w:color w:val="auto"/>
          <w:spacing w:val="-4"/>
          <w:kern w:val="0"/>
          <w:sz w:val="32"/>
          <w:szCs w:val="32"/>
          <w:highlight w:val="none"/>
          <w:lang w:val="en-US" w:eastAsia="zh-CN"/>
        </w:rPr>
        <w:t>4</w:t>
      </w:r>
      <w:r>
        <w:rPr>
          <w:rFonts w:hint="eastAsia" w:ascii="仿宋_GB2312" w:hAnsi="宋体" w:eastAsia="仿宋_GB2312" w:cs="宋体"/>
          <w:color w:val="auto"/>
          <w:spacing w:val="-4"/>
          <w:kern w:val="0"/>
          <w:sz w:val="32"/>
          <w:szCs w:val="32"/>
          <w:highlight w:val="none"/>
        </w:rPr>
        <w:t>年实现净利润</w:t>
      </w:r>
      <w:r>
        <w:rPr>
          <w:rFonts w:hint="eastAsia" w:ascii="仿宋_GB2312" w:hAnsi="宋体" w:eastAsia="仿宋_GB2312" w:cs="宋体"/>
          <w:color w:val="auto"/>
          <w:spacing w:val="-4"/>
          <w:kern w:val="0"/>
          <w:sz w:val="32"/>
          <w:szCs w:val="32"/>
          <w:highlight w:val="none"/>
          <w:lang w:val="en-US" w:eastAsia="zh-CN"/>
        </w:rPr>
        <w:t>17701</w:t>
      </w:r>
      <w:r>
        <w:rPr>
          <w:rFonts w:hint="eastAsia" w:ascii="仿宋_GB2312" w:hAnsi="宋体" w:eastAsia="仿宋_GB2312" w:cs="宋体"/>
          <w:color w:val="auto"/>
          <w:spacing w:val="-4"/>
          <w:kern w:val="0"/>
          <w:sz w:val="32"/>
          <w:szCs w:val="32"/>
          <w:highlight w:val="none"/>
        </w:rPr>
        <w:t>万元</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同比增</w:t>
      </w:r>
      <w:r>
        <w:rPr>
          <w:rFonts w:ascii="仿宋_GB2312" w:hAnsi="宋体" w:eastAsia="仿宋_GB2312" w:cs="宋体"/>
          <w:color w:val="auto"/>
          <w:spacing w:val="-4"/>
          <w:kern w:val="0"/>
          <w:sz w:val="32"/>
          <w:szCs w:val="32"/>
          <w:highlight w:val="none"/>
        </w:rPr>
        <w:t>加</w:t>
      </w:r>
      <w:r>
        <w:rPr>
          <w:rFonts w:hint="eastAsia" w:ascii="仿宋_GB2312" w:hAnsi="宋体" w:eastAsia="仿宋_GB2312" w:cs="宋体"/>
          <w:color w:val="auto"/>
          <w:spacing w:val="-4"/>
          <w:kern w:val="0"/>
          <w:sz w:val="32"/>
          <w:szCs w:val="32"/>
          <w:highlight w:val="none"/>
          <w:lang w:val="en-US" w:eastAsia="zh-CN"/>
        </w:rPr>
        <w:t>1649.6</w:t>
      </w:r>
      <w:r>
        <w:rPr>
          <w:rFonts w:hint="eastAsia" w:ascii="仿宋_GB2312" w:hAnsi="宋体" w:eastAsia="仿宋_GB2312" w:cs="宋体"/>
          <w:color w:val="auto"/>
          <w:spacing w:val="-4"/>
          <w:kern w:val="0"/>
          <w:sz w:val="32"/>
          <w:szCs w:val="32"/>
          <w:highlight w:val="none"/>
        </w:rPr>
        <w:t>万元</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增幅</w:t>
      </w:r>
      <w:r>
        <w:rPr>
          <w:rFonts w:hint="eastAsia" w:ascii="仿宋_GB2312" w:hAnsi="宋体" w:eastAsia="仿宋_GB2312" w:cs="宋体"/>
          <w:color w:val="auto"/>
          <w:spacing w:val="-4"/>
          <w:kern w:val="0"/>
          <w:sz w:val="32"/>
          <w:szCs w:val="32"/>
          <w:highlight w:val="none"/>
          <w:lang w:val="en-US" w:eastAsia="zh-CN"/>
        </w:rPr>
        <w:t>10.28</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w:t>
      </w:r>
    </w:p>
    <w:p>
      <w:pPr>
        <w:widowControl/>
        <w:shd w:val="clear" w:color="auto" w:fill="FFFFFF"/>
        <w:spacing w:line="480" w:lineRule="exact"/>
        <w:ind w:firstLine="640" w:firstLineChars="200"/>
        <w:jc w:val="left"/>
        <w:rPr>
          <w:rFonts w:ascii="宋体" w:cs="宋体"/>
          <w:color w:val="auto"/>
          <w:kern w:val="0"/>
          <w:sz w:val="32"/>
          <w:szCs w:val="32"/>
          <w:highlight w:val="none"/>
        </w:rPr>
      </w:pPr>
      <w:r>
        <w:rPr>
          <w:rFonts w:hint="eastAsia" w:ascii="黑体" w:hAnsi="宋体" w:eastAsia="黑体" w:cs="宋体"/>
          <w:color w:val="auto"/>
          <w:kern w:val="0"/>
          <w:sz w:val="32"/>
          <w:szCs w:val="32"/>
          <w:highlight w:val="none"/>
        </w:rPr>
        <w:t>三、董事、监事、高级管理层人员和员工情况</w:t>
      </w:r>
    </w:p>
    <w:p>
      <w:pPr>
        <w:widowControl/>
        <w:shd w:val="clear" w:color="auto" w:fill="FFFFFF"/>
        <w:tabs>
          <w:tab w:val="left" w:pos="630"/>
        </w:tabs>
        <w:spacing w:line="48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3.1</w:t>
      </w:r>
      <w:r>
        <w:rPr>
          <w:rFonts w:hint="eastAsia" w:ascii="仿宋_GB2312" w:hAnsi="宋体" w:eastAsia="仿宋_GB2312" w:cs="宋体"/>
          <w:b/>
          <w:color w:val="auto"/>
          <w:kern w:val="0"/>
          <w:sz w:val="32"/>
          <w:szCs w:val="32"/>
          <w:highlight w:val="none"/>
        </w:rPr>
        <w:t>董事</w:t>
      </w:r>
    </w:p>
    <w:tbl>
      <w:tblPr>
        <w:tblStyle w:val="7"/>
        <w:tblW w:w="8280" w:type="dxa"/>
        <w:jc w:val="center"/>
        <w:tblInd w:w="0" w:type="dxa"/>
        <w:tblLayout w:type="fixed"/>
        <w:tblCellMar>
          <w:top w:w="0" w:type="dxa"/>
          <w:left w:w="108" w:type="dxa"/>
          <w:bottom w:w="0" w:type="dxa"/>
          <w:right w:w="108" w:type="dxa"/>
        </w:tblCellMar>
      </w:tblPr>
      <w:tblGrid>
        <w:gridCol w:w="915"/>
        <w:gridCol w:w="1965"/>
        <w:gridCol w:w="1800"/>
        <w:gridCol w:w="3600"/>
      </w:tblGrid>
      <w:tr>
        <w:tblPrEx>
          <w:tblLayout w:type="fixed"/>
          <w:tblCellMar>
            <w:top w:w="0" w:type="dxa"/>
            <w:left w:w="108" w:type="dxa"/>
            <w:bottom w:w="0" w:type="dxa"/>
            <w:right w:w="108" w:type="dxa"/>
          </w:tblCellMar>
        </w:tblPrEx>
        <w:trPr>
          <w:trHeight w:val="39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序号</w:t>
            </w:r>
          </w:p>
        </w:tc>
        <w:tc>
          <w:tcPr>
            <w:tcW w:w="19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姓名</w:t>
            </w:r>
          </w:p>
        </w:tc>
        <w:tc>
          <w:tcPr>
            <w:tcW w:w="18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姓别</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任职</w:t>
            </w:r>
          </w:p>
        </w:tc>
      </w:tr>
      <w:tr>
        <w:tblPrEx>
          <w:tblLayout w:type="fixed"/>
          <w:tblCellMar>
            <w:top w:w="0" w:type="dxa"/>
            <w:left w:w="108" w:type="dxa"/>
            <w:bottom w:w="0" w:type="dxa"/>
            <w:right w:w="108" w:type="dxa"/>
          </w:tblCellMar>
        </w:tblPrEx>
        <w:trPr>
          <w:trHeight w:val="253"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1</w:t>
            </w:r>
          </w:p>
        </w:tc>
        <w:tc>
          <w:tcPr>
            <w:tcW w:w="1965"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lang w:val="en-US" w:eastAsia="zh-CN"/>
              </w:rPr>
              <w:t>陈洪海</w:t>
            </w:r>
          </w:p>
        </w:tc>
        <w:tc>
          <w:tcPr>
            <w:tcW w:w="1800"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董事长</w:t>
            </w:r>
          </w:p>
        </w:tc>
      </w:tr>
      <w:tr>
        <w:tblPrEx>
          <w:tblLayout w:type="fixed"/>
          <w:tblCellMar>
            <w:top w:w="0" w:type="dxa"/>
            <w:left w:w="108" w:type="dxa"/>
            <w:bottom w:w="0" w:type="dxa"/>
            <w:right w:w="108" w:type="dxa"/>
          </w:tblCellMar>
        </w:tblPrEx>
        <w:trPr>
          <w:trHeight w:val="253"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default" w:ascii="仿宋_GB2312" w:hAnsi="宋体-PUA" w:eastAsia="仿宋_GB2312" w:cs="宋体-PUA"/>
                <w:color w:val="auto"/>
                <w:sz w:val="28"/>
                <w:szCs w:val="28"/>
                <w:highlight w:val="none"/>
              </w:rPr>
              <w:t>2</w:t>
            </w:r>
          </w:p>
        </w:tc>
        <w:tc>
          <w:tcPr>
            <w:tcW w:w="1965"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lang w:val="en-US" w:eastAsia="zh-CN"/>
              </w:rPr>
              <w:t>游冬</w:t>
            </w:r>
          </w:p>
        </w:tc>
        <w:tc>
          <w:tcPr>
            <w:tcW w:w="1800"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董事</w:t>
            </w:r>
          </w:p>
        </w:tc>
      </w:tr>
      <w:tr>
        <w:tblPrEx>
          <w:tblLayout w:type="fixed"/>
          <w:tblCellMar>
            <w:top w:w="0" w:type="dxa"/>
            <w:left w:w="108" w:type="dxa"/>
            <w:bottom w:w="0" w:type="dxa"/>
            <w:right w:w="108" w:type="dxa"/>
          </w:tblCellMar>
        </w:tblPrEx>
        <w:trPr>
          <w:trHeight w:val="249"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3</w:t>
            </w:r>
          </w:p>
        </w:tc>
        <w:tc>
          <w:tcPr>
            <w:tcW w:w="1965"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王建平</w:t>
            </w:r>
          </w:p>
        </w:tc>
        <w:tc>
          <w:tcPr>
            <w:tcW w:w="1800"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rPr>
              <w:t>董事</w:t>
            </w:r>
            <w:r>
              <w:rPr>
                <w:rFonts w:hint="eastAsia" w:ascii="仿宋_GB2312" w:hAnsi="宋体-PUA" w:eastAsia="仿宋_GB2312" w:cs="宋体-PUA"/>
                <w:color w:val="auto"/>
                <w:kern w:val="0"/>
                <w:sz w:val="28"/>
                <w:szCs w:val="28"/>
                <w:highlight w:val="none"/>
                <w:lang w:val="en-US" w:eastAsia="zh-CN"/>
              </w:rPr>
              <w:t>(2024年8月辞任）</w:t>
            </w:r>
          </w:p>
        </w:tc>
      </w:tr>
      <w:tr>
        <w:tblPrEx>
          <w:tblLayout w:type="fixed"/>
          <w:tblCellMar>
            <w:top w:w="0" w:type="dxa"/>
            <w:left w:w="108" w:type="dxa"/>
            <w:bottom w:w="0" w:type="dxa"/>
            <w:right w:w="108" w:type="dxa"/>
          </w:tblCellMar>
        </w:tblPrEx>
        <w:trPr>
          <w:trHeight w:val="9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4</w:t>
            </w:r>
          </w:p>
        </w:tc>
        <w:tc>
          <w:tcPr>
            <w:tcW w:w="1965"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王晓安</w:t>
            </w:r>
          </w:p>
        </w:tc>
        <w:tc>
          <w:tcPr>
            <w:tcW w:w="1800"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独立董事</w:t>
            </w:r>
          </w:p>
        </w:tc>
      </w:tr>
      <w:tr>
        <w:tblPrEx>
          <w:tblLayout w:type="fixed"/>
          <w:tblCellMar>
            <w:top w:w="0" w:type="dxa"/>
            <w:left w:w="108" w:type="dxa"/>
            <w:bottom w:w="0" w:type="dxa"/>
            <w:right w:w="108" w:type="dxa"/>
          </w:tblCellMar>
        </w:tblPrEx>
        <w:trPr>
          <w:trHeight w:val="43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5</w:t>
            </w:r>
          </w:p>
        </w:tc>
        <w:tc>
          <w:tcPr>
            <w:tcW w:w="1965" w:type="dxa"/>
            <w:tcBorders>
              <w:top w:val="single" w:color="auto" w:sz="4" w:space="0"/>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黄慧盈</w:t>
            </w:r>
          </w:p>
        </w:tc>
        <w:tc>
          <w:tcPr>
            <w:tcW w:w="1800" w:type="dxa"/>
            <w:tcBorders>
              <w:top w:val="single" w:color="auto" w:sz="4" w:space="0"/>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女</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独立董事</w:t>
            </w:r>
          </w:p>
        </w:tc>
      </w:tr>
      <w:tr>
        <w:tblPrEx>
          <w:tblLayout w:type="fixed"/>
          <w:tblCellMar>
            <w:top w:w="0" w:type="dxa"/>
            <w:left w:w="108" w:type="dxa"/>
            <w:bottom w:w="0" w:type="dxa"/>
            <w:right w:w="108" w:type="dxa"/>
          </w:tblCellMar>
        </w:tblPrEx>
        <w:trPr>
          <w:trHeight w:val="24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6</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罗桂娥</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女</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独立董事</w:t>
            </w:r>
          </w:p>
        </w:tc>
      </w:tr>
      <w:tr>
        <w:tblPrEx>
          <w:tblLayout w:type="fixed"/>
          <w:tblCellMar>
            <w:top w:w="0" w:type="dxa"/>
            <w:left w:w="108" w:type="dxa"/>
            <w:bottom w:w="0" w:type="dxa"/>
            <w:right w:w="108" w:type="dxa"/>
          </w:tblCellMar>
        </w:tblPrEx>
        <w:trPr>
          <w:trHeight w:val="21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7</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李文国</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独立董事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 w:eastAsia="仿宋_GB2312" w:cs="宋体"/>
                <w:color w:val="auto"/>
                <w:sz w:val="28"/>
                <w:szCs w:val="28"/>
                <w:highlight w:val="none"/>
              </w:rPr>
              <w:t>8</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王志洪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 w:eastAsia="仿宋_GB2312" w:cs="宋体"/>
                <w:color w:val="auto"/>
                <w:sz w:val="28"/>
                <w:szCs w:val="28"/>
                <w:highlight w:val="none"/>
              </w:rPr>
              <w:t>9</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罗群</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 w:eastAsia="仿宋_GB2312" w:cs="宋体"/>
                <w:color w:val="auto"/>
                <w:sz w:val="28"/>
                <w:szCs w:val="28"/>
                <w:highlight w:val="none"/>
              </w:rPr>
              <w:t>10</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陈一鸣</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sz w:val="28"/>
                <w:szCs w:val="28"/>
                <w:highlight w:val="none"/>
                <w:lang w:eastAsia="zh-CN"/>
              </w:rPr>
            </w:pPr>
            <w:r>
              <w:rPr>
                <w:rFonts w:hint="eastAsia" w:ascii="仿宋_GB2312" w:hAnsi="宋体" w:eastAsia="仿宋_GB2312" w:cs="宋体"/>
                <w:color w:val="auto"/>
                <w:sz w:val="28"/>
                <w:szCs w:val="28"/>
                <w:highlight w:val="none"/>
              </w:rPr>
              <w:t>1</w:t>
            </w:r>
            <w:r>
              <w:rPr>
                <w:rFonts w:hint="eastAsia" w:ascii="仿宋_GB2312" w:hAnsi="宋体" w:eastAsia="仿宋_GB2312" w:cs="宋体"/>
                <w:color w:val="auto"/>
                <w:sz w:val="28"/>
                <w:szCs w:val="28"/>
                <w:highlight w:val="none"/>
                <w:lang w:val="en-US" w:eastAsia="zh-CN"/>
              </w:rPr>
              <w:t>1</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付自强</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董事</w:t>
            </w:r>
          </w:p>
        </w:tc>
      </w:tr>
    </w:tbl>
    <w:p>
      <w:pPr>
        <w:widowControl/>
        <w:shd w:val="clear" w:color="auto" w:fill="FFFFFF"/>
        <w:tabs>
          <w:tab w:val="left" w:pos="630"/>
        </w:tabs>
        <w:spacing w:line="400" w:lineRule="exact"/>
        <w:ind w:firstLine="630" w:firstLineChars="196"/>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00" w:lineRule="exact"/>
        <w:ind w:firstLine="630" w:firstLineChars="196"/>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3.2</w:t>
      </w:r>
      <w:r>
        <w:rPr>
          <w:rFonts w:hint="eastAsia" w:ascii="仿宋_GB2312" w:hAnsi="宋体" w:eastAsia="仿宋_GB2312" w:cs="宋体"/>
          <w:b/>
          <w:color w:val="auto"/>
          <w:kern w:val="0"/>
          <w:sz w:val="32"/>
          <w:szCs w:val="32"/>
          <w:highlight w:val="none"/>
        </w:rPr>
        <w:t>监事</w:t>
      </w:r>
    </w:p>
    <w:tbl>
      <w:tblPr>
        <w:tblStyle w:val="7"/>
        <w:tblW w:w="8280" w:type="dxa"/>
        <w:jc w:val="center"/>
        <w:tblInd w:w="0" w:type="dxa"/>
        <w:tblLayout w:type="fixed"/>
        <w:tblCellMar>
          <w:top w:w="0" w:type="dxa"/>
          <w:left w:w="108" w:type="dxa"/>
          <w:bottom w:w="0" w:type="dxa"/>
          <w:right w:w="108" w:type="dxa"/>
        </w:tblCellMar>
      </w:tblPr>
      <w:tblGrid>
        <w:gridCol w:w="915"/>
        <w:gridCol w:w="1965"/>
        <w:gridCol w:w="1980"/>
        <w:gridCol w:w="3420"/>
      </w:tblGrid>
      <w:tr>
        <w:tblPrEx>
          <w:tblLayout w:type="fixed"/>
          <w:tblCellMar>
            <w:top w:w="0" w:type="dxa"/>
            <w:left w:w="108" w:type="dxa"/>
            <w:bottom w:w="0" w:type="dxa"/>
            <w:right w:w="108" w:type="dxa"/>
          </w:tblCellMar>
        </w:tblPrEx>
        <w:trPr>
          <w:trHeight w:val="41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color w:val="auto"/>
                <w:sz w:val="28"/>
                <w:szCs w:val="28"/>
                <w:highlight w:val="none"/>
              </w:rPr>
            </w:pPr>
            <w:r>
              <w:rPr>
                <w:rFonts w:hint="eastAsia" w:ascii="黑体" w:hAnsi="黑体" w:eastAsia="黑体" w:cs="黑体"/>
                <w:b/>
                <w:color w:val="auto"/>
                <w:sz w:val="28"/>
                <w:szCs w:val="28"/>
                <w:highlight w:val="none"/>
              </w:rPr>
              <w:t>序号</w:t>
            </w:r>
          </w:p>
        </w:tc>
        <w:tc>
          <w:tcPr>
            <w:tcW w:w="19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color w:val="auto"/>
                <w:sz w:val="28"/>
                <w:szCs w:val="28"/>
                <w:highlight w:val="none"/>
              </w:rPr>
            </w:pPr>
            <w:r>
              <w:rPr>
                <w:rFonts w:hint="eastAsia" w:ascii="黑体" w:hAnsi="黑体" w:eastAsia="黑体" w:cs="黑体"/>
                <w:b/>
                <w:color w:val="auto"/>
                <w:sz w:val="28"/>
                <w:szCs w:val="28"/>
                <w:highlight w:val="none"/>
              </w:rPr>
              <w:t>姓名</w:t>
            </w:r>
          </w:p>
        </w:tc>
        <w:tc>
          <w:tcPr>
            <w:tcW w:w="1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color w:val="auto"/>
                <w:sz w:val="28"/>
                <w:szCs w:val="28"/>
                <w:highlight w:val="none"/>
              </w:rPr>
            </w:pPr>
            <w:r>
              <w:rPr>
                <w:rFonts w:hint="eastAsia" w:ascii="黑体" w:hAnsi="黑体" w:eastAsia="黑体" w:cs="黑体"/>
                <w:b/>
                <w:color w:val="auto"/>
                <w:sz w:val="28"/>
                <w:szCs w:val="28"/>
                <w:highlight w:val="none"/>
              </w:rPr>
              <w:t>姓别</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color w:val="auto"/>
                <w:sz w:val="28"/>
                <w:szCs w:val="28"/>
                <w:highlight w:val="none"/>
              </w:rPr>
            </w:pPr>
            <w:r>
              <w:rPr>
                <w:rFonts w:hint="eastAsia" w:ascii="黑体" w:hAnsi="黑体" w:eastAsia="黑体" w:cs="黑体"/>
                <w:b/>
                <w:color w:val="auto"/>
                <w:sz w:val="28"/>
                <w:szCs w:val="28"/>
                <w:highlight w:val="none"/>
              </w:rPr>
              <w:t>任职</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default" w:ascii="仿宋_GB2312" w:hAnsi="宋体" w:eastAsia="仿宋_GB2312" w:cs="宋体"/>
                <w:color w:val="auto"/>
                <w:sz w:val="28"/>
                <w:szCs w:val="28"/>
                <w:highlight w:val="none"/>
              </w:rPr>
              <w:t>1</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刘挺</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监事长、纪委书记</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default" w:ascii="仿宋_GB2312" w:hAnsi="宋体" w:eastAsia="仿宋_GB2312" w:cs="宋体"/>
                <w:color w:val="auto"/>
                <w:kern w:val="0"/>
                <w:sz w:val="28"/>
                <w:szCs w:val="28"/>
                <w:highlight w:val="none"/>
              </w:rPr>
              <w:t>2</w:t>
            </w:r>
          </w:p>
        </w:tc>
        <w:tc>
          <w:tcPr>
            <w:tcW w:w="1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王尔鹏</w:t>
            </w:r>
          </w:p>
        </w:tc>
        <w:tc>
          <w:tcPr>
            <w:tcW w:w="19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职工监事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default" w:ascii="仿宋_GB2312" w:hAnsi="宋体" w:eastAsia="仿宋_GB2312" w:cs="宋体"/>
                <w:color w:val="auto"/>
                <w:kern w:val="0"/>
                <w:sz w:val="28"/>
                <w:szCs w:val="28"/>
                <w:highlight w:val="none"/>
              </w:rPr>
              <w:t>3</w:t>
            </w:r>
          </w:p>
        </w:tc>
        <w:tc>
          <w:tcPr>
            <w:tcW w:w="1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何武纵</w:t>
            </w:r>
          </w:p>
        </w:tc>
        <w:tc>
          <w:tcPr>
            <w:tcW w:w="19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职工监事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rPr>
            </w:pPr>
            <w:r>
              <w:rPr>
                <w:rFonts w:hint="default" w:ascii="仿宋_GB2312" w:hAnsi="宋体" w:eastAsia="仿宋_GB2312" w:cs="宋体"/>
                <w:color w:val="auto"/>
                <w:kern w:val="0"/>
                <w:sz w:val="28"/>
                <w:szCs w:val="28"/>
                <w:highlight w:val="none"/>
              </w:rPr>
              <w:t>4</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谌思梦</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女</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default" w:ascii="仿宋_GB2312" w:hAnsi="宋体" w:eastAsia="仿宋_GB2312" w:cs="宋体"/>
                <w:color w:val="auto"/>
                <w:kern w:val="0"/>
                <w:sz w:val="28"/>
                <w:szCs w:val="28"/>
                <w:highlight w:val="none"/>
              </w:rPr>
              <w:t>5</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梁斌</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6</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lang w:val="en-US" w:eastAsia="zh-CN"/>
              </w:rPr>
              <w:t>贾宇</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lang w:val="en-US" w:eastAsia="zh-CN"/>
              </w:rPr>
              <w:t>男</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监事（2024年5月辞任）</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7</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default" w:ascii="仿宋_GB2312" w:hAnsi="宋体-PUA" w:eastAsia="仿宋_GB2312" w:cs="宋体-PUA"/>
                <w:color w:val="auto"/>
                <w:sz w:val="28"/>
                <w:szCs w:val="28"/>
                <w:highlight w:val="none"/>
              </w:rPr>
              <w:t>孙新华</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default" w:ascii="仿宋_GB2312" w:hAnsi="宋体-PUA" w:eastAsia="仿宋_GB2312" w:cs="宋体-PUA"/>
                <w:color w:val="auto"/>
                <w:sz w:val="28"/>
                <w:szCs w:val="28"/>
                <w:highlight w:val="none"/>
              </w:rPr>
              <w:t>女</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rPr>
              <w:t>监事</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lang w:val="en-US" w:eastAsia="zh-CN"/>
              </w:rPr>
              <w:t>2024年5月任职）</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8</w:t>
            </w:r>
          </w:p>
        </w:tc>
        <w:tc>
          <w:tcPr>
            <w:tcW w:w="1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徐环</w:t>
            </w:r>
          </w:p>
        </w:tc>
        <w:tc>
          <w:tcPr>
            <w:tcW w:w="19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女</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监事</w:t>
            </w:r>
          </w:p>
        </w:tc>
      </w:tr>
    </w:tbl>
    <w:p>
      <w:pPr>
        <w:widowControl/>
        <w:shd w:val="clear" w:color="auto" w:fill="FFFFFF"/>
        <w:tabs>
          <w:tab w:val="left" w:pos="630"/>
        </w:tabs>
        <w:spacing w:line="40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3.3</w:t>
      </w:r>
      <w:r>
        <w:rPr>
          <w:rFonts w:hint="eastAsia" w:ascii="仿宋_GB2312" w:hAnsi="宋体" w:eastAsia="仿宋_GB2312" w:cs="宋体"/>
          <w:b/>
          <w:color w:val="auto"/>
          <w:kern w:val="0"/>
          <w:sz w:val="32"/>
          <w:szCs w:val="32"/>
          <w:highlight w:val="none"/>
        </w:rPr>
        <w:t>高级管理层</w:t>
      </w:r>
    </w:p>
    <w:tbl>
      <w:tblPr>
        <w:tblStyle w:val="7"/>
        <w:tblW w:w="8484" w:type="dxa"/>
        <w:jc w:val="center"/>
        <w:tblInd w:w="0" w:type="dxa"/>
        <w:tblLayout w:type="fixed"/>
        <w:tblCellMar>
          <w:top w:w="0" w:type="dxa"/>
          <w:left w:w="108" w:type="dxa"/>
          <w:bottom w:w="0" w:type="dxa"/>
          <w:right w:w="108" w:type="dxa"/>
        </w:tblCellMar>
      </w:tblPr>
      <w:tblGrid>
        <w:gridCol w:w="834"/>
        <w:gridCol w:w="1275"/>
        <w:gridCol w:w="780"/>
        <w:gridCol w:w="1815"/>
        <w:gridCol w:w="1110"/>
        <w:gridCol w:w="2670"/>
      </w:tblGrid>
      <w:tr>
        <w:tblPrEx>
          <w:tblLayout w:type="fixed"/>
          <w:tblCellMar>
            <w:top w:w="0" w:type="dxa"/>
            <w:left w:w="108" w:type="dxa"/>
            <w:bottom w:w="0" w:type="dxa"/>
            <w:right w:w="108" w:type="dxa"/>
          </w:tblCellMar>
        </w:tblPrEx>
        <w:trPr>
          <w:trHeight w:val="55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序号</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姓名</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性别</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职务</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从业</w:t>
            </w:r>
          </w:p>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年限</w:t>
            </w:r>
          </w:p>
        </w:tc>
        <w:tc>
          <w:tcPr>
            <w:tcW w:w="2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分管工作范围</w:t>
            </w:r>
          </w:p>
        </w:tc>
      </w:tr>
      <w:tr>
        <w:tblPrEx>
          <w:tblLayout w:type="fixed"/>
          <w:tblCellMar>
            <w:top w:w="0" w:type="dxa"/>
            <w:left w:w="108" w:type="dxa"/>
            <w:bottom w:w="0" w:type="dxa"/>
            <w:right w:w="108" w:type="dxa"/>
          </w:tblCellMar>
        </w:tblPrEx>
        <w:trPr>
          <w:trHeight w:val="2235" w:hRule="atLeast"/>
          <w:jc w:val="center"/>
        </w:trPr>
        <w:tc>
          <w:tcPr>
            <w:tcW w:w="8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lang w:eastAsia="zh-CN"/>
              </w:rPr>
              <w:t>游冬</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lang w:eastAsia="zh-CN"/>
              </w:rPr>
              <w:t>男</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党委委员、行长</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14</w:t>
            </w: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主持日常经营工作，并组织履行经营班子职责，分管信贷管理部、授信评审部、金融市场部、清收事业部工作。</w:t>
            </w:r>
          </w:p>
        </w:tc>
      </w:tr>
      <w:tr>
        <w:tblPrEx>
          <w:tblLayout w:type="fixed"/>
          <w:tblCellMar>
            <w:top w:w="0" w:type="dxa"/>
            <w:left w:w="108" w:type="dxa"/>
            <w:bottom w:w="0" w:type="dxa"/>
            <w:right w:w="108" w:type="dxa"/>
          </w:tblCellMar>
        </w:tblPrEx>
        <w:trPr>
          <w:trHeight w:val="798" w:hRule="atLeast"/>
          <w:jc w:val="center"/>
        </w:trPr>
        <w:tc>
          <w:tcPr>
            <w:tcW w:w="8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2</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王建平</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男</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党委委员、副行长</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lang w:val="en-US" w:eastAsia="zh-CN"/>
              </w:rPr>
              <w:t>任至2024年7月</w:t>
            </w:r>
            <w:r>
              <w:rPr>
                <w:rFonts w:hint="eastAsia" w:ascii="仿宋_GB2312" w:hAnsi="宋体-PUA" w:eastAsia="仿宋_GB2312" w:cs="宋体-PUA"/>
                <w:color w:val="auto"/>
                <w:kern w:val="0"/>
                <w:sz w:val="28"/>
                <w:szCs w:val="28"/>
                <w:highlight w:val="none"/>
                <w:lang w:eastAsia="zh-CN"/>
              </w:rPr>
              <w:t>）</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26</w:t>
            </w: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负责综治维稳、</w:t>
            </w:r>
            <w:r>
              <w:rPr>
                <w:rFonts w:hint="eastAsia" w:ascii="仿宋_GB2312" w:hAnsi="宋体-PUA" w:eastAsia="仿宋_GB2312" w:cs="宋体-PUA"/>
                <w:color w:val="auto"/>
                <w:kern w:val="0"/>
                <w:sz w:val="28"/>
                <w:szCs w:val="28"/>
                <w:highlight w:val="none"/>
                <w:lang w:val="en-US" w:eastAsia="zh-CN"/>
              </w:rPr>
              <w:t>宣传工作</w:t>
            </w:r>
            <w:r>
              <w:rPr>
                <w:rFonts w:hint="eastAsia" w:ascii="仿宋_GB2312" w:hAnsi="宋体-PUA" w:eastAsia="仿宋_GB2312" w:cs="宋体-PUA"/>
                <w:color w:val="auto"/>
                <w:kern w:val="0"/>
                <w:sz w:val="28"/>
                <w:szCs w:val="28"/>
                <w:highlight w:val="none"/>
              </w:rPr>
              <w:t>，分管安全保卫部</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lang w:val="en-US" w:eastAsia="zh-CN"/>
              </w:rPr>
              <w:t>监控中心</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rPr>
              <w:t>、</w:t>
            </w:r>
            <w:r>
              <w:rPr>
                <w:rFonts w:hint="eastAsia" w:ascii="仿宋_GB2312" w:hAnsi="宋体-PUA" w:eastAsia="仿宋_GB2312" w:cs="宋体-PUA"/>
                <w:color w:val="auto"/>
                <w:kern w:val="0"/>
                <w:sz w:val="28"/>
                <w:szCs w:val="28"/>
                <w:highlight w:val="none"/>
                <w:lang w:val="en-US" w:eastAsia="zh-CN"/>
              </w:rPr>
              <w:t>办公室（后勤服务中心）</w:t>
            </w:r>
            <w:r>
              <w:rPr>
                <w:rFonts w:hint="eastAsia" w:ascii="仿宋_GB2312" w:hAnsi="宋体-PUA" w:eastAsia="仿宋_GB2312" w:cs="宋体-PUA"/>
                <w:color w:val="auto"/>
                <w:kern w:val="0"/>
                <w:sz w:val="28"/>
                <w:szCs w:val="28"/>
                <w:highlight w:val="none"/>
              </w:rPr>
              <w:t>、</w:t>
            </w:r>
            <w:r>
              <w:rPr>
                <w:rFonts w:hint="eastAsia" w:ascii="仿宋_GB2312" w:hAnsi="宋体-PUA" w:eastAsia="仿宋_GB2312" w:cs="宋体-PUA"/>
                <w:color w:val="auto"/>
                <w:kern w:val="0"/>
                <w:sz w:val="28"/>
                <w:szCs w:val="28"/>
                <w:highlight w:val="none"/>
                <w:lang w:val="en-US" w:eastAsia="zh-CN"/>
              </w:rPr>
              <w:t>运营管理部工作。</w:t>
            </w:r>
          </w:p>
        </w:tc>
      </w:tr>
      <w:tr>
        <w:tblPrEx>
          <w:tblLayout w:type="fixed"/>
          <w:tblCellMar>
            <w:top w:w="0" w:type="dxa"/>
            <w:left w:w="108" w:type="dxa"/>
            <w:bottom w:w="0" w:type="dxa"/>
            <w:right w:w="108" w:type="dxa"/>
          </w:tblCellMar>
        </w:tblPrEx>
        <w:trPr>
          <w:trHeight w:val="177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3</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南琼</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党委委员、副行长</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12</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负责综治维稳、宣传工作，分管办公室（后勤服务中心）、运营管理部、安全保卫部（监控中心）、普惠金融事业部（三农事业部）工作。</w:t>
            </w:r>
          </w:p>
        </w:tc>
      </w:tr>
      <w:tr>
        <w:tblPrEx>
          <w:tblLayout w:type="fixed"/>
          <w:tblCellMar>
            <w:top w:w="0" w:type="dxa"/>
            <w:left w:w="108" w:type="dxa"/>
            <w:bottom w:w="0" w:type="dxa"/>
            <w:right w:w="108" w:type="dxa"/>
          </w:tblCellMar>
        </w:tblPrEx>
        <w:trPr>
          <w:trHeight w:val="200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4</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郭婷</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女</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党委委员、副行长</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lang w:val="en-US" w:eastAsia="zh-CN"/>
              </w:rPr>
              <w:t>自2024年12月起任</w:t>
            </w:r>
            <w:r>
              <w:rPr>
                <w:rFonts w:hint="eastAsia" w:ascii="仿宋_GB2312" w:hAnsi="宋体-PUA" w:eastAsia="仿宋_GB2312" w:cs="宋体-PUA"/>
                <w:color w:val="auto"/>
                <w:kern w:val="0"/>
                <w:sz w:val="28"/>
                <w:szCs w:val="28"/>
                <w:highlight w:val="none"/>
                <w:lang w:eastAsia="zh-CN"/>
              </w:rPr>
              <w:t>）</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17</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分管人力资源部、计划财务部、业务拓展部、法律合规部、风险管理部工作。</w:t>
            </w:r>
          </w:p>
        </w:tc>
      </w:tr>
      <w:tr>
        <w:tblPrEx>
          <w:tblLayout w:type="fixed"/>
          <w:tblCellMar>
            <w:top w:w="0" w:type="dxa"/>
            <w:left w:w="108" w:type="dxa"/>
            <w:bottom w:w="0" w:type="dxa"/>
            <w:right w:w="108" w:type="dxa"/>
          </w:tblCellMar>
        </w:tblPrEx>
        <w:trPr>
          <w:trHeight w:val="411"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5</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余志勇</w:t>
            </w:r>
          </w:p>
        </w:tc>
        <w:tc>
          <w:tcPr>
            <w:tcW w:w="7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法律</w:t>
            </w:r>
            <w:r>
              <w:rPr>
                <w:rFonts w:hint="eastAsia" w:ascii="仿宋_GB2312" w:hAnsi="宋体-PUA" w:eastAsia="仿宋_GB2312" w:cs="宋体-PUA"/>
                <w:color w:val="auto"/>
                <w:kern w:val="0"/>
                <w:sz w:val="28"/>
                <w:szCs w:val="28"/>
                <w:highlight w:val="none"/>
              </w:rPr>
              <w:t>合规部总经理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23</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rPr>
              <w:t>负责本行的</w:t>
            </w:r>
            <w:r>
              <w:rPr>
                <w:rFonts w:hint="eastAsia" w:ascii="仿宋_GB2312" w:hAnsi="宋体-PUA" w:eastAsia="仿宋_GB2312" w:cs="宋体-PUA"/>
                <w:color w:val="auto"/>
                <w:kern w:val="0"/>
                <w:sz w:val="28"/>
                <w:szCs w:val="28"/>
                <w:highlight w:val="none"/>
                <w:lang w:val="en-US" w:eastAsia="zh-CN"/>
              </w:rPr>
              <w:t>法律</w:t>
            </w:r>
            <w:r>
              <w:rPr>
                <w:rFonts w:hint="eastAsia" w:ascii="仿宋_GB2312" w:hAnsi="宋体-PUA" w:eastAsia="仿宋_GB2312" w:cs="宋体-PUA"/>
                <w:color w:val="auto"/>
                <w:kern w:val="0"/>
                <w:sz w:val="28"/>
                <w:szCs w:val="28"/>
                <w:highlight w:val="none"/>
              </w:rPr>
              <w:t>合规具体工作</w:t>
            </w:r>
            <w:r>
              <w:rPr>
                <w:rFonts w:hint="eastAsia" w:ascii="仿宋_GB2312" w:hAnsi="宋体-PUA" w:eastAsia="仿宋_GB2312" w:cs="宋体-PUA"/>
                <w:color w:val="auto"/>
                <w:kern w:val="0"/>
                <w:sz w:val="28"/>
                <w:szCs w:val="28"/>
                <w:highlight w:val="none"/>
                <w:lang w:eastAsia="zh-CN"/>
              </w:rPr>
              <w:t>。</w:t>
            </w:r>
          </w:p>
        </w:tc>
      </w:tr>
      <w:tr>
        <w:tblPrEx>
          <w:tblLayout w:type="fixed"/>
          <w:tblCellMar>
            <w:top w:w="0" w:type="dxa"/>
            <w:left w:w="108" w:type="dxa"/>
            <w:bottom w:w="0" w:type="dxa"/>
            <w:right w:w="108" w:type="dxa"/>
          </w:tblCellMar>
        </w:tblPrEx>
        <w:trPr>
          <w:trHeight w:val="42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6</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谢景春</w:t>
            </w:r>
          </w:p>
        </w:tc>
        <w:tc>
          <w:tcPr>
            <w:tcW w:w="7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审计部总经理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25</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rPr>
              <w:t>负责本行的审计具体工作</w:t>
            </w:r>
            <w:r>
              <w:rPr>
                <w:rFonts w:hint="eastAsia" w:ascii="仿宋_GB2312" w:hAnsi="宋体-PUA" w:eastAsia="仿宋_GB2312" w:cs="宋体-PUA"/>
                <w:color w:val="auto"/>
                <w:kern w:val="0"/>
                <w:sz w:val="28"/>
                <w:szCs w:val="28"/>
                <w:highlight w:val="none"/>
                <w:lang w:eastAsia="zh-CN"/>
              </w:rPr>
              <w:t>。</w:t>
            </w:r>
          </w:p>
        </w:tc>
      </w:tr>
      <w:tr>
        <w:tblPrEx>
          <w:tblLayout w:type="fixed"/>
          <w:tblCellMar>
            <w:top w:w="0" w:type="dxa"/>
            <w:left w:w="108" w:type="dxa"/>
            <w:bottom w:w="0" w:type="dxa"/>
            <w:right w:w="108" w:type="dxa"/>
          </w:tblCellMar>
        </w:tblPrEx>
        <w:trPr>
          <w:trHeight w:val="42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7</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卢文娟</w:t>
            </w:r>
          </w:p>
        </w:tc>
        <w:tc>
          <w:tcPr>
            <w:tcW w:w="7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女</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计划财务部总经理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11</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rPr>
              <w:t>负责本行的</w:t>
            </w:r>
            <w:r>
              <w:rPr>
                <w:rFonts w:hint="eastAsia" w:ascii="仿宋_GB2312" w:hAnsi="宋体-PUA" w:eastAsia="仿宋_GB2312" w:cs="宋体-PUA"/>
                <w:color w:val="auto"/>
                <w:kern w:val="0"/>
                <w:sz w:val="28"/>
                <w:szCs w:val="28"/>
                <w:highlight w:val="none"/>
                <w:lang w:val="en-US" w:eastAsia="zh-CN"/>
              </w:rPr>
              <w:t>财务</w:t>
            </w:r>
            <w:r>
              <w:rPr>
                <w:rFonts w:hint="eastAsia" w:ascii="仿宋_GB2312" w:hAnsi="宋体-PUA" w:eastAsia="仿宋_GB2312" w:cs="宋体-PUA"/>
                <w:color w:val="auto"/>
                <w:kern w:val="0"/>
                <w:sz w:val="28"/>
                <w:szCs w:val="28"/>
                <w:highlight w:val="none"/>
              </w:rPr>
              <w:t>具体工作</w:t>
            </w:r>
            <w:r>
              <w:rPr>
                <w:rFonts w:hint="eastAsia" w:ascii="仿宋_GB2312" w:hAnsi="宋体-PUA" w:eastAsia="仿宋_GB2312" w:cs="宋体-PUA"/>
                <w:color w:val="auto"/>
                <w:kern w:val="0"/>
                <w:sz w:val="28"/>
                <w:szCs w:val="28"/>
                <w:highlight w:val="none"/>
                <w:lang w:eastAsia="zh-CN"/>
              </w:rPr>
              <w:t>。</w:t>
            </w:r>
          </w:p>
        </w:tc>
      </w:tr>
    </w:tbl>
    <w:p>
      <w:pPr>
        <w:widowControl/>
        <w:shd w:val="clear" w:color="auto" w:fill="FFFFFF"/>
        <w:tabs>
          <w:tab w:val="left" w:pos="630"/>
        </w:tabs>
        <w:spacing w:line="520" w:lineRule="exact"/>
        <w:ind w:firstLine="643" w:firstLineChars="200"/>
        <w:jc w:val="left"/>
        <w:rPr>
          <w:rFonts w:ascii="宋体" w:eastAsia="仿宋_GB2312" w:cs="宋体"/>
          <w:color w:val="auto"/>
          <w:kern w:val="0"/>
          <w:sz w:val="32"/>
          <w:szCs w:val="32"/>
          <w:highlight w:val="none"/>
        </w:rPr>
      </w:pPr>
      <w:r>
        <w:rPr>
          <w:rFonts w:ascii="仿宋_GB2312" w:hAnsi="宋体" w:eastAsia="仿宋_GB2312" w:cs="宋体"/>
          <w:b/>
          <w:color w:val="auto"/>
          <w:kern w:val="0"/>
          <w:sz w:val="32"/>
          <w:szCs w:val="32"/>
          <w:highlight w:val="none"/>
        </w:rPr>
        <w:t>3.4</w:t>
      </w:r>
      <w:r>
        <w:rPr>
          <w:rFonts w:hint="eastAsia" w:ascii="仿宋_GB2312" w:hAnsi="宋体" w:eastAsia="仿宋_GB2312" w:cs="宋体"/>
          <w:b/>
          <w:color w:val="auto"/>
          <w:kern w:val="0"/>
          <w:sz w:val="32"/>
          <w:szCs w:val="32"/>
          <w:highlight w:val="none"/>
        </w:rPr>
        <w:t>员工情况</w:t>
      </w:r>
    </w:p>
    <w:p>
      <w:pPr>
        <w:widowControl/>
        <w:shd w:val="clear" w:color="auto" w:fill="FFFFFF"/>
        <w:spacing w:line="52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年末，全行在职员工</w:t>
      </w:r>
      <w:r>
        <w:rPr>
          <w:rFonts w:hint="eastAsia" w:ascii="仿宋_GB2312" w:hAnsi="宋体" w:eastAsia="仿宋_GB2312" w:cs="宋体"/>
          <w:color w:val="auto"/>
          <w:kern w:val="0"/>
          <w:sz w:val="32"/>
          <w:szCs w:val="32"/>
          <w:highlight w:val="none"/>
          <w:lang w:val="en-US" w:eastAsia="zh-CN"/>
        </w:rPr>
        <w:t>354</w:t>
      </w:r>
      <w:r>
        <w:rPr>
          <w:rFonts w:hint="eastAsia" w:ascii="仿宋_GB2312" w:hAnsi="宋体" w:eastAsia="仿宋_GB2312" w:cs="宋体"/>
          <w:color w:val="auto"/>
          <w:kern w:val="0"/>
          <w:sz w:val="32"/>
          <w:szCs w:val="32"/>
          <w:highlight w:val="none"/>
        </w:rPr>
        <w:t>人。按受教育程度分：研究生</w:t>
      </w:r>
      <w:r>
        <w:rPr>
          <w:rFonts w:hint="eastAsia" w:ascii="仿宋_GB2312" w:hAnsi="宋体" w:eastAsia="仿宋_GB2312" w:cs="宋体"/>
          <w:color w:val="auto"/>
          <w:kern w:val="0"/>
          <w:sz w:val="32"/>
          <w:szCs w:val="32"/>
          <w:highlight w:val="none"/>
          <w:lang w:val="en-US" w:eastAsia="zh-CN"/>
        </w:rPr>
        <w:t>8</w:t>
      </w:r>
      <w:r>
        <w:rPr>
          <w:rFonts w:hint="eastAsia" w:ascii="仿宋_GB2312" w:hAnsi="宋体" w:eastAsia="仿宋_GB2312" w:cs="宋体"/>
          <w:color w:val="auto"/>
          <w:kern w:val="0"/>
          <w:sz w:val="32"/>
          <w:szCs w:val="32"/>
          <w:highlight w:val="none"/>
        </w:rPr>
        <w:t>人，本科</w:t>
      </w:r>
      <w:r>
        <w:rPr>
          <w:rFonts w:hint="eastAsia" w:ascii="仿宋_GB2312" w:hAnsi="宋体" w:eastAsia="仿宋_GB2312" w:cs="宋体"/>
          <w:color w:val="auto"/>
          <w:kern w:val="0"/>
          <w:sz w:val="32"/>
          <w:szCs w:val="32"/>
          <w:highlight w:val="none"/>
          <w:lang w:val="en-US" w:eastAsia="zh-CN"/>
        </w:rPr>
        <w:t>283</w:t>
      </w:r>
      <w:r>
        <w:rPr>
          <w:rFonts w:hint="eastAsia" w:ascii="仿宋_GB2312" w:hAnsi="宋体" w:eastAsia="仿宋_GB2312" w:cs="宋体"/>
          <w:color w:val="auto"/>
          <w:kern w:val="0"/>
          <w:sz w:val="32"/>
          <w:szCs w:val="32"/>
          <w:highlight w:val="none"/>
        </w:rPr>
        <w:t>人，专科</w:t>
      </w:r>
      <w:r>
        <w:rPr>
          <w:rFonts w:hint="eastAsia" w:ascii="仿宋_GB2312" w:hAnsi="宋体" w:eastAsia="仿宋_GB2312" w:cs="宋体"/>
          <w:color w:val="auto"/>
          <w:kern w:val="0"/>
          <w:sz w:val="32"/>
          <w:szCs w:val="32"/>
          <w:highlight w:val="none"/>
          <w:lang w:val="en-US" w:eastAsia="zh-CN"/>
        </w:rPr>
        <w:t>54</w:t>
      </w:r>
      <w:r>
        <w:rPr>
          <w:rFonts w:hint="eastAsia" w:ascii="仿宋_GB2312" w:hAnsi="宋体" w:eastAsia="仿宋_GB2312" w:cs="宋体"/>
          <w:color w:val="auto"/>
          <w:kern w:val="0"/>
          <w:sz w:val="32"/>
          <w:szCs w:val="32"/>
          <w:highlight w:val="none"/>
        </w:rPr>
        <w:t>人，中专以下</w:t>
      </w:r>
      <w:r>
        <w:rPr>
          <w:rFonts w:hint="eastAsia" w:ascii="仿宋_GB2312" w:hAnsi="宋体" w:eastAsia="仿宋_GB2312" w:cs="宋体"/>
          <w:color w:val="auto"/>
          <w:kern w:val="0"/>
          <w:sz w:val="32"/>
          <w:szCs w:val="32"/>
          <w:highlight w:val="none"/>
          <w:lang w:val="en-US" w:eastAsia="zh-CN"/>
        </w:rPr>
        <w:t>9</w:t>
      </w:r>
      <w:r>
        <w:rPr>
          <w:rFonts w:hint="eastAsia" w:ascii="仿宋_GB2312" w:hAnsi="宋体" w:eastAsia="仿宋_GB2312" w:cs="宋体"/>
          <w:color w:val="auto"/>
          <w:kern w:val="0"/>
          <w:sz w:val="32"/>
          <w:szCs w:val="32"/>
          <w:highlight w:val="none"/>
        </w:rPr>
        <w:t>人。</w:t>
      </w:r>
    </w:p>
    <w:p>
      <w:pPr>
        <w:widowControl/>
        <w:shd w:val="clear" w:color="auto" w:fill="FFFFFF"/>
        <w:spacing w:line="520" w:lineRule="exact"/>
        <w:ind w:firstLine="640" w:firstLineChars="200"/>
        <w:jc w:val="both"/>
        <w:rPr>
          <w:rFonts w:ascii="宋体" w:cs="宋体"/>
          <w:color w:val="auto"/>
          <w:kern w:val="0"/>
          <w:sz w:val="32"/>
          <w:szCs w:val="32"/>
          <w:highlight w:val="none"/>
        </w:rPr>
      </w:pPr>
      <w:r>
        <w:rPr>
          <w:rFonts w:hint="eastAsia" w:ascii="黑体" w:hAnsi="宋体" w:eastAsia="黑体" w:cs="宋体"/>
          <w:color w:val="auto"/>
          <w:kern w:val="0"/>
          <w:sz w:val="32"/>
          <w:szCs w:val="32"/>
          <w:highlight w:val="none"/>
        </w:rPr>
        <w:t>四、公司治理结构</w:t>
      </w:r>
    </w:p>
    <w:p>
      <w:pPr>
        <w:widowControl/>
        <w:shd w:val="clear" w:color="auto" w:fill="FFFFFF"/>
        <w:tabs>
          <w:tab w:val="left" w:pos="630"/>
        </w:tabs>
        <w:spacing w:line="520" w:lineRule="exact"/>
        <w:ind w:firstLine="643" w:firstLineChars="200"/>
        <w:jc w:val="both"/>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w:t>
      </w:r>
      <w:r>
        <w:rPr>
          <w:rFonts w:hint="eastAsia" w:ascii="仿宋_GB2312" w:hAnsi="宋体" w:eastAsia="仿宋_GB2312" w:cs="宋体"/>
          <w:b/>
          <w:color w:val="auto"/>
          <w:kern w:val="0"/>
          <w:sz w:val="32"/>
          <w:szCs w:val="32"/>
          <w:highlight w:val="none"/>
        </w:rPr>
        <w:t>机构设置情况</w:t>
      </w:r>
    </w:p>
    <w:p>
      <w:pPr>
        <w:widowControl/>
        <w:shd w:val="clear" w:color="auto" w:fill="FFFFFF"/>
        <w:tabs>
          <w:tab w:val="left" w:pos="630"/>
        </w:tabs>
        <w:spacing w:line="520" w:lineRule="exact"/>
        <w:ind w:firstLine="643" w:firstLineChars="200"/>
        <w:jc w:val="both"/>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4.1.1</w:t>
      </w:r>
      <w:r>
        <w:rPr>
          <w:rFonts w:hint="eastAsia" w:ascii="仿宋_GB2312" w:hAnsi="宋体" w:eastAsia="仿宋_GB2312" w:cs="宋体"/>
          <w:b/>
          <w:color w:val="auto"/>
          <w:kern w:val="0"/>
          <w:sz w:val="32"/>
          <w:szCs w:val="32"/>
          <w:highlight w:val="none"/>
        </w:rPr>
        <w:t>股东大会</w:t>
      </w:r>
    </w:p>
    <w:p>
      <w:pPr>
        <w:widowControl/>
        <w:shd w:val="clear" w:color="auto" w:fill="FFFFFF"/>
        <w:spacing w:line="520" w:lineRule="exact"/>
        <w:ind w:firstLine="640" w:firstLineChars="200"/>
        <w:jc w:val="both"/>
        <w:rPr>
          <w:rFonts w:ascii="宋体" w:cs="宋体"/>
          <w:color w:val="auto"/>
          <w:kern w:val="0"/>
          <w:sz w:val="32"/>
          <w:szCs w:val="32"/>
          <w:highlight w:val="none"/>
        </w:rPr>
      </w:pPr>
      <w:r>
        <w:rPr>
          <w:rFonts w:hint="eastAsia" w:ascii="仿宋_GB2312" w:hAnsi="宋体" w:eastAsia="仿宋_GB2312" w:cs="宋体"/>
          <w:color w:val="auto"/>
          <w:kern w:val="0"/>
          <w:sz w:val="32"/>
          <w:szCs w:val="32"/>
          <w:highlight w:val="none"/>
        </w:rPr>
        <w:t>本行严格按照</w:t>
      </w:r>
      <w:r>
        <w:rPr>
          <w:rFonts w:hint="eastAsia" w:ascii="仿宋_GB2312" w:eastAsia="仿宋_GB2312"/>
          <w:color w:val="auto"/>
          <w:sz w:val="32"/>
          <w:szCs w:val="32"/>
          <w:highlight w:val="none"/>
        </w:rPr>
        <w:t>《中华人民共和国公司法》、《中华人民共和国商业银行法》</w:t>
      </w:r>
      <w:r>
        <w:rPr>
          <w:rFonts w:hint="eastAsia" w:ascii="仿宋_GB2312" w:hAnsi="宋体" w:eastAsia="仿宋_GB2312" w:cs="宋体"/>
          <w:color w:val="auto"/>
          <w:kern w:val="0"/>
          <w:sz w:val="32"/>
          <w:szCs w:val="32"/>
          <w:highlight w:val="none"/>
        </w:rPr>
        <w:t>及有关法规召集、召开股东大会，制定了股东大会议事规则，实行律师见证制度，保证股东依法行使权力。</w:t>
      </w:r>
    </w:p>
    <w:p>
      <w:pPr>
        <w:widowControl/>
        <w:shd w:val="clear" w:color="auto" w:fill="FFFFFF"/>
        <w:tabs>
          <w:tab w:val="left" w:pos="630"/>
        </w:tabs>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4.1.2</w:t>
      </w:r>
      <w:r>
        <w:rPr>
          <w:rFonts w:hint="eastAsia" w:ascii="仿宋_GB2312" w:hAnsi="宋体" w:eastAsia="仿宋_GB2312" w:cs="宋体"/>
          <w:b/>
          <w:color w:val="auto"/>
          <w:kern w:val="0"/>
          <w:sz w:val="32"/>
          <w:szCs w:val="32"/>
          <w:highlight w:val="none"/>
        </w:rPr>
        <w:t>董事会</w:t>
      </w:r>
    </w:p>
    <w:p>
      <w:pPr>
        <w:widowControl/>
        <w:shd w:val="clear" w:color="auto" w:fill="FFFFFF"/>
        <w:spacing w:line="52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本行董事会由</w:t>
      </w:r>
      <w:r>
        <w:rPr>
          <w:rFonts w:ascii="仿宋_GB2312" w:hAnsi="宋体" w:eastAsia="仿宋_GB2312" w:cs="宋体"/>
          <w:color w:val="auto"/>
          <w:kern w:val="0"/>
          <w:sz w:val="32"/>
          <w:szCs w:val="32"/>
          <w:highlight w:val="none"/>
        </w:rPr>
        <w:t>11</w:t>
      </w:r>
      <w:r>
        <w:rPr>
          <w:rFonts w:hint="eastAsia" w:ascii="仿宋_GB2312" w:hAnsi="宋体" w:eastAsia="仿宋_GB2312" w:cs="宋体"/>
          <w:color w:val="auto"/>
          <w:kern w:val="0"/>
          <w:sz w:val="32"/>
          <w:szCs w:val="32"/>
          <w:highlight w:val="none"/>
        </w:rPr>
        <w:t>名董事组成。董事会下设战略委员会、审计委员会、风险管理委员会、关联交易控制委员会、提名与薪酬委员会</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“三农”委员会、消费者权益保护委员会</w:t>
      </w:r>
      <w:r>
        <w:rPr>
          <w:rFonts w:hint="eastAsia" w:ascii="仿宋_GB2312" w:hAnsi="宋体" w:eastAsia="仿宋_GB2312" w:cs="宋体"/>
          <w:color w:val="auto"/>
          <w:kern w:val="0"/>
          <w:sz w:val="32"/>
          <w:szCs w:val="32"/>
          <w:highlight w:val="none"/>
          <w:lang w:val="en-US" w:eastAsia="zh-CN"/>
        </w:rPr>
        <w:t>和信息科技委员会</w:t>
      </w:r>
      <w:r>
        <w:rPr>
          <w:rFonts w:hint="eastAsia" w:ascii="仿宋_GB2312" w:hAnsi="宋体" w:eastAsia="仿宋_GB2312" w:cs="宋体"/>
          <w:color w:val="auto"/>
          <w:kern w:val="0"/>
          <w:sz w:val="32"/>
          <w:szCs w:val="32"/>
          <w:highlight w:val="none"/>
        </w:rPr>
        <w:t>，成立了董事会办公室。</w:t>
      </w:r>
    </w:p>
    <w:p>
      <w:pPr>
        <w:widowControl/>
        <w:shd w:val="clear" w:color="auto" w:fill="FFFFFF"/>
        <w:spacing w:line="520" w:lineRule="exact"/>
        <w:ind w:firstLine="640" w:firstLineChars="200"/>
        <w:jc w:val="both"/>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color w:val="auto"/>
          <w:kern w:val="0"/>
          <w:sz w:val="32"/>
          <w:szCs w:val="32"/>
          <w:highlight w:val="none"/>
        </w:rPr>
        <w:t>报告期内，董事会能够认真履行职责，维护本行和全体股东的利益。202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年，按照《江西高安农村商业银行股份有限公司章程》和《江西高安农村商业银行股份有限公司董事会议事规则》，共召开董事会会议</w:t>
      </w:r>
      <w:r>
        <w:rPr>
          <w:rFonts w:hint="eastAsia" w:ascii="仿宋_GB2312" w:hAnsi="宋体" w:eastAsia="仿宋_GB2312" w:cs="宋体"/>
          <w:color w:val="auto"/>
          <w:kern w:val="0"/>
          <w:sz w:val="32"/>
          <w:szCs w:val="32"/>
          <w:highlight w:val="none"/>
          <w:lang w:val="en-US" w:eastAsia="zh-CN"/>
        </w:rPr>
        <w:t>13</w:t>
      </w:r>
      <w:r>
        <w:rPr>
          <w:rFonts w:hint="eastAsia" w:ascii="仿宋_GB2312" w:hAnsi="宋体" w:eastAsia="仿宋_GB2312" w:cs="宋体"/>
          <w:color w:val="auto"/>
          <w:kern w:val="0"/>
          <w:sz w:val="32"/>
          <w:szCs w:val="32"/>
          <w:highlight w:val="none"/>
        </w:rPr>
        <w:t>次。会议审议通过了</w:t>
      </w:r>
      <w:r>
        <w:rPr>
          <w:rFonts w:hint="eastAsia" w:ascii="仿宋_GB2312" w:hAnsi="宋体" w:eastAsia="仿宋_GB2312" w:cs="宋体"/>
          <w:color w:val="auto"/>
          <w:kern w:val="0"/>
          <w:sz w:val="32"/>
          <w:szCs w:val="32"/>
          <w:highlight w:val="none"/>
          <w:lang w:val="en-US" w:eastAsia="zh-CN"/>
        </w:rPr>
        <w:t>47</w:t>
      </w:r>
      <w:r>
        <w:rPr>
          <w:rFonts w:hint="eastAsia" w:ascii="仿宋_GB2312" w:hAnsi="宋体" w:eastAsia="仿宋_GB2312" w:cs="宋体"/>
          <w:color w:val="auto"/>
          <w:kern w:val="0"/>
          <w:sz w:val="32"/>
          <w:szCs w:val="32"/>
          <w:highlight w:val="none"/>
        </w:rPr>
        <w:t>个议案。</w:t>
      </w:r>
      <w:r>
        <w:rPr>
          <w:rFonts w:hint="eastAsia" w:ascii="仿宋_GB2312" w:hAnsi="宋体" w:eastAsia="仿宋_GB2312" w:cs="宋体"/>
          <w:color w:val="auto"/>
          <w:spacing w:val="-6"/>
          <w:kern w:val="0"/>
          <w:sz w:val="32"/>
          <w:szCs w:val="32"/>
          <w:highlight w:val="none"/>
        </w:rPr>
        <w:t>董事会下设的专门委员会都尽职尽责、规范运作，为董事会决策提供了有效支持。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19" w:firstLineChars="200"/>
        <w:jc w:val="both"/>
        <w:textAlignment w:val="auto"/>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b/>
          <w:bCs/>
          <w:color w:val="auto"/>
          <w:spacing w:val="-6"/>
          <w:kern w:val="0"/>
          <w:sz w:val="32"/>
          <w:szCs w:val="32"/>
          <w:highlight w:val="none"/>
        </w:rPr>
        <w:t>独立董事工作情况：</w:t>
      </w:r>
      <w:r>
        <w:rPr>
          <w:rFonts w:hint="eastAsia" w:ascii="仿宋_GB2312" w:hAnsi="宋体" w:eastAsia="仿宋_GB2312" w:cs="宋体"/>
          <w:color w:val="auto"/>
          <w:spacing w:val="-6"/>
          <w:kern w:val="0"/>
          <w:sz w:val="32"/>
          <w:szCs w:val="32"/>
          <w:highlight w:val="none"/>
        </w:rPr>
        <w:t>202</w:t>
      </w:r>
      <w:r>
        <w:rPr>
          <w:rFonts w:hint="eastAsia" w:ascii="仿宋_GB2312" w:hAnsi="宋体" w:eastAsia="仿宋_GB2312" w:cs="宋体"/>
          <w:color w:val="auto"/>
          <w:spacing w:val="-6"/>
          <w:kern w:val="0"/>
          <w:sz w:val="32"/>
          <w:szCs w:val="32"/>
          <w:highlight w:val="none"/>
          <w:lang w:val="en-US" w:eastAsia="zh-CN"/>
        </w:rPr>
        <w:t>4</w:t>
      </w:r>
      <w:r>
        <w:rPr>
          <w:rFonts w:hint="eastAsia" w:ascii="仿宋_GB2312" w:hAnsi="宋体" w:eastAsia="仿宋_GB2312" w:cs="宋体"/>
          <w:color w:val="auto"/>
          <w:spacing w:val="-6"/>
          <w:kern w:val="0"/>
          <w:sz w:val="32"/>
          <w:szCs w:val="32"/>
          <w:highlight w:val="none"/>
        </w:rPr>
        <w:t>年本行独立董事严格按照《公司法》、法规及《章程》等的规定，忠实履行职责。报告期内，独立董事共参加股东大会</w:t>
      </w:r>
      <w:r>
        <w:rPr>
          <w:rFonts w:hint="eastAsia" w:ascii="仿宋_GB2312" w:hAnsi="宋体" w:eastAsia="仿宋_GB2312" w:cs="宋体"/>
          <w:color w:val="auto"/>
          <w:spacing w:val="-6"/>
          <w:kern w:val="0"/>
          <w:sz w:val="32"/>
          <w:szCs w:val="32"/>
          <w:highlight w:val="none"/>
          <w:lang w:val="en-US" w:eastAsia="zh-CN"/>
        </w:rPr>
        <w:t>1</w:t>
      </w:r>
      <w:r>
        <w:rPr>
          <w:rFonts w:hint="eastAsia" w:ascii="仿宋_GB2312" w:hAnsi="宋体" w:eastAsia="仿宋_GB2312" w:cs="宋体"/>
          <w:color w:val="auto"/>
          <w:spacing w:val="-6"/>
          <w:kern w:val="0"/>
          <w:sz w:val="32"/>
          <w:szCs w:val="32"/>
          <w:highlight w:val="none"/>
        </w:rPr>
        <w:t>次，参加董事会</w:t>
      </w:r>
      <w:r>
        <w:rPr>
          <w:rFonts w:hint="eastAsia" w:ascii="仿宋_GB2312" w:hAnsi="宋体" w:eastAsia="仿宋_GB2312" w:cs="宋体"/>
          <w:color w:val="auto"/>
          <w:spacing w:val="-6"/>
          <w:kern w:val="0"/>
          <w:sz w:val="32"/>
          <w:szCs w:val="32"/>
          <w:highlight w:val="none"/>
          <w:lang w:val="en-US" w:eastAsia="zh-CN"/>
        </w:rPr>
        <w:t>13</w:t>
      </w:r>
      <w:r>
        <w:rPr>
          <w:rFonts w:hint="eastAsia" w:ascii="仿宋_GB2312" w:hAnsi="宋体" w:eastAsia="仿宋_GB2312" w:cs="宋体"/>
          <w:color w:val="auto"/>
          <w:spacing w:val="-6"/>
          <w:kern w:val="0"/>
          <w:sz w:val="32"/>
          <w:szCs w:val="32"/>
          <w:highlight w:val="none"/>
        </w:rPr>
        <w:t>次，参加各专门委员会会议</w:t>
      </w:r>
      <w:r>
        <w:rPr>
          <w:rFonts w:hint="eastAsia" w:ascii="仿宋_GB2312" w:hAnsi="宋体" w:eastAsia="仿宋_GB2312" w:cs="宋体"/>
          <w:color w:val="auto"/>
          <w:spacing w:val="-6"/>
          <w:kern w:val="0"/>
          <w:sz w:val="32"/>
          <w:szCs w:val="32"/>
          <w:highlight w:val="none"/>
          <w:lang w:val="en-US" w:eastAsia="zh-CN"/>
        </w:rPr>
        <w:t>30余</w:t>
      </w:r>
      <w:r>
        <w:rPr>
          <w:rFonts w:hint="eastAsia" w:ascii="仿宋_GB2312" w:hAnsi="宋体" w:eastAsia="仿宋_GB2312" w:cs="宋体"/>
          <w:color w:val="auto"/>
          <w:spacing w:val="-6"/>
          <w:kern w:val="0"/>
          <w:sz w:val="32"/>
          <w:szCs w:val="32"/>
          <w:highlight w:val="none"/>
        </w:rPr>
        <w:t>次，不断加强同公司董事会、监事会、经营管理层之间的沟通合作，充分发挥独立董事的独立作用，增强公司董事会的科学决策和领导水平，维护了公司的整体利益，维护了全体股东尤其是中小股东的合法权益。对董事会、经营班子和相关人员，在履职过程中给予积极有效配合和支持，促进本行经营业绩提高和持续、稳定、健康向前发展。</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s="宋体"/>
          <w:b/>
          <w:bCs/>
          <w:color w:val="auto"/>
          <w:spacing w:val="-6"/>
          <w:kern w:val="0"/>
          <w:sz w:val="32"/>
          <w:szCs w:val="32"/>
          <w:highlight w:val="none"/>
          <w:lang w:val="en-US" w:eastAsia="zh-CN" w:bidi="ar-SA"/>
        </w:rPr>
      </w:pPr>
      <w:r>
        <w:rPr>
          <w:rFonts w:hint="eastAsia" w:ascii="仿宋_GB2312" w:hAnsi="宋体" w:eastAsia="仿宋_GB2312" w:cs="宋体"/>
          <w:b/>
          <w:bCs/>
          <w:color w:val="auto"/>
          <w:spacing w:val="-6"/>
          <w:kern w:val="0"/>
          <w:sz w:val="32"/>
          <w:szCs w:val="32"/>
          <w:highlight w:val="none"/>
          <w:lang w:val="en-US" w:eastAsia="zh-CN" w:bidi="ar-SA"/>
        </w:rPr>
        <w:t>董事简历</w:t>
      </w:r>
      <w:r>
        <w:rPr>
          <w:rFonts w:hint="eastAsia" w:ascii="仿宋_GB2312" w:eastAsia="仿宋_GB2312" w:cs="宋体"/>
          <w:b/>
          <w:bCs/>
          <w:color w:val="auto"/>
          <w:spacing w:val="-6"/>
          <w:kern w:val="0"/>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Tahoma" w:eastAsia="仿宋_GB2312" w:cs="Times New Roman"/>
          <w:color w:val="auto"/>
          <w:sz w:val="32"/>
          <w:szCs w:val="32"/>
          <w:highlight w:val="none"/>
          <w:lang w:eastAsia="zh-CN"/>
        </w:rPr>
        <w:t>陈洪海，男，汉族，</w:t>
      </w:r>
      <w:r>
        <w:rPr>
          <w:rFonts w:hint="eastAsia" w:ascii="仿宋_GB2312" w:hAnsi="Tahoma" w:eastAsia="仿宋_GB2312" w:cs="Times New Roman"/>
          <w:color w:val="auto"/>
          <w:sz w:val="32"/>
          <w:szCs w:val="32"/>
          <w:highlight w:val="none"/>
          <w:lang w:val="en-US" w:eastAsia="zh-CN"/>
        </w:rPr>
        <w:t>1976年11月出生，江西樟树人。历任樟树市城市信用社员工，</w:t>
      </w:r>
      <w:r>
        <w:rPr>
          <w:rFonts w:hint="eastAsia" w:ascii="仿宋_GB2312" w:hAnsi="Tahoma" w:eastAsia="仿宋_GB2312" w:cs="Times New Roman"/>
          <w:color w:val="auto"/>
          <w:sz w:val="32"/>
          <w:szCs w:val="32"/>
          <w:highlight w:val="none"/>
        </w:rPr>
        <w:t>丰城市农村信用合作联社党委委员、纪委书记、监事长</w:t>
      </w:r>
      <w:r>
        <w:rPr>
          <w:rFonts w:hint="eastAsia" w:ascii="仿宋_GB2312" w:hAnsi="Tahoma" w:eastAsia="仿宋_GB2312" w:cs="Times New Roman"/>
          <w:color w:val="auto"/>
          <w:sz w:val="32"/>
          <w:szCs w:val="32"/>
          <w:highlight w:val="none"/>
          <w:lang w:eastAsia="zh-CN"/>
        </w:rPr>
        <w:t>，</w:t>
      </w:r>
      <w:r>
        <w:rPr>
          <w:rFonts w:hint="eastAsia" w:ascii="仿宋_GB2312" w:hAnsi="Tahoma" w:eastAsia="仿宋_GB2312" w:cs="Times New Roman"/>
          <w:color w:val="auto"/>
          <w:sz w:val="32"/>
          <w:szCs w:val="32"/>
          <w:highlight w:val="none"/>
        </w:rPr>
        <w:t>樟树农商银行党委委员、副行长</w:t>
      </w:r>
      <w:r>
        <w:rPr>
          <w:rFonts w:hint="eastAsia" w:ascii="仿宋_GB2312" w:hAnsi="Tahoma" w:eastAsia="仿宋_GB2312" w:cs="Times New Roman"/>
          <w:color w:val="auto"/>
          <w:sz w:val="32"/>
          <w:szCs w:val="32"/>
          <w:highlight w:val="none"/>
          <w:lang w:eastAsia="zh-CN"/>
        </w:rPr>
        <w:t>，</w:t>
      </w:r>
      <w:r>
        <w:rPr>
          <w:rFonts w:hint="eastAsia" w:ascii="仿宋_GB2312" w:hAnsi="Tahoma" w:eastAsia="仿宋_GB2312" w:cs="Times New Roman"/>
          <w:color w:val="auto"/>
          <w:sz w:val="32"/>
          <w:szCs w:val="32"/>
          <w:highlight w:val="none"/>
        </w:rPr>
        <w:t>樟树农商银行党委委员、行长</w:t>
      </w:r>
      <w:r>
        <w:rPr>
          <w:rFonts w:hint="eastAsia" w:ascii="仿宋_GB2312" w:hAnsi="Tahoma" w:eastAsia="仿宋_GB2312" w:cs="Times New Roman"/>
          <w:color w:val="auto"/>
          <w:sz w:val="32"/>
          <w:szCs w:val="32"/>
          <w:highlight w:val="none"/>
          <w:lang w:eastAsia="zh-CN"/>
        </w:rPr>
        <w:t>，</w:t>
      </w:r>
      <w:r>
        <w:rPr>
          <w:rFonts w:hint="eastAsia" w:ascii="仿宋_GB2312" w:hAnsi="Tahoma" w:eastAsia="仿宋_GB2312" w:cs="Times New Roman"/>
          <w:color w:val="auto"/>
          <w:sz w:val="32"/>
          <w:szCs w:val="32"/>
          <w:highlight w:val="none"/>
        </w:rPr>
        <w:t>莲花农商银行党委书记、董事长</w:t>
      </w:r>
      <w:r>
        <w:rPr>
          <w:rFonts w:hint="eastAsia" w:ascii="仿宋_GB2312" w:hAnsi="Tahoma"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2023年1月至今任</w:t>
      </w:r>
      <w:r>
        <w:rPr>
          <w:rFonts w:hint="eastAsia" w:ascii="仿宋_GB2312" w:hAnsi="仿宋_GB2312" w:eastAsia="仿宋_GB2312" w:cs="仿宋_GB2312"/>
          <w:color w:val="auto"/>
          <w:sz w:val="32"/>
          <w:szCs w:val="32"/>
          <w:highlight w:val="none"/>
          <w:lang w:eastAsia="zh-CN"/>
        </w:rPr>
        <w:t>高安</w:t>
      </w:r>
      <w:r>
        <w:rPr>
          <w:rFonts w:hint="eastAsia" w:ascii="仿宋_GB2312" w:hAnsi="仿宋_GB2312" w:eastAsia="仿宋_GB2312" w:cs="仿宋_GB2312"/>
          <w:color w:val="auto"/>
          <w:sz w:val="32"/>
          <w:szCs w:val="32"/>
          <w:highlight w:val="none"/>
        </w:rPr>
        <w:t>农商银行</w:t>
      </w:r>
      <w:r>
        <w:rPr>
          <w:rFonts w:hint="eastAsia" w:ascii="仿宋_GB2312" w:hAnsi="Tahoma" w:eastAsia="仿宋_GB2312" w:cs="Times New Roman"/>
          <w:color w:val="auto"/>
          <w:sz w:val="32"/>
          <w:szCs w:val="32"/>
          <w:highlight w:val="none"/>
        </w:rPr>
        <w:t>党委书记</w:t>
      </w:r>
      <w:r>
        <w:rPr>
          <w:rFonts w:hint="eastAsia" w:ascii="仿宋_GB2312" w:hAnsi="Tahoma"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董事长。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宋体"/>
          <w:b/>
          <w:bCs/>
          <w:color w:val="auto"/>
          <w:spacing w:val="-6"/>
          <w:kern w:val="0"/>
          <w:sz w:val="32"/>
          <w:szCs w:val="32"/>
          <w:highlight w:val="none"/>
          <w:lang w:val="en-US" w:eastAsia="zh-CN" w:bidi="ar-SA"/>
        </w:rPr>
      </w:pPr>
      <w:r>
        <w:rPr>
          <w:rFonts w:hint="eastAsia" w:ascii="仿宋_GB2312" w:hAnsi="Tahoma" w:eastAsia="仿宋_GB2312"/>
          <w:color w:val="auto"/>
          <w:sz w:val="32"/>
          <w:szCs w:val="32"/>
          <w:highlight w:val="none"/>
        </w:rPr>
        <w:t>游冬，</w:t>
      </w:r>
      <w:r>
        <w:rPr>
          <w:rFonts w:hint="eastAsia" w:ascii="仿宋_GB2312" w:hAnsi="仿宋_GB2312" w:eastAsia="仿宋_GB2312" w:cs="仿宋_GB2312"/>
          <w:color w:val="auto"/>
          <w:sz w:val="32"/>
          <w:szCs w:val="32"/>
          <w:highlight w:val="none"/>
        </w:rPr>
        <w:t>男，</w:t>
      </w:r>
      <w:r>
        <w:rPr>
          <w:rFonts w:hint="eastAsia" w:ascii="仿宋_GB2312" w:hAnsi="Tahoma" w:eastAsia="仿宋_GB2312"/>
          <w:color w:val="auto"/>
          <w:sz w:val="32"/>
          <w:szCs w:val="32"/>
          <w:highlight w:val="none"/>
        </w:rPr>
        <w:t>汉族，</w:t>
      </w:r>
      <w:r>
        <w:rPr>
          <w:rFonts w:hint="eastAsia" w:ascii="仿宋_GB2312" w:hAnsi="仿宋_GB2312" w:eastAsia="仿宋_GB2312" w:cs="仿宋_GB2312"/>
          <w:color w:val="auto"/>
          <w:sz w:val="32"/>
          <w:szCs w:val="32"/>
          <w:highlight w:val="none"/>
        </w:rPr>
        <w:t>1988年11月出生，江西奉新人</w:t>
      </w:r>
      <w:r>
        <w:rPr>
          <w:rFonts w:hint="eastAsia" w:ascii="仿宋_GB2312" w:hAnsi="Tahoma" w:eastAsia="仿宋_GB2312"/>
          <w:color w:val="auto"/>
          <w:sz w:val="32"/>
          <w:szCs w:val="32"/>
          <w:highlight w:val="none"/>
        </w:rPr>
        <w:t>。</w:t>
      </w:r>
      <w:r>
        <w:rPr>
          <w:rFonts w:hint="eastAsia" w:ascii="仿宋_GB2312" w:hAnsi="Tahoma" w:eastAsia="仿宋_GB2312"/>
          <w:color w:val="auto"/>
          <w:sz w:val="32"/>
          <w:szCs w:val="32"/>
          <w:highlight w:val="none"/>
          <w:lang w:val="en-US" w:eastAsia="zh-CN"/>
        </w:rPr>
        <w:t>历任</w:t>
      </w:r>
      <w:r>
        <w:rPr>
          <w:rFonts w:hint="eastAsia" w:ascii="仿宋_GB2312" w:hAnsi="Tahoma" w:eastAsia="仿宋_GB2312"/>
          <w:color w:val="auto"/>
          <w:sz w:val="32"/>
          <w:szCs w:val="32"/>
          <w:highlight w:val="none"/>
        </w:rPr>
        <w:t>上高县联社</w:t>
      </w:r>
      <w:r>
        <w:rPr>
          <w:rFonts w:hint="eastAsia" w:ascii="仿宋_GB2312" w:hAnsi="Tahoma" w:eastAsia="仿宋_GB2312"/>
          <w:color w:val="auto"/>
          <w:sz w:val="32"/>
          <w:szCs w:val="32"/>
          <w:highlight w:val="none"/>
          <w:lang w:val="en-US" w:eastAsia="zh-CN"/>
        </w:rPr>
        <w:t>员工</w:t>
      </w:r>
      <w:r>
        <w:rPr>
          <w:rFonts w:hint="eastAsia" w:ascii="仿宋_GB2312" w:hAnsi="Tahoma" w:eastAsia="仿宋_GB2312"/>
          <w:color w:val="auto"/>
          <w:sz w:val="32"/>
          <w:szCs w:val="32"/>
          <w:highlight w:val="none"/>
          <w:lang w:eastAsia="zh-CN"/>
        </w:rPr>
        <w:t>、</w:t>
      </w:r>
      <w:r>
        <w:rPr>
          <w:rFonts w:hint="eastAsia" w:ascii="仿宋_GB2312" w:hAnsi="Tahoma" w:eastAsia="仿宋_GB2312"/>
          <w:color w:val="auto"/>
          <w:sz w:val="32"/>
          <w:szCs w:val="32"/>
          <w:highlight w:val="none"/>
          <w:lang w:val="en-US" w:eastAsia="zh-CN"/>
        </w:rPr>
        <w:t>上高农商银行员工，</w:t>
      </w:r>
      <w:r>
        <w:rPr>
          <w:rFonts w:hint="eastAsia" w:ascii="仿宋_GB2312" w:hAnsi="仿宋_GB2312" w:eastAsia="仿宋_GB2312" w:cs="仿宋_GB2312"/>
          <w:color w:val="auto"/>
          <w:sz w:val="32"/>
          <w:szCs w:val="32"/>
          <w:highlight w:val="none"/>
        </w:rPr>
        <w:t>上高农商银行党委委员、纪委书记、监事长,上高农商银行党委委员、副行长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2022年11月至2022年12月任</w:t>
      </w:r>
      <w:r>
        <w:rPr>
          <w:rFonts w:hint="eastAsia" w:ascii="仿宋_GB2312" w:hAnsi="仿宋_GB2312" w:eastAsia="仿宋_GB2312" w:cs="仿宋_GB2312"/>
          <w:color w:val="auto"/>
          <w:sz w:val="32"/>
          <w:szCs w:val="32"/>
          <w:highlight w:val="none"/>
          <w:lang w:eastAsia="zh-CN"/>
        </w:rPr>
        <w:t>高安农商银行党委委员，</w:t>
      </w:r>
      <w:r>
        <w:rPr>
          <w:rFonts w:hint="eastAsia" w:ascii="仿宋_GB2312" w:hAnsi="仿宋_GB2312" w:eastAsia="仿宋_GB2312" w:cs="仿宋_GB2312"/>
          <w:color w:val="auto"/>
          <w:sz w:val="32"/>
          <w:szCs w:val="32"/>
          <w:highlight w:val="none"/>
          <w:lang w:val="en-US" w:eastAsia="zh-CN"/>
        </w:rPr>
        <w:t>2022年12月至今</w:t>
      </w:r>
      <w:r>
        <w:rPr>
          <w:rFonts w:hint="eastAsia" w:ascii="仿宋_GB2312" w:hAnsi="仿宋_GB2312" w:eastAsia="仿宋_GB2312" w:cs="仿宋_GB2312"/>
          <w:color w:val="auto"/>
          <w:sz w:val="32"/>
          <w:szCs w:val="32"/>
          <w:highlight w:val="none"/>
        </w:rPr>
        <w:t>任</w:t>
      </w:r>
      <w:r>
        <w:rPr>
          <w:rFonts w:hint="eastAsia" w:ascii="仿宋_GB2312" w:hAnsi="仿宋_GB2312" w:eastAsia="仿宋_GB2312" w:cs="仿宋_GB2312"/>
          <w:color w:val="auto"/>
          <w:sz w:val="32"/>
          <w:szCs w:val="32"/>
          <w:highlight w:val="none"/>
          <w:lang w:eastAsia="zh-CN"/>
        </w:rPr>
        <w:t>高安</w:t>
      </w:r>
      <w:r>
        <w:rPr>
          <w:rFonts w:hint="eastAsia" w:ascii="仿宋_GB2312" w:hAnsi="仿宋_GB2312" w:eastAsia="仿宋_GB2312" w:cs="仿宋_GB2312"/>
          <w:color w:val="auto"/>
          <w:sz w:val="32"/>
          <w:szCs w:val="32"/>
          <w:highlight w:val="none"/>
        </w:rPr>
        <w:t>农商银行党委委员</w:t>
      </w:r>
      <w:r>
        <w:rPr>
          <w:rFonts w:hint="eastAsia" w:ascii="仿宋_GB2312" w:hAnsi="仿宋_GB2312" w:eastAsia="仿宋_GB2312" w:cs="仿宋_GB2312"/>
          <w:color w:val="auto"/>
          <w:sz w:val="32"/>
          <w:szCs w:val="32"/>
          <w:highlight w:val="none"/>
          <w:lang w:eastAsia="zh-CN"/>
        </w:rPr>
        <w:t>、行长、</w:t>
      </w:r>
      <w:r>
        <w:rPr>
          <w:rFonts w:hint="eastAsia" w:ascii="仿宋_GB2312" w:hAnsi="仿宋_GB2312" w:eastAsia="仿宋_GB2312" w:cs="仿宋_GB2312"/>
          <w:color w:val="auto"/>
          <w:sz w:val="32"/>
          <w:szCs w:val="32"/>
          <w:highlight w:val="none"/>
          <w:lang w:val="en-US" w:eastAsia="zh-CN"/>
        </w:rPr>
        <w:t>董事</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highlight w:val="none"/>
          <w:lang w:val="en-US" w:eastAsia="zh-CN" w:bidi="ar-SA"/>
        </w:rPr>
      </w:pPr>
      <w:r>
        <w:rPr>
          <w:rFonts w:hint="eastAsia" w:ascii="仿宋_GB2312" w:hAnsi="宋体" w:eastAsia="仿宋_GB2312"/>
          <w:color w:val="auto"/>
          <w:sz w:val="32"/>
          <w:szCs w:val="32"/>
          <w:highlight w:val="none"/>
          <w:lang w:val="en-US" w:eastAsia="zh-CN" w:bidi="ar-SA"/>
        </w:rPr>
        <w:t>王建平，男，汉族，1972年6月出生，江西高安人。历任高安市粮食局员工，高安联社员工，高安联社监事长、纪委书记，樟树市联社副主任，高安联社副主任，2014年7月至</w:t>
      </w:r>
      <w:r>
        <w:rPr>
          <w:rFonts w:hint="eastAsia" w:ascii="仿宋_GB2312" w:eastAsia="仿宋_GB2312"/>
          <w:color w:val="auto"/>
          <w:sz w:val="32"/>
          <w:szCs w:val="32"/>
          <w:highlight w:val="none"/>
          <w:lang w:val="en-US" w:eastAsia="zh-CN" w:bidi="ar-SA"/>
        </w:rPr>
        <w:t>2024年7月</w:t>
      </w:r>
      <w:r>
        <w:rPr>
          <w:rFonts w:hint="eastAsia" w:ascii="仿宋_GB2312" w:hAnsi="宋体" w:eastAsia="仿宋_GB2312"/>
          <w:color w:val="auto"/>
          <w:sz w:val="32"/>
          <w:szCs w:val="32"/>
          <w:highlight w:val="none"/>
          <w:lang w:val="en-US" w:eastAsia="zh-CN" w:bidi="ar-SA"/>
        </w:rPr>
        <w:t>任高安农商银行党委委员、副行长</w:t>
      </w:r>
      <w:r>
        <w:rPr>
          <w:rFonts w:hint="eastAsia" w:ascii="仿宋_GB2312" w:eastAsia="仿宋_GB2312"/>
          <w:color w:val="auto"/>
          <w:sz w:val="32"/>
          <w:szCs w:val="32"/>
          <w:highlight w:val="none"/>
          <w:lang w:val="en-US" w:eastAsia="zh-CN" w:bidi="ar-SA"/>
        </w:rPr>
        <w:t>，</w:t>
      </w:r>
      <w:r>
        <w:rPr>
          <w:rFonts w:hint="eastAsia" w:ascii="仿宋_GB2312" w:hAnsi="宋体" w:eastAsia="仿宋_GB2312"/>
          <w:color w:val="auto"/>
          <w:sz w:val="32"/>
          <w:szCs w:val="32"/>
          <w:highlight w:val="none"/>
          <w:lang w:val="en-US" w:eastAsia="zh-CN" w:bidi="ar-SA"/>
        </w:rPr>
        <w:t>2014年7月至2024年</w:t>
      </w:r>
      <w:r>
        <w:rPr>
          <w:rFonts w:hint="eastAsia" w:ascii="仿宋_GB2312" w:eastAsia="仿宋_GB2312"/>
          <w:color w:val="auto"/>
          <w:sz w:val="32"/>
          <w:szCs w:val="32"/>
          <w:highlight w:val="none"/>
          <w:lang w:val="en-US" w:eastAsia="zh-CN" w:bidi="ar-SA"/>
        </w:rPr>
        <w:t>8</w:t>
      </w:r>
      <w:r>
        <w:rPr>
          <w:rFonts w:hint="eastAsia" w:ascii="仿宋_GB2312" w:hAnsi="宋体" w:eastAsia="仿宋_GB2312"/>
          <w:color w:val="auto"/>
          <w:sz w:val="32"/>
          <w:szCs w:val="32"/>
          <w:highlight w:val="none"/>
          <w:lang w:val="en-US" w:eastAsia="zh-CN" w:bidi="ar-SA"/>
        </w:rPr>
        <w:t>月任高安农商银行董事</w:t>
      </w:r>
      <w:r>
        <w:rPr>
          <w:rFonts w:hint="eastAsia" w:ascii="仿宋_GB2312" w:eastAsia="仿宋_GB2312"/>
          <w:color w:val="auto"/>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宋体"/>
          <w:b/>
          <w:bCs/>
          <w:color w:val="auto"/>
          <w:spacing w:val="-6"/>
          <w:kern w:val="0"/>
          <w:sz w:val="32"/>
          <w:szCs w:val="32"/>
          <w:highlight w:val="none"/>
          <w:lang w:val="en-US" w:eastAsia="zh-CN" w:bidi="ar-SA"/>
        </w:rPr>
      </w:pPr>
      <w:r>
        <w:rPr>
          <w:rFonts w:hint="eastAsia" w:ascii="仿宋_GB2312" w:hAnsi="宋体" w:eastAsia="仿宋_GB2312" w:cs="宋体"/>
          <w:color w:val="auto"/>
          <w:spacing w:val="-6"/>
          <w:kern w:val="0"/>
          <w:sz w:val="32"/>
          <w:szCs w:val="32"/>
          <w:highlight w:val="none"/>
          <w:lang w:val="en-US" w:eastAsia="zh-CN" w:bidi="ar-SA"/>
        </w:rPr>
        <w:t>王晓安，男，1957年12月出生，江西高安人</w:t>
      </w:r>
      <w:r>
        <w:rPr>
          <w:rFonts w:hint="eastAsia" w:ascii="仿宋_GB2312" w:eastAsia="仿宋_GB2312" w:cs="宋体"/>
          <w:color w:val="auto"/>
          <w:spacing w:val="-6"/>
          <w:kern w:val="0"/>
          <w:sz w:val="32"/>
          <w:szCs w:val="32"/>
          <w:highlight w:val="none"/>
          <w:lang w:val="en-US" w:eastAsia="zh-CN" w:bidi="ar-SA"/>
        </w:rPr>
        <w:t>。历</w:t>
      </w:r>
      <w:r>
        <w:rPr>
          <w:rFonts w:hint="eastAsia" w:ascii="仿宋_GB2312" w:hAnsi="宋体" w:eastAsia="仿宋_GB2312" w:cs="宋体"/>
          <w:color w:val="auto"/>
          <w:spacing w:val="-6"/>
          <w:kern w:val="0"/>
          <w:sz w:val="32"/>
          <w:szCs w:val="32"/>
          <w:highlight w:val="none"/>
          <w:lang w:val="en-US" w:eastAsia="zh-CN" w:bidi="ar-SA"/>
        </w:rPr>
        <w:t>任高安市人民法院审判员、办公室副主任，高安市委办公室副主任，高安市人民法院副院长，高安市人民法院正科级审判员，</w:t>
      </w:r>
      <w:r>
        <w:rPr>
          <w:rFonts w:hint="eastAsia" w:ascii="仿宋_GB2312" w:eastAsia="仿宋_GB2312" w:cs="宋体"/>
          <w:color w:val="auto"/>
          <w:spacing w:val="-6"/>
          <w:kern w:val="0"/>
          <w:sz w:val="32"/>
          <w:szCs w:val="32"/>
          <w:highlight w:val="none"/>
          <w:lang w:val="en-US" w:eastAsia="zh-CN" w:bidi="ar-SA"/>
        </w:rPr>
        <w:t>现</w:t>
      </w:r>
      <w:r>
        <w:rPr>
          <w:rFonts w:hint="eastAsia" w:ascii="仿宋_GB2312" w:hAnsi="宋体" w:eastAsia="仿宋_GB2312" w:cs="宋体"/>
          <w:color w:val="auto"/>
          <w:spacing w:val="-6"/>
          <w:kern w:val="0"/>
          <w:sz w:val="32"/>
          <w:szCs w:val="32"/>
          <w:highlight w:val="none"/>
          <w:lang w:val="en-US" w:eastAsia="zh-CN" w:bidi="ar-SA"/>
        </w:rPr>
        <w:t>任高安市企业联合会、企业家协会副会长。</w:t>
      </w:r>
      <w:r>
        <w:rPr>
          <w:rFonts w:hint="eastAsia" w:ascii="仿宋_GB2312" w:eastAsia="仿宋_GB2312" w:cs="宋体"/>
          <w:color w:val="auto"/>
          <w:spacing w:val="-6"/>
          <w:kern w:val="0"/>
          <w:sz w:val="32"/>
          <w:szCs w:val="32"/>
          <w:highlight w:val="none"/>
          <w:lang w:val="en-US" w:eastAsia="zh-CN" w:bidi="ar-SA"/>
        </w:rPr>
        <w:t>2021年6月至今担任高安农商银行独立董事。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eastAsia="仿宋_GB2312" w:cs="宋体"/>
          <w:color w:val="auto"/>
          <w:spacing w:val="-6"/>
          <w:kern w:val="0"/>
          <w:sz w:val="32"/>
          <w:szCs w:val="32"/>
          <w:highlight w:val="none"/>
          <w:lang w:val="en-US" w:eastAsia="zh-CN" w:bidi="ar-SA"/>
        </w:rPr>
      </w:pPr>
      <w:r>
        <w:rPr>
          <w:rFonts w:hint="eastAsia" w:ascii="仿宋_GB2312" w:hAnsi="宋体" w:eastAsia="仿宋_GB2312" w:cs="宋体"/>
          <w:color w:val="auto"/>
          <w:spacing w:val="-6"/>
          <w:kern w:val="0"/>
          <w:sz w:val="32"/>
          <w:szCs w:val="32"/>
          <w:highlight w:val="none"/>
          <w:lang w:val="en-US" w:eastAsia="zh-CN" w:bidi="ar-SA"/>
        </w:rPr>
        <w:t>黄慧盈，女，1994年7月出生，江西高安人</w:t>
      </w:r>
      <w:r>
        <w:rPr>
          <w:rFonts w:hint="eastAsia" w:ascii="仿宋_GB2312" w:eastAsia="仿宋_GB2312" w:cs="宋体"/>
          <w:color w:val="auto"/>
          <w:spacing w:val="-6"/>
          <w:kern w:val="0"/>
          <w:sz w:val="32"/>
          <w:szCs w:val="32"/>
          <w:highlight w:val="none"/>
          <w:lang w:val="en-US" w:eastAsia="zh-CN" w:bidi="ar-SA"/>
        </w:rPr>
        <w:t>。现</w:t>
      </w:r>
      <w:r>
        <w:rPr>
          <w:rFonts w:hint="eastAsia" w:ascii="仿宋_GB2312" w:hAnsi="宋体" w:eastAsia="仿宋_GB2312" w:cs="宋体"/>
          <w:color w:val="auto"/>
          <w:spacing w:val="-6"/>
          <w:kern w:val="0"/>
          <w:sz w:val="32"/>
          <w:szCs w:val="32"/>
          <w:highlight w:val="none"/>
          <w:lang w:val="en-US" w:eastAsia="zh-CN" w:bidi="ar-SA"/>
        </w:rPr>
        <w:t>任高安市中小企业担保有限责任公司客户经理。</w:t>
      </w:r>
      <w:r>
        <w:rPr>
          <w:rFonts w:hint="eastAsia" w:ascii="仿宋_GB2312" w:eastAsia="仿宋_GB2312" w:cs="宋体"/>
          <w:color w:val="auto"/>
          <w:spacing w:val="-6"/>
          <w:kern w:val="0"/>
          <w:sz w:val="32"/>
          <w:szCs w:val="32"/>
          <w:highlight w:val="none"/>
          <w:lang w:val="en-US" w:eastAsia="zh-CN" w:bidi="ar-SA"/>
        </w:rPr>
        <w:t>2023年2月至今担任高安农商银行独立董事。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hAnsi="宋体" w:eastAsia="仿宋_GB2312" w:cs="宋体"/>
          <w:color w:val="auto"/>
          <w:spacing w:val="-6"/>
          <w:kern w:val="0"/>
          <w:sz w:val="32"/>
          <w:szCs w:val="32"/>
          <w:highlight w:val="none"/>
          <w:lang w:val="en-US" w:eastAsia="zh-CN" w:bidi="ar-SA"/>
        </w:rPr>
      </w:pPr>
      <w:r>
        <w:rPr>
          <w:rFonts w:hint="eastAsia" w:ascii="仿宋_GB2312" w:hAnsi="宋体" w:eastAsia="仿宋_GB2312" w:cs="宋体"/>
          <w:color w:val="auto"/>
          <w:spacing w:val="-6"/>
          <w:kern w:val="0"/>
          <w:sz w:val="32"/>
          <w:szCs w:val="32"/>
          <w:highlight w:val="none"/>
          <w:lang w:val="en-US" w:eastAsia="zh-CN" w:bidi="ar-SA"/>
        </w:rPr>
        <w:t>罗桂娥，女，1971年10月出生，江西高安市人</w:t>
      </w:r>
      <w:r>
        <w:rPr>
          <w:rFonts w:hint="eastAsia" w:ascii="仿宋_GB2312" w:eastAsia="仿宋_GB2312" w:cs="宋体"/>
          <w:color w:val="auto"/>
          <w:spacing w:val="-6"/>
          <w:kern w:val="0"/>
          <w:sz w:val="32"/>
          <w:szCs w:val="32"/>
          <w:highlight w:val="none"/>
          <w:lang w:val="en-US" w:eastAsia="zh-CN" w:bidi="ar-SA"/>
        </w:rPr>
        <w:t>。现任</w:t>
      </w:r>
      <w:r>
        <w:rPr>
          <w:rFonts w:hint="eastAsia" w:ascii="仿宋_GB2312" w:hAnsi="宋体" w:eastAsia="仿宋_GB2312" w:cs="宋体"/>
          <w:color w:val="auto"/>
          <w:spacing w:val="-6"/>
          <w:kern w:val="0"/>
          <w:sz w:val="32"/>
          <w:szCs w:val="32"/>
          <w:highlight w:val="none"/>
          <w:lang w:val="en-US" w:eastAsia="zh-CN" w:bidi="ar-SA"/>
        </w:rPr>
        <w:t>江西惠恩国际大酒店有限责任公司董事长兼任财务负责人，高安市企业家协会副会长。2023年2月至今担任高安农商银行独立董事。</w:t>
      </w:r>
    </w:p>
    <w:p>
      <w:pPr>
        <w:keepNext w:val="0"/>
        <w:keepLines w:val="0"/>
        <w:pageBreakBefore w:val="0"/>
        <w:widowControl w:val="0"/>
        <w:tabs>
          <w:tab w:val="left" w:pos="6985"/>
        </w:tabs>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李文国，男，</w:t>
      </w:r>
      <w:r>
        <w:rPr>
          <w:rFonts w:hint="eastAsia" w:ascii="仿宋_GB2312" w:hAnsi="Times New Roman" w:eastAsia="仿宋_GB2312" w:cs="Times New Roman"/>
          <w:color w:val="auto"/>
          <w:sz w:val="32"/>
          <w:szCs w:val="32"/>
          <w:highlight w:val="none"/>
          <w:lang w:val="en-US" w:eastAsia="zh-CN"/>
        </w:rPr>
        <w:t>1979年5月出生，湖南省澧县人</w:t>
      </w:r>
      <w:r>
        <w:rPr>
          <w:rFonts w:hint="eastAsia" w:ascii="仿宋_GB2312" w:eastAsia="仿宋_GB2312" w:cs="Times New Roman"/>
          <w:color w:val="auto"/>
          <w:sz w:val="32"/>
          <w:szCs w:val="32"/>
          <w:highlight w:val="none"/>
          <w:lang w:val="en-US" w:eastAsia="zh-CN"/>
        </w:rPr>
        <w:t>。历</w:t>
      </w:r>
      <w:r>
        <w:rPr>
          <w:rFonts w:hint="eastAsia" w:ascii="仿宋_GB2312" w:hAnsi="Times New Roman" w:eastAsia="仿宋_GB2312" w:cs="Times New Roman"/>
          <w:color w:val="auto"/>
          <w:sz w:val="32"/>
          <w:szCs w:val="32"/>
          <w:highlight w:val="none"/>
          <w:lang w:eastAsia="zh-CN"/>
        </w:rPr>
        <w:t>任</w:t>
      </w:r>
      <w:r>
        <w:rPr>
          <w:rFonts w:hint="eastAsia" w:ascii="仿宋_GB2312" w:hAnsi="Times New Roman" w:eastAsia="仿宋_GB2312" w:cs="Times New Roman"/>
          <w:color w:val="auto"/>
          <w:sz w:val="32"/>
          <w:szCs w:val="32"/>
          <w:highlight w:val="none"/>
        </w:rPr>
        <w:t>湖南中锋律师事务所律师</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江西省乐亿融资担保有限公司副总经理、总经理</w:t>
      </w:r>
      <w:r>
        <w:rPr>
          <w:rFonts w:hint="eastAsia" w:ascii="仿宋_GB2312" w:hAnsi="Times New Roman"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现任</w:t>
      </w:r>
      <w:r>
        <w:rPr>
          <w:rFonts w:hint="eastAsia" w:ascii="仿宋_GB2312" w:hAnsi="Times New Roman" w:eastAsia="仿宋_GB2312" w:cs="Times New Roman"/>
          <w:color w:val="auto"/>
          <w:sz w:val="32"/>
          <w:szCs w:val="32"/>
          <w:highlight w:val="none"/>
          <w:lang w:eastAsia="zh-CN"/>
        </w:rPr>
        <w:t>任</w:t>
      </w:r>
      <w:r>
        <w:rPr>
          <w:rFonts w:hint="eastAsia" w:ascii="仿宋_GB2312" w:hAnsi="Times New Roman" w:eastAsia="仿宋_GB2312" w:cs="Times New Roman"/>
          <w:color w:val="auto"/>
          <w:sz w:val="32"/>
          <w:szCs w:val="32"/>
          <w:highlight w:val="none"/>
        </w:rPr>
        <w:t>湖南国风德赛律师事务所律师</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2023年2月至今担任高安农商银行独立董事。</w:t>
      </w:r>
    </w:p>
    <w:p>
      <w:pPr>
        <w:tabs>
          <w:tab w:val="left" w:pos="6985"/>
        </w:tabs>
        <w:snapToGrid w:val="0"/>
        <w:spacing w:line="560" w:lineRule="exact"/>
        <w:ind w:firstLine="640" w:firstLineChars="200"/>
        <w:rPr>
          <w:rFonts w:ascii="仿宋_GB2312" w:hAnsi="Adobe 仿宋 Std R" w:eastAsia="仿宋_GB2312" w:cs="仿宋_GB2312"/>
          <w:color w:val="auto"/>
          <w:spacing w:val="-4"/>
          <w:sz w:val="32"/>
          <w:szCs w:val="32"/>
          <w:highlight w:val="none"/>
        </w:rPr>
      </w:pPr>
      <w:r>
        <w:rPr>
          <w:rFonts w:hint="eastAsia" w:ascii="仿宋_GB2312" w:hAnsi="Times New Roman" w:eastAsia="仿宋_GB2312" w:cs="Times New Roman"/>
          <w:color w:val="auto"/>
          <w:sz w:val="32"/>
          <w:szCs w:val="32"/>
          <w:highlight w:val="none"/>
        </w:rPr>
        <w:t>王志洪，男，汉族，1975年9月出生，江西高安人。</w:t>
      </w:r>
      <w:r>
        <w:rPr>
          <w:rFonts w:hint="eastAsia" w:ascii="仿宋_GB2312" w:hAnsi="Times New Roman" w:eastAsia="仿宋_GB2312" w:cs="Times New Roman"/>
          <w:color w:val="auto"/>
          <w:sz w:val="32"/>
          <w:szCs w:val="32"/>
          <w:highlight w:val="none"/>
          <w:lang w:val="en-US" w:eastAsia="zh-CN"/>
        </w:rPr>
        <w:t>历任</w:t>
      </w:r>
      <w:r>
        <w:rPr>
          <w:rFonts w:hint="eastAsia" w:ascii="仿宋_GB2312" w:hAnsi="Times New Roman" w:eastAsia="仿宋_GB2312" w:cs="Times New Roman"/>
          <w:color w:val="auto"/>
          <w:sz w:val="32"/>
          <w:szCs w:val="32"/>
          <w:highlight w:val="none"/>
        </w:rPr>
        <w:t>独城供销社主任</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江西瑞州特种建材集团有限公司总经理</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高安市独城镇人民政府副镇长，</w:t>
      </w:r>
      <w:r>
        <w:rPr>
          <w:rFonts w:hint="eastAsia" w:ascii="仿宋_GB2312" w:hAnsi="Times New Roman" w:eastAsia="仿宋_GB2312" w:cs="Times New Roman"/>
          <w:color w:val="auto"/>
          <w:sz w:val="32"/>
          <w:szCs w:val="32"/>
          <w:highlight w:val="none"/>
          <w:lang w:val="en-US" w:eastAsia="zh-CN"/>
        </w:rPr>
        <w:t>现</w:t>
      </w:r>
      <w:r>
        <w:rPr>
          <w:rFonts w:hint="eastAsia" w:ascii="仿宋_GB2312" w:hAnsi="Times New Roman" w:eastAsia="仿宋_GB2312" w:cs="Times New Roman"/>
          <w:color w:val="auto"/>
          <w:sz w:val="32"/>
          <w:szCs w:val="32"/>
          <w:highlight w:val="none"/>
        </w:rPr>
        <w:t>任江西华硕实业投资有限公司董事长、江西华硕建工集团有限公司董事长、江西华硕陶瓷集团有限公司董事长、江西华硕控股集团有限公司董事长。</w:t>
      </w:r>
      <w:r>
        <w:rPr>
          <w:rFonts w:hint="eastAsia" w:ascii="仿宋_GB2312" w:hAnsi="Times New Roman" w:eastAsia="仿宋_GB2312" w:cs="Times New Roman"/>
          <w:color w:val="auto"/>
          <w:sz w:val="32"/>
          <w:szCs w:val="32"/>
          <w:highlight w:val="none"/>
          <w:lang w:val="en-US" w:eastAsia="zh-CN"/>
        </w:rPr>
        <w:t>2019年2月至今担任高安农商银行董事。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eastAsia="仿宋_GB2312" w:cs="宋体"/>
          <w:b/>
          <w:bCs/>
          <w:color w:val="auto"/>
          <w:spacing w:val="-6"/>
          <w:kern w:val="0"/>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罗群，男，汉族，1985年8月出生，江西高安人。历任江西罗纳尔陶瓷集团有限公司销售经理、副总经理、总经理，高安罗斯福陶瓷有限公司总经理，现任江西罗纳尔陶瓷集团有限公司董事长兼总经理、高安罗斯福陶瓷有限公司董事长兼总经理，2014年11月至今担任高安农商银行董事。</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16"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eastAsia="仿宋_GB2312" w:cs="宋体"/>
          <w:b w:val="0"/>
          <w:bCs w:val="0"/>
          <w:color w:val="auto"/>
          <w:spacing w:val="-6"/>
          <w:kern w:val="0"/>
          <w:sz w:val="32"/>
          <w:szCs w:val="32"/>
          <w:highlight w:val="none"/>
          <w:lang w:val="en-US" w:eastAsia="zh-CN" w:bidi="ar-SA"/>
        </w:rPr>
        <w:t>陈一鸣，</w:t>
      </w:r>
      <w:r>
        <w:rPr>
          <w:rFonts w:hint="eastAsia" w:ascii="仿宋_GB2312" w:hAnsi="Times New Roman" w:eastAsia="仿宋_GB2312" w:cs="Times New Roman"/>
          <w:color w:val="auto"/>
          <w:kern w:val="2"/>
          <w:sz w:val="32"/>
          <w:szCs w:val="32"/>
          <w:highlight w:val="none"/>
          <w:lang w:val="en-US" w:eastAsia="zh-CN" w:bidi="ar-SA"/>
        </w:rPr>
        <w:t>男，汉族，1991年02月出生，江西高安人</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历任江西瑞源陶瓷有限公司供应部经理</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江西瑞阳</w:t>
      </w:r>
      <w:r>
        <w:rPr>
          <w:rFonts w:hint="eastAsia" w:ascii="仿宋_GB2312" w:eastAsia="仿宋_GB2312" w:cs="Times New Roman"/>
          <w:color w:val="auto"/>
          <w:kern w:val="2"/>
          <w:sz w:val="32"/>
          <w:szCs w:val="32"/>
          <w:highlight w:val="none"/>
          <w:lang w:val="en-US" w:eastAsia="zh-CN" w:bidi="ar-SA"/>
        </w:rPr>
        <w:t>集团副总裁、副董事长，现任</w:t>
      </w:r>
      <w:r>
        <w:rPr>
          <w:rFonts w:hint="eastAsia" w:ascii="仿宋_GB2312" w:hAnsi="Times New Roman" w:eastAsia="仿宋_GB2312" w:cs="Times New Roman"/>
          <w:color w:val="auto"/>
          <w:kern w:val="2"/>
          <w:sz w:val="32"/>
          <w:szCs w:val="32"/>
          <w:highlight w:val="none"/>
          <w:lang w:val="en-US" w:eastAsia="zh-CN" w:bidi="ar-SA"/>
        </w:rPr>
        <w:t>江西瑞阳陶瓷集团</w:t>
      </w:r>
      <w:r>
        <w:rPr>
          <w:rFonts w:hint="eastAsia" w:ascii="仿宋_GB2312" w:eastAsia="仿宋_GB2312" w:cs="Times New Roman"/>
          <w:color w:val="auto"/>
          <w:kern w:val="2"/>
          <w:sz w:val="32"/>
          <w:szCs w:val="32"/>
          <w:highlight w:val="none"/>
          <w:lang w:val="en-US" w:eastAsia="zh-CN" w:bidi="ar-SA"/>
        </w:rPr>
        <w:t>副董事长、</w:t>
      </w:r>
      <w:r>
        <w:rPr>
          <w:rFonts w:hint="eastAsia" w:ascii="仿宋_GB2312" w:hAnsi="Times New Roman" w:eastAsia="仿宋_GB2312" w:cs="Times New Roman"/>
          <w:color w:val="auto"/>
          <w:kern w:val="2"/>
          <w:sz w:val="32"/>
          <w:szCs w:val="32"/>
          <w:highlight w:val="none"/>
          <w:lang w:val="en-US" w:eastAsia="zh-CN" w:bidi="ar-SA"/>
        </w:rPr>
        <w:t>江西沁园春陶瓷有限责任公司董事长2014年11月至今</w:t>
      </w:r>
      <w:r>
        <w:rPr>
          <w:rFonts w:hint="eastAsia" w:ascii="仿宋_GB2312" w:eastAsia="仿宋_GB2312" w:cs="Times New Roman"/>
          <w:color w:val="auto"/>
          <w:kern w:val="2"/>
          <w:sz w:val="32"/>
          <w:szCs w:val="32"/>
          <w:highlight w:val="none"/>
          <w:lang w:val="en-US" w:eastAsia="zh-CN" w:bidi="ar-SA"/>
        </w:rPr>
        <w:t>担</w:t>
      </w:r>
      <w:r>
        <w:rPr>
          <w:rFonts w:hint="eastAsia" w:ascii="仿宋_GB2312" w:hAnsi="Times New Roman" w:eastAsia="仿宋_GB2312" w:cs="Times New Roman"/>
          <w:color w:val="auto"/>
          <w:kern w:val="2"/>
          <w:sz w:val="32"/>
          <w:szCs w:val="32"/>
          <w:highlight w:val="none"/>
          <w:lang w:val="en-US" w:eastAsia="zh-CN" w:bidi="ar-SA"/>
        </w:rPr>
        <w:t>任高安农商银行董事。</w:t>
      </w:r>
    </w:p>
    <w:p>
      <w:pPr>
        <w:keepNext w:val="0"/>
        <w:keepLines w:val="0"/>
        <w:pageBreakBefore w:val="0"/>
        <w:widowControl/>
        <w:shd w:val="clear" w:color="auto" w:fill="FFFFFF"/>
        <w:tabs>
          <w:tab w:val="left" w:pos="630"/>
        </w:tabs>
        <w:kinsoku/>
        <w:wordWrap/>
        <w:overflowPunct/>
        <w:topLinePunct w:val="0"/>
        <w:autoSpaceDE/>
        <w:autoSpaceDN/>
        <w:bidi w:val="0"/>
        <w:adjustRightInd/>
        <w:spacing w:line="520" w:lineRule="exact"/>
        <w:ind w:firstLine="616" w:firstLineChars="200"/>
        <w:jc w:val="both"/>
        <w:textAlignment w:val="auto"/>
        <w:rPr>
          <w:rFonts w:hint="default" w:ascii="仿宋_GB2312" w:eastAsia="仿宋_GB2312" w:cs="宋体"/>
          <w:b w:val="0"/>
          <w:bCs w:val="0"/>
          <w:color w:val="auto"/>
          <w:spacing w:val="-6"/>
          <w:kern w:val="0"/>
          <w:sz w:val="32"/>
          <w:szCs w:val="32"/>
          <w:highlight w:val="none"/>
          <w:lang w:val="en-US" w:eastAsia="zh-CN" w:bidi="ar-SA"/>
        </w:rPr>
      </w:pPr>
      <w:r>
        <w:rPr>
          <w:rFonts w:hint="eastAsia" w:ascii="仿宋_GB2312" w:eastAsia="仿宋_GB2312" w:cs="宋体"/>
          <w:b w:val="0"/>
          <w:bCs w:val="0"/>
          <w:color w:val="auto"/>
          <w:spacing w:val="-6"/>
          <w:kern w:val="0"/>
          <w:sz w:val="32"/>
          <w:szCs w:val="32"/>
          <w:highlight w:val="none"/>
          <w:lang w:val="en-US" w:eastAsia="zh-CN" w:bidi="ar-SA"/>
        </w:rPr>
        <w:t>付自强，男，汉族，1990年7月5日出生，江西高安人。历任三瑞精密（国际）有限公司财务负责人、总经理；现任江西瑞鼎精密传动有限公司董事长兼总经理。2023年2月至今担任高安农商银行董事。</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4.1.3</w:t>
      </w:r>
      <w:r>
        <w:rPr>
          <w:rFonts w:hint="eastAsia" w:ascii="仿宋_GB2312" w:hAnsi="宋体" w:eastAsia="仿宋_GB2312" w:cs="宋体"/>
          <w:b/>
          <w:color w:val="auto"/>
          <w:kern w:val="0"/>
          <w:sz w:val="32"/>
          <w:szCs w:val="32"/>
          <w:highlight w:val="none"/>
        </w:rPr>
        <w:t>监事会</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本行监事会现由</w:t>
      </w:r>
      <w:r>
        <w:rPr>
          <w:rFonts w:hint="eastAsia" w:ascii="仿宋_GB2312" w:hAnsi="宋体" w:eastAsia="仿宋_GB2312" w:cs="宋体"/>
          <w:color w:val="auto"/>
          <w:kern w:val="0"/>
          <w:sz w:val="32"/>
          <w:szCs w:val="32"/>
          <w:highlight w:val="none"/>
          <w:lang w:val="en-US" w:eastAsia="zh-CN"/>
        </w:rPr>
        <w:t>7</w:t>
      </w:r>
      <w:r>
        <w:rPr>
          <w:rFonts w:hint="eastAsia" w:ascii="仿宋_GB2312" w:hAnsi="宋体" w:eastAsia="仿宋_GB2312" w:cs="宋体"/>
          <w:color w:val="auto"/>
          <w:kern w:val="0"/>
          <w:sz w:val="32"/>
          <w:szCs w:val="32"/>
          <w:highlight w:val="none"/>
        </w:rPr>
        <w:t>名监事组成，其中职工监事3人，非职工监事4人。监事会设监事长1名，由本行职工监事担任。人员构成符合法律法规的要求。</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报告期内，监事能够认真履行职责，维护本行和全体股东的利益。2024年，按照《江西高安农村商业银行股份有限公司章程》和《江西高安农村商业银行股份有限公司监事会议事规则》共召开监事会会议11次。会议审议、通过了《高安农商银行2023年度利润分配方案》、《高安农商银行2023年股金分红实施方案》、《高安农商银行2023度财务决算报告及2024年度财务预算方案》等议案。</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b/>
          <w:bCs/>
          <w:color w:val="auto"/>
          <w:kern w:val="0"/>
          <w:sz w:val="32"/>
          <w:szCs w:val="32"/>
          <w:highlight w:val="none"/>
          <w:lang w:val="en-US" w:eastAsia="zh-CN" w:bidi="ar-SA"/>
        </w:rPr>
        <w:t>外部监事工作情况</w:t>
      </w:r>
      <w:r>
        <w:rPr>
          <w:rFonts w:hint="eastAsia" w:ascii="仿宋_GB2312" w:eastAsia="仿宋_GB2312" w:cs="宋体"/>
          <w:b/>
          <w:bCs/>
          <w:color w:val="auto"/>
          <w:kern w:val="0"/>
          <w:sz w:val="32"/>
          <w:szCs w:val="32"/>
          <w:highlight w:val="none"/>
          <w:lang w:val="en-US" w:eastAsia="zh-CN" w:bidi="ar-SA"/>
        </w:rPr>
        <w:t>：</w:t>
      </w:r>
      <w:r>
        <w:rPr>
          <w:rFonts w:hint="eastAsia" w:ascii="仿宋_GB2312" w:hAnsi="宋体" w:eastAsia="仿宋_GB2312" w:cs="宋体"/>
          <w:color w:val="auto"/>
          <w:kern w:val="0"/>
          <w:sz w:val="32"/>
          <w:szCs w:val="32"/>
          <w:highlight w:val="none"/>
          <w:lang w:val="en-US" w:eastAsia="zh-CN" w:bidi="ar-SA"/>
        </w:rPr>
        <w:t>2024年，本行外部监事均亲自出席会议，年内在本行工作时间为15个工作日以上，秉着对高安农商银行和全体股东负责的态度，投票表决中，本行外部监事对高安农商银行监事会各项议案均投赞成票。</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监事简历：</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刘挺，男，汉族，</w:t>
      </w:r>
      <w:r>
        <w:rPr>
          <w:rFonts w:hint="eastAsia" w:ascii="仿宋_GB2312" w:hAnsi="仿宋_GB2312" w:eastAsia="仿宋_GB2312" w:cs="仿宋_GB2312"/>
          <w:color w:val="auto"/>
          <w:sz w:val="32"/>
          <w:szCs w:val="32"/>
          <w:highlight w:val="none"/>
        </w:rPr>
        <w:t>1983</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月出生，江西新建人。历任</w:t>
      </w:r>
      <w:r>
        <w:rPr>
          <w:rFonts w:hint="eastAsia" w:ascii="仿宋_GB2312" w:hAnsi="仿宋_GB2312" w:eastAsia="仿宋_GB2312" w:cs="仿宋_GB2312"/>
          <w:color w:val="auto"/>
          <w:sz w:val="32"/>
          <w:szCs w:val="32"/>
          <w:highlight w:val="none"/>
        </w:rPr>
        <w:t>高安市农村信用合作社联合社</w:t>
      </w:r>
      <w:r>
        <w:rPr>
          <w:rFonts w:hint="eastAsia" w:ascii="仿宋_GB2312" w:hAnsi="仿宋_GB2312" w:eastAsia="仿宋_GB2312" w:cs="仿宋_GB2312"/>
          <w:color w:val="auto"/>
          <w:sz w:val="32"/>
          <w:szCs w:val="32"/>
          <w:highlight w:val="none"/>
          <w:lang w:val="en-US" w:eastAsia="zh-CN"/>
        </w:rPr>
        <w:t>员工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2014年11月至今任</w:t>
      </w:r>
      <w:r>
        <w:rPr>
          <w:rFonts w:hint="eastAsia" w:ascii="仿宋_GB2312" w:hAnsi="仿宋_GB2312" w:eastAsia="仿宋_GB2312" w:cs="仿宋_GB2312"/>
          <w:color w:val="auto"/>
          <w:sz w:val="32"/>
          <w:szCs w:val="32"/>
          <w:highlight w:val="none"/>
        </w:rPr>
        <w:t>高安农商银行上湖支行行长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大城支行行长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高安农商银行党委委员、纪委书记、监事长</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王尔鹏，男，汉族，</w:t>
      </w:r>
      <w:r>
        <w:rPr>
          <w:rFonts w:hint="eastAsia" w:ascii="仿宋_GB2312" w:hAnsi="仿宋_GB2312" w:eastAsia="仿宋_GB2312" w:cs="仿宋_GB2312"/>
          <w:color w:val="auto"/>
          <w:sz w:val="32"/>
          <w:szCs w:val="32"/>
          <w:highlight w:val="none"/>
          <w:lang w:val="en-US" w:eastAsia="zh-CN"/>
        </w:rPr>
        <w:t>1978年12月出生，</w:t>
      </w:r>
      <w:r>
        <w:rPr>
          <w:rFonts w:hint="eastAsia" w:ascii="仿宋_GB2312" w:hAnsi="仿宋_GB2312" w:eastAsia="仿宋_GB2312" w:cs="仿宋_GB2312"/>
          <w:color w:val="auto"/>
          <w:sz w:val="32"/>
          <w:szCs w:val="32"/>
          <w:highlight w:val="none"/>
          <w:lang w:eastAsia="zh-CN"/>
        </w:rPr>
        <w:t>江西崇仁人。</w:t>
      </w:r>
      <w:r>
        <w:rPr>
          <w:rFonts w:hint="eastAsia" w:ascii="仿宋_GB2312" w:hAnsi="仿宋_GB2312" w:eastAsia="仿宋_GB2312" w:cs="仿宋_GB2312"/>
          <w:color w:val="auto"/>
          <w:sz w:val="32"/>
          <w:szCs w:val="32"/>
          <w:highlight w:val="none"/>
          <w:lang w:val="en-US" w:eastAsia="zh-CN"/>
        </w:rPr>
        <w:t>历任高安市城市信用社柜员；高安市农村信用合作社联合社员工；2014年12月至今任高安农商银行独城支行行长；华林支行行长；纪检监察室主任；审计部副总经理；党风行风监督室主任；2018年12月至今兼任职工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何武纵，男，汉族，1977年10月出生，</w:t>
      </w:r>
      <w:r>
        <w:rPr>
          <w:rFonts w:hint="eastAsia" w:ascii="仿宋_GB2312" w:hAnsi="仿宋_GB2312" w:eastAsia="仿宋_GB2312" w:cs="仿宋_GB2312"/>
          <w:color w:val="auto"/>
          <w:sz w:val="32"/>
          <w:szCs w:val="32"/>
          <w:highlight w:val="none"/>
        </w:rPr>
        <w:t>江西</w:t>
      </w:r>
      <w:r>
        <w:rPr>
          <w:rFonts w:hint="eastAsia" w:ascii="仿宋_GB2312" w:hAnsi="仿宋_GB2312" w:eastAsia="仿宋_GB2312" w:cs="仿宋_GB2312"/>
          <w:color w:val="auto"/>
          <w:sz w:val="32"/>
          <w:szCs w:val="32"/>
          <w:highlight w:val="none"/>
          <w:lang w:eastAsia="zh-CN"/>
        </w:rPr>
        <w:t>高安人。历任</w:t>
      </w:r>
      <w:r>
        <w:rPr>
          <w:rFonts w:hint="eastAsia" w:ascii="仿宋_GB2312" w:hAnsi="仿宋_GB2312" w:eastAsia="仿宋_GB2312" w:cs="仿宋_GB2312"/>
          <w:color w:val="auto"/>
          <w:sz w:val="32"/>
          <w:szCs w:val="32"/>
          <w:highlight w:val="none"/>
          <w:lang w:val="en-US" w:eastAsia="zh-CN"/>
        </w:rPr>
        <w:t>高安市城市信用社会计记账；高安市农村信用合作社联合社员工；2014年12月至今历任高安农商银行风险合规部总经理、稽核部总经理、审计部总经理、法律合规部总经理、风险管理部总经理；2018年12月至今兼任职工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梁斌，男，汉族，1983年2月出生，江西高安人</w:t>
      </w:r>
      <w:r>
        <w:rPr>
          <w:rFonts w:hint="eastAsia" w:ascii="仿宋_GB2312" w:hAnsi="仿宋_GB2312" w:eastAsia="仿宋_GB2312" w:cs="仿宋_GB2312"/>
          <w:color w:val="auto"/>
          <w:sz w:val="32"/>
          <w:szCs w:val="32"/>
          <w:highlight w:val="none"/>
          <w:lang w:eastAsia="zh-CN"/>
        </w:rPr>
        <w:t>。历</w:t>
      </w:r>
      <w:r>
        <w:rPr>
          <w:rFonts w:hint="eastAsia" w:ascii="仿宋_GB2312" w:hAnsi="仿宋_GB2312" w:eastAsia="仿宋_GB2312" w:cs="仿宋_GB2312"/>
          <w:color w:val="auto"/>
          <w:sz w:val="32"/>
          <w:szCs w:val="32"/>
          <w:highlight w:val="none"/>
        </w:rPr>
        <w:t>任高安市瑞雪宾馆财务主管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总经理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江西瑞雪陶瓷任董事长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2014年11月至今</w:t>
      </w:r>
      <w:r>
        <w:rPr>
          <w:rFonts w:hint="eastAsia" w:ascii="仿宋_GB2312" w:hAnsi="仿宋_GB2312" w:eastAsia="仿宋_GB2312" w:cs="仿宋_GB2312"/>
          <w:color w:val="auto"/>
          <w:sz w:val="32"/>
          <w:szCs w:val="32"/>
          <w:highlight w:val="none"/>
        </w:rPr>
        <w:t>任江西高安农村商业银行股份有限公司</w:t>
      </w:r>
      <w:r>
        <w:rPr>
          <w:rFonts w:hint="eastAsia" w:ascii="仿宋_GB2312" w:hAnsi="仿宋_GB2312" w:eastAsia="仿宋_GB2312" w:cs="仿宋_GB2312"/>
          <w:color w:val="auto"/>
          <w:sz w:val="32"/>
          <w:szCs w:val="32"/>
          <w:highlight w:val="none"/>
          <w:lang w:eastAsia="zh-CN"/>
        </w:rPr>
        <w:t>外部</w:t>
      </w:r>
      <w:r>
        <w:rPr>
          <w:rFonts w:hint="eastAsia" w:ascii="仿宋_GB2312" w:hAnsi="仿宋_GB2312" w:eastAsia="仿宋_GB2312" w:cs="仿宋_GB2312"/>
          <w:color w:val="auto"/>
          <w:sz w:val="32"/>
          <w:szCs w:val="32"/>
          <w:highlight w:val="none"/>
        </w:rPr>
        <w:t>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贾宇，男，汉族，1983年12月出生，江西高安人。</w:t>
      </w:r>
      <w:r>
        <w:rPr>
          <w:rFonts w:hint="eastAsia" w:ascii="仿宋_GB2312" w:hAnsi="仿宋_GB2312" w:eastAsia="仿宋_GB2312" w:cs="仿宋_GB2312"/>
          <w:sz w:val="32"/>
          <w:szCs w:val="32"/>
          <w:lang w:eastAsia="zh-CN"/>
        </w:rPr>
        <w:t>历任</w:t>
      </w:r>
      <w:r>
        <w:rPr>
          <w:rFonts w:hint="eastAsia" w:ascii="仿宋_GB2312" w:hAnsi="仿宋_GB2312" w:eastAsia="仿宋_GB2312" w:cs="仿宋_GB2312"/>
          <w:sz w:val="32"/>
          <w:szCs w:val="32"/>
        </w:rPr>
        <w:t>任江西佳宇陶瓷有限公司总经理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江西泓兴源艺术陶瓷有限公司董事长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江西冠利陶瓷有限公司执行董事长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2019年1月至2024年5月</w:t>
      </w:r>
      <w:r>
        <w:rPr>
          <w:rFonts w:hint="eastAsia" w:ascii="仿宋_GB2312" w:hAnsi="仿宋_GB2312" w:eastAsia="仿宋_GB2312" w:cs="仿宋_GB2312"/>
          <w:sz w:val="32"/>
          <w:szCs w:val="32"/>
        </w:rPr>
        <w:t>任江西高安农村商业银行股份有限公司</w:t>
      </w:r>
      <w:r>
        <w:rPr>
          <w:rFonts w:hint="eastAsia" w:ascii="仿宋_GB2312" w:hAnsi="仿宋_GB2312" w:eastAsia="仿宋_GB2312" w:cs="仿宋_GB2312"/>
          <w:sz w:val="32"/>
          <w:szCs w:val="32"/>
          <w:lang w:eastAsia="zh-CN"/>
        </w:rPr>
        <w:t>外部监事</w:t>
      </w:r>
      <w:r>
        <w:rPr>
          <w:rFonts w:hint="eastAsia" w:ascii="仿宋_GB2312" w:hAnsi="仿宋_GB2312" w:eastAsia="仿宋_GB2312" w:cs="仿宋_GB2312"/>
          <w:sz w:val="32"/>
          <w:szCs w:val="32"/>
        </w:rPr>
        <w:t>。</w:t>
      </w:r>
    </w:p>
    <w:p>
      <w:pPr>
        <w:widowControl w:val="0"/>
        <w:spacing w:line="520" w:lineRule="exact"/>
        <w:ind w:firstLine="640" w:firstLineChars="200"/>
        <w:jc w:val="both"/>
        <w:rPr>
          <w:rFonts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孙新华，女，汉族，1984年8月出生，山东东阿人。2013年6月至今任江西博佳达新材料科技有限公司会计；2024年5月至今任江西高安农村商业银行股份有限公司外部监事。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徐环，女，汉族，</w:t>
      </w:r>
      <w:r>
        <w:rPr>
          <w:rFonts w:hint="eastAsia" w:ascii="仿宋_GB2312" w:hAnsi="仿宋_GB2312" w:eastAsia="仿宋_GB2312" w:cs="仿宋_GB2312"/>
          <w:color w:val="auto"/>
          <w:sz w:val="32"/>
          <w:szCs w:val="32"/>
          <w:highlight w:val="none"/>
          <w:lang w:val="en-US" w:eastAsia="zh-CN"/>
        </w:rPr>
        <w:t>1985年12月出生，江西高安人。历任江西高安汽运集团瑞新汽运有限公司财务部出纳；高安市绿源环保科技有限公司财务经理；江西瑞新仓储有限公司财务总监，高安市新绿矿山开发有限公司财务经理；2020年5月至今</w:t>
      </w:r>
      <w:r>
        <w:rPr>
          <w:rFonts w:hint="eastAsia" w:ascii="仿宋_GB2312" w:hAnsi="仿宋_GB2312" w:eastAsia="仿宋_GB2312" w:cs="仿宋_GB2312"/>
          <w:color w:val="auto"/>
          <w:sz w:val="32"/>
          <w:szCs w:val="32"/>
          <w:highlight w:val="none"/>
        </w:rPr>
        <w:t>任江西高安农村商业银行股份有限公司</w:t>
      </w:r>
      <w:r>
        <w:rPr>
          <w:rFonts w:hint="eastAsia" w:ascii="仿宋_GB2312" w:hAnsi="仿宋_GB2312" w:eastAsia="仿宋_GB2312" w:cs="仿宋_GB2312"/>
          <w:color w:val="auto"/>
          <w:sz w:val="32"/>
          <w:szCs w:val="32"/>
          <w:highlight w:val="none"/>
          <w:lang w:eastAsia="zh-CN"/>
        </w:rPr>
        <w:t>外部监事</w:t>
      </w:r>
      <w:r>
        <w:rPr>
          <w:rFonts w:hint="eastAsia" w:ascii="仿宋_GB2312" w:hAnsi="仿宋_GB2312" w:eastAsia="仿宋_GB2312" w:cs="仿宋_GB2312"/>
          <w:color w:val="auto"/>
          <w:sz w:val="32"/>
          <w:szCs w:val="32"/>
          <w:highlight w:val="none"/>
        </w:rPr>
        <w:t>。</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color w:val="auto"/>
          <w:highlight w:val="none"/>
        </w:rPr>
      </w:pPr>
      <w:r>
        <w:rPr>
          <w:rFonts w:hint="eastAsia" w:ascii="仿宋_GB2312" w:hAnsi="仿宋_GB2312" w:eastAsia="仿宋_GB2312" w:cs="仿宋_GB2312"/>
          <w:color w:val="auto"/>
          <w:sz w:val="32"/>
          <w:szCs w:val="32"/>
          <w:highlight w:val="none"/>
          <w:lang w:eastAsia="zh-CN"/>
        </w:rPr>
        <w:t>谌思梦，女，汉族，</w:t>
      </w:r>
      <w:r>
        <w:rPr>
          <w:rFonts w:hint="eastAsia" w:ascii="仿宋_GB2312" w:hAnsi="仿宋_GB2312" w:eastAsia="仿宋_GB2312" w:cs="仿宋_GB2312"/>
          <w:color w:val="auto"/>
          <w:sz w:val="32"/>
          <w:szCs w:val="32"/>
          <w:highlight w:val="none"/>
          <w:lang w:val="en-US" w:eastAsia="zh-CN"/>
        </w:rPr>
        <w:t>1996年8月出生，江西高安人。2020年3月至今任江西高安富民村镇银行股份有限公司综合柜员。2022年6月至今</w:t>
      </w:r>
      <w:r>
        <w:rPr>
          <w:rFonts w:hint="eastAsia" w:ascii="仿宋_GB2312" w:hAnsi="仿宋_GB2312" w:eastAsia="仿宋_GB2312" w:cs="仿宋_GB2312"/>
          <w:color w:val="auto"/>
          <w:sz w:val="32"/>
          <w:szCs w:val="32"/>
          <w:highlight w:val="none"/>
        </w:rPr>
        <w:t>任江西高安农村商业银行股份有限公司</w:t>
      </w:r>
      <w:r>
        <w:rPr>
          <w:rFonts w:hint="eastAsia" w:ascii="仿宋_GB2312" w:hAnsi="仿宋_GB2312" w:eastAsia="仿宋_GB2312" w:cs="仿宋_GB2312"/>
          <w:color w:val="auto"/>
          <w:sz w:val="32"/>
          <w:szCs w:val="32"/>
          <w:highlight w:val="none"/>
          <w:lang w:eastAsia="zh-CN"/>
        </w:rPr>
        <w:t>外部监事</w:t>
      </w:r>
      <w:r>
        <w:rPr>
          <w:rFonts w:hint="eastAsia" w:ascii="仿宋_GB2312" w:hAnsi="仿宋_GB2312" w:eastAsia="仿宋_GB2312" w:cs="仿宋_GB2312"/>
          <w:color w:val="auto"/>
          <w:sz w:val="32"/>
          <w:szCs w:val="32"/>
          <w:highlight w:val="none"/>
        </w:rPr>
        <w:t>。</w:t>
      </w:r>
    </w:p>
    <w:p>
      <w:pPr>
        <w:widowControl/>
        <w:shd w:val="clear" w:color="auto" w:fill="FFFFFF"/>
        <w:tabs>
          <w:tab w:val="left" w:pos="630"/>
        </w:tabs>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4.1.4</w:t>
      </w:r>
      <w:r>
        <w:rPr>
          <w:rFonts w:hint="eastAsia" w:ascii="仿宋_GB2312" w:hAnsi="宋体" w:eastAsia="仿宋_GB2312" w:cs="宋体"/>
          <w:b/>
          <w:color w:val="auto"/>
          <w:kern w:val="0"/>
          <w:sz w:val="32"/>
          <w:szCs w:val="32"/>
          <w:highlight w:val="none"/>
        </w:rPr>
        <w:t>高级管理层</w:t>
      </w:r>
    </w:p>
    <w:p>
      <w:pPr>
        <w:widowControl/>
        <w:shd w:val="clear" w:color="auto" w:fill="FFFFFF"/>
        <w:spacing w:line="520" w:lineRule="exact"/>
        <w:ind w:firstLine="640" w:firstLineChars="200"/>
        <w:jc w:val="both"/>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本年度</w:t>
      </w:r>
      <w:r>
        <w:rPr>
          <w:rFonts w:hint="eastAsia" w:ascii="仿宋_GB2312" w:hAnsi="宋体" w:eastAsia="仿宋_GB2312" w:cs="宋体"/>
          <w:color w:val="auto"/>
          <w:kern w:val="0"/>
          <w:sz w:val="32"/>
          <w:szCs w:val="32"/>
          <w:highlight w:val="none"/>
        </w:rPr>
        <w:t>本行高级管理层由一名行长、两名副行长、审计部、</w:t>
      </w:r>
      <w:r>
        <w:rPr>
          <w:rFonts w:hint="eastAsia" w:ascii="仿宋_GB2312" w:hAnsi="宋体" w:eastAsia="仿宋_GB2312" w:cs="宋体"/>
          <w:color w:val="auto"/>
          <w:kern w:val="0"/>
          <w:sz w:val="32"/>
          <w:szCs w:val="32"/>
          <w:highlight w:val="none"/>
          <w:lang w:val="en-US" w:eastAsia="zh-CN"/>
        </w:rPr>
        <w:t>法律</w:t>
      </w:r>
      <w:r>
        <w:rPr>
          <w:rFonts w:hint="eastAsia" w:ascii="仿宋_GB2312" w:hAnsi="宋体" w:eastAsia="仿宋_GB2312" w:cs="宋体"/>
          <w:color w:val="auto"/>
          <w:kern w:val="0"/>
          <w:sz w:val="32"/>
          <w:szCs w:val="32"/>
          <w:highlight w:val="none"/>
        </w:rPr>
        <w:t>合规部</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计划财务部</w:t>
      </w:r>
      <w:r>
        <w:rPr>
          <w:rFonts w:hint="eastAsia" w:ascii="仿宋_GB2312" w:hAnsi="宋体" w:eastAsia="仿宋_GB2312" w:cs="宋体"/>
          <w:color w:val="auto"/>
          <w:kern w:val="0"/>
          <w:sz w:val="32"/>
          <w:szCs w:val="32"/>
          <w:highlight w:val="none"/>
        </w:rPr>
        <w:t>负责人组成</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高级管理层严格执行股东大会、董事会决议，认真执行年度预算，较好地完成了年度经营目标。</w:t>
      </w:r>
    </w:p>
    <w:p>
      <w:pPr>
        <w:pStyle w:val="2"/>
        <w:rPr>
          <w:rFonts w:hint="eastAsia" w:ascii="仿宋_GB2312" w:eastAsia="仿宋_GB2312" w:cs="宋体"/>
          <w:b/>
          <w:bCs/>
          <w:color w:val="auto"/>
          <w:kern w:val="0"/>
          <w:sz w:val="32"/>
          <w:szCs w:val="32"/>
          <w:highlight w:val="none"/>
          <w:lang w:val="en-US" w:eastAsia="zh-CN"/>
        </w:rPr>
      </w:pPr>
      <w:r>
        <w:rPr>
          <w:rFonts w:hint="eastAsia" w:ascii="仿宋_GB2312" w:eastAsia="仿宋_GB2312" w:cs="宋体"/>
          <w:b/>
          <w:bCs/>
          <w:color w:val="auto"/>
          <w:kern w:val="0"/>
          <w:sz w:val="32"/>
          <w:szCs w:val="32"/>
          <w:highlight w:val="none"/>
          <w:lang w:val="en-US" w:eastAsia="zh-CN"/>
        </w:rPr>
        <w:t>高级管理人员简历：</w:t>
      </w:r>
    </w:p>
    <w:p>
      <w:pPr>
        <w:pStyle w:val="2"/>
        <w:rPr>
          <w:rFonts w:hint="eastAsia" w:ascii="仿宋_GB2312" w:eastAsia="仿宋_GB2312" w:cs="宋体"/>
          <w:color w:val="auto"/>
          <w:kern w:val="0"/>
          <w:sz w:val="32"/>
          <w:szCs w:val="32"/>
          <w:highlight w:val="none"/>
          <w:lang w:val="en-US" w:eastAsia="zh-CN"/>
        </w:rPr>
      </w:pPr>
      <w:r>
        <w:rPr>
          <w:rFonts w:hint="eastAsia" w:ascii="仿宋_GB2312" w:eastAsia="仿宋_GB2312" w:cs="宋体"/>
          <w:color w:val="auto"/>
          <w:kern w:val="0"/>
          <w:sz w:val="32"/>
          <w:szCs w:val="32"/>
          <w:highlight w:val="none"/>
          <w:lang w:val="en-US" w:eastAsia="zh-CN"/>
        </w:rPr>
        <w:t>游冬，高安农商银行党委委员、行长，简历参见本节“董事”部分。</w:t>
      </w:r>
    </w:p>
    <w:p>
      <w:pPr>
        <w:pStyle w:val="2"/>
        <w:rPr>
          <w:rFonts w:hint="eastAsia" w:ascii="仿宋_GB2312" w:eastAsia="仿宋_GB2312" w:cs="宋体"/>
          <w:color w:val="auto"/>
          <w:kern w:val="0"/>
          <w:sz w:val="32"/>
          <w:szCs w:val="32"/>
          <w:highlight w:val="none"/>
          <w:lang w:val="en-US" w:eastAsia="zh-CN"/>
        </w:rPr>
      </w:pPr>
      <w:r>
        <w:rPr>
          <w:rFonts w:hint="eastAsia" w:ascii="仿宋_GB2312" w:eastAsia="仿宋_GB2312" w:cs="宋体"/>
          <w:color w:val="auto"/>
          <w:kern w:val="0"/>
          <w:sz w:val="32"/>
          <w:szCs w:val="32"/>
          <w:highlight w:val="none"/>
          <w:lang w:val="en-US" w:eastAsia="zh-CN"/>
        </w:rPr>
        <w:t>王建平，高安农商银行党委委员、副行长，简历参见本节“董事”部分。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Tahoma" w:eastAsia="仿宋_GB2312" w:cs="Times New Roman"/>
          <w:color w:val="auto"/>
          <w:sz w:val="32"/>
          <w:szCs w:val="32"/>
          <w:highlight w:val="none"/>
          <w:lang w:val="en-US" w:eastAsia="zh-CN"/>
        </w:rPr>
      </w:pPr>
      <w:r>
        <w:rPr>
          <w:rFonts w:hint="eastAsia" w:ascii="仿宋_GB2312" w:hAnsi="宋体" w:eastAsia="仿宋_GB2312"/>
          <w:color w:val="auto"/>
          <w:sz w:val="32"/>
          <w:szCs w:val="32"/>
          <w:highlight w:val="none"/>
          <w:lang w:val="en-US" w:eastAsia="zh-CN" w:bidi="ar-SA"/>
        </w:rPr>
        <w:t>南琼，男，汉族，1988年5月出生，江西高安人。历任高安市农村信用合作社联合社员工，高安农商银行员工，2023年8月至2023年9月任高安农商银行党委委员，</w:t>
      </w:r>
      <w:r>
        <w:rPr>
          <w:rFonts w:hint="eastAsia" w:ascii="仿宋_GB2312" w:hAnsi="宋体" w:eastAsia="仿宋_GB2312" w:cs="Times New Roman"/>
          <w:color w:val="auto"/>
          <w:sz w:val="32"/>
          <w:szCs w:val="32"/>
          <w:highlight w:val="none"/>
          <w:lang w:val="en-US" w:eastAsia="zh-CN" w:bidi="ar-SA"/>
        </w:rPr>
        <w:t>2023年9月至2023年11月任高安农商银行党委委员、提名副行长</w:t>
      </w:r>
      <w:r>
        <w:rPr>
          <w:rFonts w:hint="eastAsia" w:ascii="仿宋_GB2312" w:hAnsi="Tahoma" w:eastAsia="仿宋_GB2312" w:cs="Times New Roman"/>
          <w:color w:val="auto"/>
          <w:sz w:val="32"/>
          <w:szCs w:val="32"/>
          <w:highlight w:val="none"/>
          <w:lang w:val="en-US" w:eastAsia="zh-CN"/>
        </w:rPr>
        <w:t>，2023年11月至今任高安农商银行党委委员、副行长。</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highlight w:val="none"/>
          <w:lang w:val="en-US" w:eastAsia="zh-CN"/>
        </w:rPr>
      </w:pPr>
      <w:r>
        <w:rPr>
          <w:rFonts w:hint="eastAsia" w:ascii="仿宋_GB2312" w:hAnsi="Tahoma" w:eastAsia="仿宋_GB2312" w:cs="Times New Roman"/>
          <w:color w:val="auto"/>
          <w:sz w:val="32"/>
          <w:szCs w:val="32"/>
          <w:highlight w:val="none"/>
          <w:lang w:val="en-US" w:eastAsia="zh-CN"/>
        </w:rPr>
        <w:t>郭婷，女，汉族，1981年1月出生，江西万载人。历任万载县</w:t>
      </w:r>
      <w:r>
        <w:rPr>
          <w:rFonts w:hint="default" w:ascii="仿宋_GB2312" w:hAnsi="Tahoma" w:eastAsia="仿宋_GB2312" w:cs="Times New Roman"/>
          <w:color w:val="auto"/>
          <w:sz w:val="32"/>
          <w:szCs w:val="32"/>
          <w:highlight w:val="none"/>
          <w:lang w:val="en-US" w:eastAsia="zh-CN"/>
        </w:rPr>
        <w:t>农村信用合作社联合社</w:t>
      </w:r>
      <w:r>
        <w:rPr>
          <w:rFonts w:hint="eastAsia" w:ascii="仿宋_GB2312" w:hAnsi="Tahoma" w:eastAsia="仿宋_GB2312" w:cs="Times New Roman"/>
          <w:color w:val="auto"/>
          <w:sz w:val="32"/>
          <w:szCs w:val="32"/>
          <w:highlight w:val="none"/>
          <w:lang w:val="en-US" w:eastAsia="zh-CN"/>
        </w:rPr>
        <w:t>员工，万载</w:t>
      </w:r>
      <w:r>
        <w:rPr>
          <w:rFonts w:hint="default" w:ascii="仿宋_GB2312" w:hAnsi="Tahoma" w:eastAsia="仿宋_GB2312" w:cs="Times New Roman"/>
          <w:color w:val="auto"/>
          <w:sz w:val="32"/>
          <w:szCs w:val="32"/>
          <w:highlight w:val="none"/>
          <w:lang w:val="en-US" w:eastAsia="zh-CN"/>
        </w:rPr>
        <w:t>农商银行</w:t>
      </w:r>
      <w:r>
        <w:rPr>
          <w:rFonts w:hint="eastAsia" w:ascii="仿宋_GB2312" w:hAnsi="Tahoma" w:eastAsia="仿宋_GB2312" w:cs="Times New Roman"/>
          <w:color w:val="auto"/>
          <w:sz w:val="32"/>
          <w:szCs w:val="32"/>
          <w:highlight w:val="none"/>
          <w:lang w:val="en-US" w:eastAsia="zh-CN"/>
        </w:rPr>
        <w:t>员工，2024年6月至2024年7月任高安农商银行党委委员，2024年7月至2024年12月任高安农商银行党委委员、提名副行长，2024年12月至今任高安农商银行党委委员、副行长。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s="Times New Roman"/>
          <w:color w:val="auto"/>
          <w:sz w:val="32"/>
          <w:szCs w:val="32"/>
          <w:highlight w:val="none"/>
          <w:shd w:val="clear" w:color="auto" w:fill="auto"/>
          <w:lang w:val="en-US" w:eastAsia="zh-CN" w:bidi="ar-SA"/>
        </w:rPr>
      </w:pPr>
      <w:r>
        <w:rPr>
          <w:rFonts w:hint="eastAsia" w:ascii="仿宋_GB2312" w:hAnsi="Tahoma" w:eastAsia="仿宋_GB2312" w:cs="Times New Roman"/>
          <w:color w:val="auto"/>
          <w:sz w:val="32"/>
          <w:szCs w:val="32"/>
          <w:highlight w:val="none"/>
          <w:lang w:val="en-US" w:eastAsia="zh-CN"/>
        </w:rPr>
        <w:t>余志勇</w:t>
      </w:r>
      <w:r>
        <w:rPr>
          <w:rFonts w:hint="eastAsia" w:ascii="仿宋_GB2312" w:hAnsi="Tahoma"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男，</w:t>
      </w:r>
      <w:r>
        <w:rPr>
          <w:rFonts w:hint="eastAsia" w:ascii="仿宋_GB2312" w:hAnsi="Tahoma" w:eastAsia="仿宋_GB2312" w:cs="Times New Roman"/>
          <w:color w:val="auto"/>
          <w:sz w:val="32"/>
          <w:szCs w:val="32"/>
          <w:highlight w:val="none"/>
        </w:rPr>
        <w:t>汉族，</w:t>
      </w:r>
      <w:r>
        <w:rPr>
          <w:rFonts w:hint="eastAsia" w:ascii="仿宋_GB2312" w:hAnsi="仿宋_GB2312" w:eastAsia="仿宋_GB2312" w:cs="仿宋_GB2312"/>
          <w:color w:val="auto"/>
          <w:sz w:val="32"/>
          <w:szCs w:val="32"/>
          <w:highlight w:val="none"/>
          <w:lang w:val="en-US" w:eastAsia="zh-CN"/>
        </w:rPr>
        <w:t>1976</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月出生，江西</w:t>
      </w:r>
      <w:r>
        <w:rPr>
          <w:rFonts w:hint="eastAsia" w:ascii="仿宋_GB2312" w:hAnsi="仿宋_GB2312" w:eastAsia="仿宋_GB2312" w:cs="仿宋_GB2312"/>
          <w:color w:val="auto"/>
          <w:sz w:val="32"/>
          <w:szCs w:val="32"/>
          <w:highlight w:val="none"/>
          <w:lang w:val="en-US" w:eastAsia="zh-CN"/>
        </w:rPr>
        <w:t>樟树</w:t>
      </w:r>
      <w:r>
        <w:rPr>
          <w:rFonts w:hint="eastAsia" w:ascii="仿宋_GB2312" w:hAnsi="仿宋_GB2312" w:eastAsia="仿宋_GB2312" w:cs="仿宋_GB2312"/>
          <w:color w:val="auto"/>
          <w:sz w:val="32"/>
          <w:szCs w:val="32"/>
          <w:highlight w:val="none"/>
        </w:rPr>
        <w:t>人</w:t>
      </w:r>
      <w:r>
        <w:rPr>
          <w:rFonts w:hint="eastAsia" w:ascii="仿宋_GB2312" w:hAnsi="Tahoma" w:eastAsia="仿宋_GB2312" w:cs="Times New Roman"/>
          <w:color w:val="auto"/>
          <w:sz w:val="32"/>
          <w:szCs w:val="32"/>
          <w:highlight w:val="none"/>
        </w:rPr>
        <w:t>。</w:t>
      </w:r>
      <w:r>
        <w:rPr>
          <w:rFonts w:hint="eastAsia" w:ascii="仿宋_GB2312" w:hAnsi="Tahoma" w:eastAsia="仿宋_GB2312" w:cs="Times New Roman"/>
          <w:color w:val="auto"/>
          <w:sz w:val="32"/>
          <w:szCs w:val="32"/>
          <w:highlight w:val="none"/>
          <w:lang w:val="en-US" w:eastAsia="zh-CN"/>
        </w:rPr>
        <w:t>历任</w:t>
      </w:r>
      <w:r>
        <w:rPr>
          <w:rFonts w:hint="default" w:ascii="仿宋_GB2312" w:hAnsi="Tahoma" w:eastAsia="仿宋_GB2312" w:cs="Times New Roman"/>
          <w:color w:val="auto"/>
          <w:sz w:val="32"/>
          <w:szCs w:val="32"/>
          <w:highlight w:val="none"/>
          <w:lang w:val="en-US" w:eastAsia="zh-CN"/>
        </w:rPr>
        <w:t>樟树市农村信用合作社联合社</w:t>
      </w:r>
      <w:r>
        <w:rPr>
          <w:rFonts w:hint="eastAsia" w:ascii="仿宋_GB2312" w:hAnsi="Tahoma" w:eastAsia="仿宋_GB2312" w:cs="Times New Roman"/>
          <w:color w:val="auto"/>
          <w:sz w:val="32"/>
          <w:szCs w:val="32"/>
          <w:highlight w:val="none"/>
          <w:lang w:val="en-US" w:eastAsia="zh-CN"/>
        </w:rPr>
        <w:t>员工</w:t>
      </w:r>
      <w:r>
        <w:rPr>
          <w:rFonts w:hint="eastAsia" w:ascii="仿宋_GB2312" w:hAnsi="宋体"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樟树农商银行</w:t>
      </w:r>
      <w:r>
        <w:rPr>
          <w:rFonts w:hint="eastAsia" w:ascii="仿宋_GB2312" w:hAnsi="宋体" w:eastAsia="仿宋_GB2312" w:cs="Times New Roman"/>
          <w:color w:val="auto"/>
          <w:sz w:val="32"/>
          <w:szCs w:val="32"/>
          <w:highlight w:val="none"/>
          <w:shd w:val="clear" w:color="auto" w:fill="auto"/>
          <w:lang w:val="en-US" w:eastAsia="zh-CN" w:bidi="ar-SA"/>
        </w:rPr>
        <w:t>员工，</w:t>
      </w:r>
      <w:r>
        <w:rPr>
          <w:rFonts w:hint="default" w:ascii="仿宋_GB2312" w:hAnsi="宋体" w:eastAsia="仿宋_GB2312" w:cs="Times New Roman"/>
          <w:color w:val="auto"/>
          <w:sz w:val="32"/>
          <w:szCs w:val="32"/>
          <w:highlight w:val="none"/>
          <w:shd w:val="clear" w:color="auto" w:fill="auto"/>
          <w:lang w:val="en-US" w:eastAsia="zh-CN" w:bidi="ar-SA"/>
        </w:rPr>
        <w:t>高安农商银行凤凰湖支行客户经理</w:t>
      </w:r>
      <w:r>
        <w:rPr>
          <w:rFonts w:hint="eastAsia" w:ascii="仿宋_GB2312" w:hAnsi="宋体"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建山支行</w:t>
      </w:r>
      <w:r>
        <w:rPr>
          <w:rFonts w:hint="eastAsia" w:ascii="仿宋_GB2312" w:hAnsi="宋体" w:eastAsia="仿宋_GB2312" w:cs="Times New Roman"/>
          <w:color w:val="auto"/>
          <w:sz w:val="32"/>
          <w:szCs w:val="32"/>
          <w:highlight w:val="none"/>
          <w:shd w:val="clear" w:color="auto" w:fill="auto"/>
          <w:lang w:val="en-US" w:eastAsia="zh-CN" w:bidi="ar-SA"/>
        </w:rPr>
        <w:t>副行长、</w:t>
      </w:r>
      <w:r>
        <w:rPr>
          <w:rFonts w:hint="default" w:ascii="仿宋_GB2312" w:hAnsi="宋体" w:eastAsia="仿宋_GB2312" w:cs="Times New Roman"/>
          <w:color w:val="auto"/>
          <w:sz w:val="32"/>
          <w:szCs w:val="32"/>
          <w:highlight w:val="none"/>
          <w:shd w:val="clear" w:color="auto" w:fill="auto"/>
          <w:lang w:val="en-US" w:eastAsia="zh-CN" w:bidi="ar-SA"/>
        </w:rPr>
        <w:t>太阳支行副行长（主持工作）</w:t>
      </w:r>
      <w:r>
        <w:rPr>
          <w:rFonts w:hint="eastAsia" w:ascii="仿宋_GB2312" w:hAnsi="宋体"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荷岭支行副行长（主持工作）</w:t>
      </w:r>
      <w:r>
        <w:rPr>
          <w:rFonts w:hint="eastAsia" w:ascii="仿宋_GB2312" w:hAnsi="宋体" w:eastAsia="仿宋_GB2312" w:cs="Times New Roman"/>
          <w:color w:val="auto"/>
          <w:sz w:val="32"/>
          <w:szCs w:val="32"/>
          <w:highlight w:val="none"/>
          <w:shd w:val="clear" w:color="auto" w:fill="auto"/>
          <w:lang w:val="en-US" w:eastAsia="zh-CN" w:bidi="ar-SA"/>
        </w:rPr>
        <w:t>、荷岭支行负责人、荷岭支行行长，2024年8月至今任高安农商银行法律合规部总经理。</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color w:val="auto"/>
          <w:sz w:val="32"/>
          <w:szCs w:val="32"/>
          <w:highlight w:val="none"/>
          <w:shd w:val="clear" w:color="auto" w:fill="auto"/>
          <w:lang w:val="en-US" w:eastAsia="zh-CN" w:bidi="ar-SA"/>
        </w:rPr>
      </w:pPr>
      <w:r>
        <w:rPr>
          <w:rFonts w:hint="eastAsia" w:ascii="仿宋_GB2312" w:hAnsi="宋体" w:eastAsia="仿宋_GB2312"/>
          <w:color w:val="auto"/>
          <w:sz w:val="32"/>
          <w:szCs w:val="32"/>
          <w:highlight w:val="none"/>
          <w:lang w:val="en-US" w:eastAsia="zh-CN" w:bidi="ar-SA"/>
        </w:rPr>
        <w:t>谢景春，男，汉族，1979年2月出生，江西高安人。历任</w:t>
      </w:r>
      <w:r>
        <w:rPr>
          <w:rFonts w:hint="default" w:ascii="仿宋_GB2312" w:hAnsi="宋体" w:eastAsia="仿宋_GB2312" w:cs="Times New Roman"/>
          <w:color w:val="auto"/>
          <w:sz w:val="32"/>
          <w:szCs w:val="32"/>
          <w:highlight w:val="none"/>
          <w:shd w:val="clear" w:color="auto" w:fill="auto"/>
          <w:lang w:val="en-US" w:eastAsia="zh-CN" w:bidi="ar-SA"/>
        </w:rPr>
        <w:t>高安市农村信用合作社联合社</w:t>
      </w:r>
      <w:r>
        <w:rPr>
          <w:rFonts w:hint="eastAsia" w:ascii="仿宋_GB2312" w:eastAsia="仿宋_GB2312" w:cs="Times New Roman"/>
          <w:color w:val="auto"/>
          <w:sz w:val="32"/>
          <w:szCs w:val="32"/>
          <w:highlight w:val="none"/>
          <w:shd w:val="clear" w:color="auto" w:fill="auto"/>
          <w:lang w:val="en-US" w:eastAsia="zh-CN" w:bidi="ar-SA"/>
        </w:rPr>
        <w:t>员工</w:t>
      </w:r>
      <w:r>
        <w:rPr>
          <w:rFonts w:hint="eastAsia" w:ascii="仿宋_GB2312" w:hAnsi="宋体"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高安农商银行建陶支行行长</w:t>
      </w:r>
      <w:r>
        <w:rPr>
          <w:rFonts w:hint="eastAsia" w:ascii="仿宋_GB2312"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风险合规部总经理</w:t>
      </w:r>
      <w:r>
        <w:rPr>
          <w:rFonts w:hint="eastAsia" w:ascii="仿宋_GB2312" w:hAnsi="宋体" w:eastAsia="仿宋_GB2312" w:cs="Times New Roman"/>
          <w:color w:val="auto"/>
          <w:sz w:val="32"/>
          <w:szCs w:val="32"/>
          <w:highlight w:val="none"/>
          <w:shd w:val="clear" w:color="auto" w:fill="auto"/>
          <w:lang w:val="en-US" w:eastAsia="zh-CN" w:bidi="ar-SA"/>
        </w:rPr>
        <w:t>，2022年11月至今任高安农商银行审计部总经理。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宋体" w:eastAsia="仿宋_GB2312" w:cs="Times New Roman"/>
          <w:color w:val="auto"/>
          <w:sz w:val="32"/>
          <w:szCs w:val="32"/>
          <w:highlight w:val="none"/>
          <w:shd w:val="clear" w:color="auto" w:fill="auto"/>
          <w:lang w:val="en-US" w:eastAsia="zh-CN" w:bidi="ar-SA"/>
        </w:rPr>
      </w:pPr>
      <w:r>
        <w:rPr>
          <w:rFonts w:hint="eastAsia" w:ascii="仿宋_GB2312" w:hAnsi="Times New Roman" w:eastAsia="仿宋_GB2312" w:cs="Times New Roman"/>
          <w:color w:val="auto"/>
          <w:sz w:val="32"/>
          <w:szCs w:val="32"/>
          <w:highlight w:val="none"/>
          <w:shd w:val="clear" w:color="auto" w:fill="auto"/>
          <w:lang w:val="en-US" w:eastAsia="zh-CN" w:bidi="ar-SA"/>
        </w:rPr>
        <w:t>卢文娟，女，汉族，1986年11月出生，</w:t>
      </w:r>
      <w:r>
        <w:rPr>
          <w:rFonts w:hint="eastAsia" w:ascii="仿宋_GB2312" w:hAnsi="宋体" w:eastAsia="仿宋_GB2312" w:cs="Times New Roman"/>
          <w:color w:val="auto"/>
          <w:sz w:val="32"/>
          <w:szCs w:val="32"/>
          <w:highlight w:val="none"/>
          <w:lang w:val="en-US" w:eastAsia="zh-CN" w:bidi="ar-SA"/>
        </w:rPr>
        <w:t>江西高安人。</w:t>
      </w:r>
      <w:r>
        <w:rPr>
          <w:rFonts w:hint="eastAsia" w:ascii="仿宋_GB2312" w:hAnsi="宋体" w:eastAsia="仿宋_GB2312" w:cs="Times New Roman"/>
          <w:color w:val="auto"/>
          <w:sz w:val="32"/>
          <w:szCs w:val="32"/>
          <w:highlight w:val="none"/>
          <w:shd w:val="clear" w:color="auto" w:fill="auto"/>
          <w:lang w:val="en-US" w:eastAsia="zh-CN" w:bidi="ar-SA"/>
        </w:rPr>
        <w:t>历任高安市农村信用合作联社员工，高安农商银行办公室科员、财务管理部科员、计划财务部科员、计划财务部副总经理,2024年1月至今任高安农商银行计划财务部总经理。</w:t>
      </w:r>
    </w:p>
    <w:p>
      <w:pPr>
        <w:widowControl/>
        <w:shd w:val="clear" w:color="auto" w:fill="FFFFFF"/>
        <w:tabs>
          <w:tab w:val="left" w:pos="630"/>
        </w:tabs>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4.1.5</w:t>
      </w:r>
      <w:r>
        <w:rPr>
          <w:rFonts w:hint="eastAsia" w:ascii="仿宋_GB2312" w:hAnsi="宋体" w:eastAsia="仿宋_GB2312" w:cs="宋体"/>
          <w:b/>
          <w:color w:val="auto"/>
          <w:kern w:val="0"/>
          <w:sz w:val="32"/>
          <w:szCs w:val="32"/>
          <w:highlight w:val="none"/>
        </w:rPr>
        <w:t>部门及分支机构情况</w:t>
      </w:r>
    </w:p>
    <w:p>
      <w:pPr>
        <w:widowControl/>
        <w:shd w:val="clear" w:color="auto" w:fill="FFFFFF"/>
        <w:spacing w:line="52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本行设有</w:t>
      </w:r>
      <w:r>
        <w:rPr>
          <w:rFonts w:hint="eastAsia" w:ascii="仿宋_GB2312" w:hAnsi="宋体" w:eastAsia="仿宋_GB2312" w:cs="宋体"/>
          <w:color w:val="auto"/>
          <w:kern w:val="0"/>
          <w:sz w:val="32"/>
          <w:szCs w:val="32"/>
          <w:highlight w:val="none"/>
          <w:lang w:val="en-US" w:eastAsia="zh-CN"/>
        </w:rPr>
        <w:t>13</w:t>
      </w:r>
      <w:r>
        <w:rPr>
          <w:rFonts w:hint="eastAsia" w:ascii="仿宋_GB2312" w:hAnsi="宋体" w:eastAsia="仿宋_GB2312" w:cs="宋体"/>
          <w:color w:val="auto"/>
          <w:kern w:val="0"/>
          <w:sz w:val="32"/>
          <w:szCs w:val="32"/>
          <w:highlight w:val="none"/>
        </w:rPr>
        <w:t>个职能部室，分别为办公室(含后勤服务中心）、人力资源部、</w:t>
      </w:r>
      <w:r>
        <w:rPr>
          <w:rFonts w:hint="eastAsia" w:ascii="仿宋_GB2312" w:hAnsi="宋体" w:eastAsia="仿宋_GB2312" w:cs="宋体"/>
          <w:color w:val="auto"/>
          <w:kern w:val="0"/>
          <w:sz w:val="32"/>
          <w:szCs w:val="32"/>
          <w:highlight w:val="none"/>
          <w:lang w:val="en-US" w:eastAsia="zh-CN"/>
        </w:rPr>
        <w:t>法律</w:t>
      </w:r>
      <w:r>
        <w:rPr>
          <w:rFonts w:hint="eastAsia" w:ascii="仿宋_GB2312" w:hAnsi="宋体" w:eastAsia="仿宋_GB2312" w:cs="宋体"/>
          <w:color w:val="auto"/>
          <w:kern w:val="0"/>
          <w:sz w:val="32"/>
          <w:szCs w:val="32"/>
          <w:highlight w:val="none"/>
        </w:rPr>
        <w:t>合规部、审计部、</w:t>
      </w:r>
      <w:r>
        <w:rPr>
          <w:rFonts w:hint="eastAsia" w:ascii="仿宋_GB2312" w:hAnsi="宋体" w:eastAsia="仿宋_GB2312" w:cs="宋体"/>
          <w:color w:val="auto"/>
          <w:kern w:val="0"/>
          <w:sz w:val="32"/>
          <w:szCs w:val="32"/>
          <w:highlight w:val="none"/>
          <w:lang w:val="en-US" w:eastAsia="zh-CN"/>
        </w:rPr>
        <w:t>计划财务</w:t>
      </w:r>
      <w:r>
        <w:rPr>
          <w:rFonts w:hint="eastAsia" w:ascii="仿宋_GB2312" w:hAnsi="宋体" w:eastAsia="仿宋_GB2312" w:cs="宋体"/>
          <w:color w:val="auto"/>
          <w:kern w:val="0"/>
          <w:sz w:val="32"/>
          <w:szCs w:val="32"/>
          <w:highlight w:val="none"/>
        </w:rPr>
        <w:t>部、</w:t>
      </w:r>
      <w:r>
        <w:rPr>
          <w:rFonts w:hint="eastAsia" w:ascii="仿宋_GB2312" w:hAnsi="宋体" w:eastAsia="仿宋_GB2312" w:cs="宋体"/>
          <w:color w:val="auto"/>
          <w:kern w:val="0"/>
          <w:sz w:val="32"/>
          <w:szCs w:val="32"/>
          <w:highlight w:val="none"/>
          <w:lang w:val="en-US" w:eastAsia="zh-CN"/>
        </w:rPr>
        <w:t>风险管理部、</w:t>
      </w:r>
      <w:r>
        <w:rPr>
          <w:rFonts w:hint="eastAsia" w:ascii="仿宋_GB2312" w:hAnsi="宋体" w:eastAsia="仿宋_GB2312" w:cs="宋体"/>
          <w:color w:val="auto"/>
          <w:kern w:val="0"/>
          <w:sz w:val="32"/>
          <w:szCs w:val="32"/>
          <w:highlight w:val="none"/>
        </w:rPr>
        <w:t>运营管理部、信贷管理部</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授信评审部</w:t>
      </w:r>
      <w:r>
        <w:rPr>
          <w:rFonts w:hint="eastAsia" w:ascii="仿宋_GB2312" w:hAnsi="宋体" w:eastAsia="仿宋_GB2312" w:cs="宋体"/>
          <w:color w:val="auto"/>
          <w:kern w:val="0"/>
          <w:sz w:val="32"/>
          <w:szCs w:val="32"/>
          <w:highlight w:val="none"/>
        </w:rPr>
        <w:t>、业务拓展部、安全保卫部</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监控中心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、党风行风监督室、党群工作部；</w:t>
      </w:r>
      <w:r>
        <w:rPr>
          <w:rFonts w:hint="eastAsia" w:ascii="仿宋_GB2312" w:hAnsi="宋体" w:eastAsia="仿宋_GB2312" w:cs="宋体"/>
          <w:color w:val="auto"/>
          <w:kern w:val="0"/>
          <w:sz w:val="32"/>
          <w:szCs w:val="32"/>
          <w:highlight w:val="none"/>
          <w:lang w:val="en-US" w:eastAsia="zh-CN"/>
        </w:rPr>
        <w:t>3个事业部，普惠金融事业部（三农事业部）、清收事业部、金融市场部；</w:t>
      </w:r>
      <w:r>
        <w:rPr>
          <w:rFonts w:hint="eastAsia" w:ascii="仿宋_GB2312" w:hAnsi="宋体" w:eastAsia="仿宋_GB2312" w:cs="宋体"/>
          <w:color w:val="auto"/>
          <w:kern w:val="0"/>
          <w:sz w:val="32"/>
          <w:szCs w:val="32"/>
          <w:highlight w:val="none"/>
        </w:rPr>
        <w:t>下辖</w:t>
      </w:r>
      <w:r>
        <w:rPr>
          <w:rFonts w:hint="eastAsia" w:ascii="仿宋_GB2312" w:hAnsi="宋体" w:eastAsia="仿宋_GB2312" w:cs="宋体"/>
          <w:color w:val="auto"/>
          <w:kern w:val="0"/>
          <w:sz w:val="32"/>
          <w:szCs w:val="32"/>
          <w:highlight w:val="none"/>
          <w:lang w:val="en-US" w:eastAsia="zh-CN"/>
        </w:rPr>
        <w:t>33</w:t>
      </w:r>
      <w:r>
        <w:rPr>
          <w:rFonts w:hint="eastAsia" w:ascii="仿宋_GB2312" w:hAnsi="宋体" w:eastAsia="仿宋_GB2312" w:cs="宋体"/>
          <w:color w:val="auto"/>
          <w:kern w:val="0"/>
          <w:sz w:val="32"/>
          <w:szCs w:val="32"/>
          <w:highlight w:val="none"/>
        </w:rPr>
        <w:t>个营业网点，其中1个总行营业部、</w:t>
      </w:r>
      <w:r>
        <w:rPr>
          <w:rFonts w:hint="eastAsia" w:ascii="仿宋_GB2312" w:hAnsi="宋体" w:eastAsia="仿宋_GB2312" w:cs="宋体"/>
          <w:color w:val="auto"/>
          <w:kern w:val="0"/>
          <w:sz w:val="32"/>
          <w:szCs w:val="32"/>
          <w:highlight w:val="none"/>
          <w:lang w:val="en-US" w:eastAsia="zh-CN"/>
        </w:rPr>
        <w:t>32</w:t>
      </w:r>
      <w:r>
        <w:rPr>
          <w:rFonts w:hint="eastAsia" w:ascii="仿宋_GB2312" w:hAnsi="宋体" w:eastAsia="仿宋_GB2312" w:cs="宋体"/>
          <w:color w:val="auto"/>
          <w:kern w:val="0"/>
          <w:sz w:val="32"/>
          <w:szCs w:val="32"/>
          <w:highlight w:val="none"/>
        </w:rPr>
        <w:t>个支行。</w:t>
      </w:r>
    </w:p>
    <w:p>
      <w:pPr>
        <w:widowControl/>
        <w:shd w:val="clear" w:color="auto" w:fill="FFFFFF"/>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4.2</w:t>
      </w:r>
      <w:r>
        <w:rPr>
          <w:rFonts w:hint="eastAsia" w:ascii="仿宋_GB2312" w:hAnsi="宋体" w:eastAsia="仿宋_GB2312" w:cs="宋体"/>
          <w:b/>
          <w:color w:val="auto"/>
          <w:kern w:val="0"/>
          <w:sz w:val="32"/>
          <w:szCs w:val="32"/>
          <w:highlight w:val="none"/>
        </w:rPr>
        <w:t>股东大会会议召开情况</w:t>
      </w:r>
    </w:p>
    <w:p>
      <w:pPr>
        <w:spacing w:line="520" w:lineRule="exact"/>
        <w:ind w:firstLine="640" w:firstLineChars="200"/>
        <w:rPr>
          <w:rFonts w:hint="eastAsia" w:ascii="仿宋_GB2312" w:hAnsi="仿宋" w:eastAsia="仿宋_GB2312" w:cs="仿宋"/>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日，召开了高安农商银行</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年度股东大会，会议实到股东</w:t>
      </w:r>
      <w:r>
        <w:rPr>
          <w:rFonts w:hint="eastAsia" w:ascii="仿宋_GB2312" w:eastAsia="仿宋_GB2312"/>
          <w:color w:val="auto"/>
          <w:sz w:val="32"/>
          <w:szCs w:val="32"/>
          <w:highlight w:val="none"/>
          <w:lang w:val="en-US" w:eastAsia="zh-CN"/>
        </w:rPr>
        <w:t>93</w:t>
      </w:r>
      <w:r>
        <w:rPr>
          <w:rFonts w:hint="eastAsia" w:ascii="仿宋_GB2312" w:eastAsia="仿宋_GB2312"/>
          <w:color w:val="auto"/>
          <w:sz w:val="32"/>
          <w:szCs w:val="32"/>
          <w:highlight w:val="none"/>
        </w:rPr>
        <w:t>人，持有股权数375316589股，占股份总额的62.8</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%（其中具有表决权的股东共</w:t>
      </w:r>
      <w:r>
        <w:rPr>
          <w:rFonts w:hint="eastAsia" w:ascii="仿宋_GB2312" w:eastAsia="仿宋_GB2312"/>
          <w:color w:val="auto"/>
          <w:sz w:val="32"/>
          <w:szCs w:val="32"/>
          <w:highlight w:val="none"/>
          <w:lang w:val="en-US" w:eastAsia="zh-CN"/>
        </w:rPr>
        <w:t>93</w:t>
      </w:r>
      <w:r>
        <w:rPr>
          <w:rFonts w:hint="eastAsia" w:ascii="仿宋_GB2312" w:eastAsia="仿宋_GB2312"/>
          <w:color w:val="auto"/>
          <w:sz w:val="32"/>
          <w:szCs w:val="32"/>
          <w:highlight w:val="none"/>
        </w:rPr>
        <w:t>人，代表股权360450090股，占全行有表决权股东股权总数的</w:t>
      </w:r>
      <w:r>
        <w:rPr>
          <w:rFonts w:hint="eastAsia" w:ascii="仿宋_GB2312" w:eastAsia="仿宋_GB2312"/>
          <w:color w:val="auto"/>
          <w:sz w:val="32"/>
          <w:szCs w:val="32"/>
          <w:highlight w:val="none"/>
          <w:lang w:val="en-US" w:eastAsia="zh-CN"/>
        </w:rPr>
        <w:t>60.29</w:t>
      </w:r>
      <w:r>
        <w:rPr>
          <w:rFonts w:hint="eastAsia" w:ascii="仿宋_GB2312" w:eastAsia="仿宋_GB2312"/>
          <w:color w:val="auto"/>
          <w:sz w:val="32"/>
          <w:szCs w:val="32"/>
          <w:highlight w:val="none"/>
        </w:rPr>
        <w:t>%）。符合《中国人民共和国公司法》的相关规定，会议审议通过了《江西高安农村商业银行股份有限公司202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年度董事会工作报告》</w:t>
      </w:r>
      <w:r>
        <w:rPr>
          <w:rFonts w:hint="eastAsia" w:ascii="仿宋_GB2312" w:eastAsia="仿宋_GB2312"/>
          <w:color w:val="auto"/>
          <w:sz w:val="32"/>
          <w:szCs w:val="32"/>
          <w:highlight w:val="none"/>
          <w:lang w:eastAsia="zh-CN"/>
        </w:rPr>
        <w:t>、《江西高安农村商业银行股份有限公司202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年度监事会工作报告》、《江西高安农村商业银行股份有限公司202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年业务经营指标执行情况及202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年业务经营目标计划》、《江西高安农村商业银行股份有限公司202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年财务决算报告及202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年财务预算</w:t>
      </w:r>
      <w:r>
        <w:rPr>
          <w:rFonts w:hint="eastAsia" w:ascii="仿宋_GB2312" w:eastAsia="仿宋_GB2312"/>
          <w:color w:val="auto"/>
          <w:sz w:val="32"/>
          <w:szCs w:val="32"/>
          <w:highlight w:val="none"/>
          <w:lang w:val="en-US" w:eastAsia="zh-CN"/>
        </w:rPr>
        <w:t>方案</w:t>
      </w:r>
      <w:r>
        <w:rPr>
          <w:rFonts w:hint="eastAsia" w:ascii="仿宋_GB2312" w:eastAsia="仿宋_GB2312"/>
          <w:color w:val="auto"/>
          <w:sz w:val="32"/>
          <w:szCs w:val="32"/>
          <w:highlight w:val="none"/>
          <w:lang w:eastAsia="zh-CN"/>
        </w:rPr>
        <w:t>》、《江西高安农村商业银行股份有限公司202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年度利润分配方案》</w:t>
      </w:r>
      <w:r>
        <w:rPr>
          <w:rFonts w:hint="eastAsia" w:ascii="仿宋_GB2312" w:hAnsi="仿宋" w:eastAsia="仿宋_GB2312" w:cs="仿宋"/>
          <w:color w:val="auto"/>
          <w:sz w:val="32"/>
          <w:szCs w:val="32"/>
          <w:highlight w:val="none"/>
        </w:rPr>
        <w:t>等议案。整个会议由</w:t>
      </w:r>
      <w:r>
        <w:rPr>
          <w:rFonts w:hint="eastAsia" w:ascii="仿宋_GB2312" w:hAnsi="仿宋" w:eastAsia="仿宋_GB2312" w:cs="仿宋"/>
          <w:color w:val="auto"/>
          <w:sz w:val="32"/>
          <w:szCs w:val="32"/>
          <w:highlight w:val="none"/>
          <w:lang w:val="en-US" w:eastAsia="zh-CN"/>
        </w:rPr>
        <w:t>江西雪辰</w:t>
      </w:r>
      <w:r>
        <w:rPr>
          <w:rFonts w:hint="eastAsia" w:ascii="仿宋_GB2312" w:hAnsi="仿宋" w:eastAsia="仿宋_GB2312" w:cs="仿宋"/>
          <w:color w:val="auto"/>
          <w:sz w:val="32"/>
          <w:szCs w:val="32"/>
          <w:highlight w:val="none"/>
        </w:rPr>
        <w:t>律师事务所律师见证，并出具了法律意见书。</w:t>
      </w:r>
    </w:p>
    <w:p>
      <w:pPr>
        <w:widowControl/>
        <w:shd w:val="clear" w:color="auto" w:fill="FFFFFF"/>
        <w:spacing w:line="56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五、股本变动及股东情况</w:t>
      </w:r>
    </w:p>
    <w:p>
      <w:pPr>
        <w:widowControl/>
        <w:shd w:val="clear" w:color="auto" w:fill="FFFFFF"/>
        <w:tabs>
          <w:tab w:val="left" w:pos="630"/>
        </w:tabs>
        <w:spacing w:line="560" w:lineRule="exact"/>
        <w:ind w:firstLine="643" w:firstLineChars="200"/>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5.1</w:t>
      </w:r>
      <w:r>
        <w:rPr>
          <w:rFonts w:hint="eastAsia" w:ascii="仿宋_GB2312" w:hAnsi="宋体" w:eastAsia="仿宋_GB2312" w:cs="宋体"/>
          <w:b/>
          <w:color w:val="auto"/>
          <w:kern w:val="0"/>
          <w:sz w:val="32"/>
          <w:szCs w:val="32"/>
          <w:highlight w:val="none"/>
        </w:rPr>
        <w:t>股东权益变动表</w:t>
      </w:r>
    </w:p>
    <w:p>
      <w:pPr>
        <w:widowControl/>
        <w:shd w:val="clear" w:color="auto" w:fill="FFFFFF"/>
        <w:spacing w:line="560" w:lineRule="exact"/>
        <w:ind w:firstLine="640" w:firstLineChars="200"/>
        <w:jc w:val="left"/>
        <w:rPr>
          <w:rFonts w:ascii="宋体" w:eastAsia="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7"/>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022"/>
        <w:gridCol w:w="183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项目</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s="黑体"/>
                <w:b/>
                <w:color w:val="auto"/>
                <w:kern w:val="0"/>
                <w:sz w:val="28"/>
                <w:szCs w:val="28"/>
                <w:highlight w:val="none"/>
              </w:rPr>
            </w:pPr>
            <w:r>
              <w:rPr>
                <w:rFonts w:hint="eastAsia" w:ascii="黑体" w:hAnsi="宋体" w:eastAsia="黑体" w:cs="黑体"/>
                <w:b/>
                <w:i w:val="0"/>
                <w:color w:val="auto"/>
                <w:kern w:val="0"/>
                <w:sz w:val="28"/>
                <w:szCs w:val="28"/>
                <w:highlight w:val="none"/>
                <w:lang w:val="en-US" w:eastAsia="zh-CN" w:bidi="ar"/>
              </w:rPr>
              <w:t>202</w:t>
            </w:r>
            <w:r>
              <w:rPr>
                <w:rStyle w:val="10"/>
                <w:rFonts w:hint="eastAsia" w:ascii="黑体" w:hAnsi="宋体" w:eastAsia="黑体" w:cs="黑体"/>
                <w:b/>
                <w:color w:val="auto"/>
                <w:kern w:val="2"/>
                <w:sz w:val="28"/>
                <w:szCs w:val="28"/>
                <w:highlight w:val="none"/>
                <w:lang w:val="en-US" w:eastAsia="zh-CN" w:bidi="ar"/>
              </w:rPr>
              <w:t>3年末</w:t>
            </w:r>
          </w:p>
        </w:tc>
        <w:tc>
          <w:tcPr>
            <w:tcW w:w="183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黑体"/>
                <w:b/>
                <w:color w:val="auto"/>
                <w:kern w:val="0"/>
                <w:sz w:val="28"/>
                <w:szCs w:val="28"/>
                <w:highlight w:val="none"/>
              </w:rPr>
            </w:pPr>
            <w:r>
              <w:rPr>
                <w:rFonts w:hint="eastAsia" w:ascii="仿宋" w:hAnsi="仿宋" w:eastAsia="仿宋" w:cs="仿宋"/>
                <w:b/>
                <w:i w:val="0"/>
                <w:color w:val="auto"/>
                <w:kern w:val="0"/>
                <w:sz w:val="28"/>
                <w:szCs w:val="28"/>
                <w:highlight w:val="none"/>
                <w:lang w:val="en-US" w:eastAsia="zh-CN" w:bidi="ar"/>
              </w:rPr>
              <w:t>本</w:t>
            </w:r>
            <w:r>
              <w:rPr>
                <w:rStyle w:val="12"/>
                <w:rFonts w:hint="eastAsia" w:ascii="仿宋" w:hAnsi="仿宋" w:eastAsia="仿宋" w:cs="仿宋"/>
                <w:b/>
                <w:color w:val="auto"/>
                <w:kern w:val="2"/>
                <w:sz w:val="28"/>
                <w:szCs w:val="28"/>
                <w:highlight w:val="none"/>
                <w:lang w:val="en-US" w:eastAsia="zh-CN" w:bidi="ar"/>
              </w:rPr>
              <w:t>期增加</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s="黑体"/>
                <w:b/>
                <w:color w:val="auto"/>
                <w:kern w:val="0"/>
                <w:sz w:val="28"/>
                <w:szCs w:val="28"/>
                <w:highlight w:val="none"/>
              </w:rPr>
            </w:pPr>
            <w:r>
              <w:rPr>
                <w:rFonts w:hint="eastAsia" w:ascii="黑体" w:hAnsi="宋体" w:eastAsia="黑体" w:cs="黑体"/>
                <w:b/>
                <w:i w:val="0"/>
                <w:color w:val="auto"/>
                <w:kern w:val="0"/>
                <w:sz w:val="28"/>
                <w:szCs w:val="28"/>
                <w:highlight w:val="none"/>
                <w:lang w:val="en-US" w:eastAsia="zh-CN" w:bidi="ar"/>
              </w:rPr>
              <w:t>202</w:t>
            </w:r>
            <w:r>
              <w:rPr>
                <w:rStyle w:val="10"/>
                <w:rFonts w:hint="eastAsia" w:ascii="黑体" w:hAnsi="宋体" w:eastAsia="黑体" w:cs="黑体"/>
                <w:b/>
                <w:color w:val="auto"/>
                <w:kern w:val="2"/>
                <w:sz w:val="28"/>
                <w:szCs w:val="28"/>
                <w:highlight w:val="none"/>
                <w:lang w:val="en-US" w:eastAsia="zh-CN" w:bidi="ar"/>
              </w:rPr>
              <w:t>4年末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股本</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59781.86</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eastAsia="仿宋_GB2312"/>
                <w:color w:val="auto"/>
                <w:sz w:val="28"/>
                <w:szCs w:val="28"/>
                <w:highlight w:val="none"/>
                <w:lang w:val="en-US" w:eastAsia="zh-CN"/>
              </w:rPr>
            </w:pP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59781.86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资本公积</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9315.82</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eastAsia="仿宋_GB2312"/>
                <w:color w:val="auto"/>
                <w:sz w:val="28"/>
                <w:szCs w:val="28"/>
                <w:highlight w:val="none"/>
                <w:lang w:val="en-US" w:eastAsia="zh-CN"/>
              </w:rPr>
            </w:pP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9315.82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其他综合收益</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1607.06</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-223.7</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1383.36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盈余公积</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18592.61</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1863.54</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eastAsia="仿宋_GB2312"/>
                <w:color w:val="auto"/>
                <w:sz w:val="28"/>
                <w:szCs w:val="28"/>
                <w:highlight w:val="none"/>
                <w:lang w:eastAsia="zh-CN"/>
              </w:rPr>
            </w:pPr>
            <w:r>
              <w:rPr>
                <w:rFonts w:hint="eastAsia" w:ascii="仿宋_GB2312" w:hAnsi="宋体" w:eastAsia="仿宋_GB2312" w:cs="仿宋_GB2312"/>
                <w:i w:val="0"/>
                <w:color w:val="auto"/>
                <w:kern w:val="0"/>
                <w:sz w:val="28"/>
                <w:szCs w:val="28"/>
                <w:highlight w:val="none"/>
                <w:lang w:val="en-US" w:eastAsia="zh-CN" w:bidi="ar"/>
              </w:rPr>
              <w:t>20456.15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一般风险准备</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68243.26</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2686.73</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eastAsia="仿宋_GB2312"/>
                <w:color w:val="auto"/>
                <w:sz w:val="28"/>
                <w:szCs w:val="28"/>
                <w:highlight w:val="none"/>
                <w:lang w:eastAsia="zh-CN"/>
              </w:rPr>
            </w:pPr>
            <w:r>
              <w:rPr>
                <w:rFonts w:hint="eastAsia" w:ascii="仿宋_GB2312" w:hAnsi="宋体" w:eastAsia="仿宋_GB2312" w:cs="仿宋_GB2312"/>
                <w:i w:val="0"/>
                <w:color w:val="auto"/>
                <w:kern w:val="0"/>
                <w:sz w:val="28"/>
                <w:szCs w:val="28"/>
                <w:highlight w:val="none"/>
                <w:lang w:val="en-US" w:eastAsia="zh-CN" w:bidi="ar"/>
              </w:rPr>
              <w:t>70929.99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未分配利润</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26613.5</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2855.07</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eastAsia="仿宋_GB2312"/>
                <w:color w:val="auto"/>
                <w:sz w:val="28"/>
                <w:szCs w:val="28"/>
                <w:highlight w:val="none"/>
                <w:lang w:eastAsia="zh-CN"/>
              </w:rPr>
            </w:pPr>
            <w:r>
              <w:rPr>
                <w:rFonts w:hint="eastAsia" w:ascii="仿宋_GB2312" w:hAnsi="宋体" w:eastAsia="仿宋_GB2312" w:cs="仿宋_GB2312"/>
                <w:i w:val="0"/>
                <w:color w:val="auto"/>
                <w:kern w:val="0"/>
                <w:sz w:val="28"/>
                <w:szCs w:val="28"/>
                <w:highlight w:val="none"/>
                <w:lang w:val="en-US" w:eastAsia="zh-CN" w:bidi="ar"/>
              </w:rPr>
              <w:t>29468.57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股东权益合计</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184154.11</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7181.64</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191335.75</w:t>
            </w:r>
          </w:p>
        </w:tc>
      </w:tr>
    </w:tbl>
    <w:p>
      <w:pPr>
        <w:widowControl/>
        <w:shd w:val="clear" w:color="auto" w:fill="FFFFFF"/>
        <w:tabs>
          <w:tab w:val="left" w:pos="630"/>
        </w:tabs>
        <w:spacing w:line="560" w:lineRule="exact"/>
        <w:ind w:firstLine="643" w:firstLineChars="200"/>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5.2</w:t>
      </w:r>
      <w:r>
        <w:rPr>
          <w:rFonts w:hint="eastAsia" w:ascii="仿宋_GB2312" w:hAnsi="宋体" w:eastAsia="仿宋_GB2312" w:cs="宋体"/>
          <w:b/>
          <w:color w:val="auto"/>
          <w:kern w:val="0"/>
          <w:sz w:val="32"/>
          <w:szCs w:val="32"/>
          <w:highlight w:val="none"/>
        </w:rPr>
        <w:t>股本结构情况表</w:t>
      </w:r>
    </w:p>
    <w:p>
      <w:pPr>
        <w:widowControl/>
        <w:shd w:val="clear" w:color="auto" w:fill="FFFFFF"/>
        <w:spacing w:line="560" w:lineRule="exact"/>
        <w:ind w:firstLine="640" w:firstLineChars="200"/>
        <w:rPr>
          <w:rFonts w:ascii="宋体" w:eastAsia="宋体" w:cs="宋体"/>
          <w:color w:val="auto"/>
          <w:kern w:val="0"/>
          <w:sz w:val="28"/>
          <w:szCs w:val="28"/>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万股</w:t>
      </w:r>
    </w:p>
    <w:tbl>
      <w:tblPr>
        <w:tblStyle w:val="7"/>
        <w:tblW w:w="8324" w:type="dxa"/>
        <w:jc w:val="center"/>
        <w:tblInd w:w="0" w:type="dxa"/>
        <w:tblLayout w:type="fixed"/>
        <w:tblCellMar>
          <w:top w:w="0" w:type="dxa"/>
          <w:left w:w="108" w:type="dxa"/>
          <w:bottom w:w="0" w:type="dxa"/>
          <w:right w:w="108" w:type="dxa"/>
        </w:tblCellMar>
      </w:tblPr>
      <w:tblGrid>
        <w:gridCol w:w="2198"/>
        <w:gridCol w:w="1635"/>
        <w:gridCol w:w="1939"/>
        <w:gridCol w:w="2552"/>
      </w:tblGrid>
      <w:tr>
        <w:tblPrEx>
          <w:tblLayout w:type="fixed"/>
          <w:tblCellMar>
            <w:top w:w="0" w:type="dxa"/>
            <w:left w:w="108" w:type="dxa"/>
            <w:bottom w:w="0" w:type="dxa"/>
            <w:right w:w="108" w:type="dxa"/>
          </w:tblCellMar>
        </w:tblPrEx>
        <w:trPr>
          <w:trHeight w:val="495" w:hRule="atLeast"/>
          <w:jc w:val="center"/>
        </w:trPr>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股东类型</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股东数量（户）</w:t>
            </w:r>
          </w:p>
        </w:tc>
        <w:tc>
          <w:tcPr>
            <w:tcW w:w="19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2024年末股本数</w:t>
            </w:r>
          </w:p>
        </w:tc>
        <w:tc>
          <w:tcPr>
            <w:tcW w:w="25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占总股本比例（%）</w:t>
            </w:r>
          </w:p>
        </w:tc>
      </w:tr>
      <w:tr>
        <w:tblPrEx>
          <w:tblLayout w:type="fixed"/>
          <w:tblCellMar>
            <w:top w:w="0" w:type="dxa"/>
            <w:left w:w="108" w:type="dxa"/>
            <w:bottom w:w="0" w:type="dxa"/>
            <w:right w:w="108" w:type="dxa"/>
          </w:tblCellMar>
        </w:tblPrEx>
        <w:trPr>
          <w:trHeight w:val="458" w:hRule="atLeast"/>
          <w:jc w:val="center"/>
        </w:trPr>
        <w:tc>
          <w:tcPr>
            <w:tcW w:w="219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法人股</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16</w:t>
            </w:r>
          </w:p>
        </w:tc>
        <w:tc>
          <w:tcPr>
            <w:tcW w:w="19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29607.78</w:t>
            </w:r>
          </w:p>
        </w:tc>
        <w:tc>
          <w:tcPr>
            <w:tcW w:w="25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49.53%</w:t>
            </w:r>
          </w:p>
        </w:tc>
      </w:tr>
      <w:tr>
        <w:tblPrEx>
          <w:tblLayout w:type="fixed"/>
          <w:tblCellMar>
            <w:top w:w="0" w:type="dxa"/>
            <w:left w:w="108" w:type="dxa"/>
            <w:bottom w:w="0" w:type="dxa"/>
            <w:right w:w="108" w:type="dxa"/>
          </w:tblCellMar>
        </w:tblPrEx>
        <w:trPr>
          <w:trHeight w:val="436" w:hRule="atLeast"/>
          <w:jc w:val="center"/>
        </w:trPr>
        <w:tc>
          <w:tcPr>
            <w:tcW w:w="219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非职工自然人股</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304</w:t>
            </w:r>
          </w:p>
        </w:tc>
        <w:tc>
          <w:tcPr>
            <w:tcW w:w="19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24316.77</w:t>
            </w:r>
          </w:p>
        </w:tc>
        <w:tc>
          <w:tcPr>
            <w:tcW w:w="25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40.67%</w:t>
            </w:r>
          </w:p>
        </w:tc>
      </w:tr>
      <w:tr>
        <w:tblPrEx>
          <w:tblLayout w:type="fixed"/>
          <w:tblCellMar>
            <w:top w:w="0" w:type="dxa"/>
            <w:left w:w="108" w:type="dxa"/>
            <w:bottom w:w="0" w:type="dxa"/>
            <w:right w:w="108" w:type="dxa"/>
          </w:tblCellMar>
        </w:tblPrEx>
        <w:trPr>
          <w:trHeight w:val="400" w:hRule="atLeast"/>
          <w:jc w:val="center"/>
        </w:trPr>
        <w:tc>
          <w:tcPr>
            <w:tcW w:w="219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职工自然人股</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196</w:t>
            </w:r>
          </w:p>
        </w:tc>
        <w:tc>
          <w:tcPr>
            <w:tcW w:w="19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5857.31</w:t>
            </w:r>
          </w:p>
        </w:tc>
        <w:tc>
          <w:tcPr>
            <w:tcW w:w="25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9.80%</w:t>
            </w:r>
          </w:p>
        </w:tc>
      </w:tr>
    </w:tbl>
    <w:p>
      <w:pPr>
        <w:widowControl/>
        <w:shd w:val="clear" w:color="auto" w:fill="FFFFFF"/>
        <w:tabs>
          <w:tab w:val="left" w:pos="630"/>
        </w:tabs>
        <w:spacing w:line="560" w:lineRule="exact"/>
        <w:ind w:firstLine="630" w:firstLineChars="196"/>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5.3</w:t>
      </w:r>
      <w:r>
        <w:rPr>
          <w:rFonts w:hint="eastAsia" w:ascii="仿宋_GB2312" w:hAnsi="宋体" w:eastAsia="仿宋_GB2312" w:cs="宋体"/>
          <w:b/>
          <w:color w:val="auto"/>
          <w:kern w:val="0"/>
          <w:sz w:val="32"/>
          <w:szCs w:val="32"/>
          <w:highlight w:val="none"/>
        </w:rPr>
        <w:t>最大十户股东及持股情况</w:t>
      </w:r>
    </w:p>
    <w:p>
      <w:pPr>
        <w:widowControl/>
        <w:shd w:val="clear" w:color="auto" w:fill="FFFFFF"/>
        <w:spacing w:line="560" w:lineRule="exact"/>
        <w:ind w:firstLine="640" w:firstLineChars="200"/>
        <w:jc w:val="left"/>
        <w:rPr>
          <w:rFonts w:ascii="宋体" w:eastAsia="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万股</w:t>
      </w:r>
    </w:p>
    <w:tbl>
      <w:tblPr>
        <w:tblStyle w:val="7"/>
        <w:tblW w:w="8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1"/>
        <w:gridCol w:w="1524"/>
        <w:gridCol w:w="133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3891"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股东名称</w:t>
            </w:r>
          </w:p>
        </w:tc>
        <w:tc>
          <w:tcPr>
            <w:tcW w:w="1524" w:type="dxa"/>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2024年末</w:t>
            </w:r>
          </w:p>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持股数额</w:t>
            </w:r>
          </w:p>
        </w:tc>
        <w:tc>
          <w:tcPr>
            <w:tcW w:w="133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持股比例（%）</w:t>
            </w:r>
          </w:p>
        </w:tc>
        <w:tc>
          <w:tcPr>
            <w:tcW w:w="1626" w:type="dxa"/>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较2023年末</w:t>
            </w:r>
          </w:p>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股权变动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江西瑞鼎精密传动有限公司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4934</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8.25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江西省喜洋洋苗木有限公司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3787</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6.34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江西华硕控股集团有限公司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3300</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5.52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江西瑞阳陶瓷有限责任公司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3040</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5.08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江西佳宇陶瓷有限公司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2987</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4.997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江西罗纳尔陶瓷集团有限公司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2419</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4.05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高安市瑞雪宾馆</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2294</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3.84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江西汇通实业有限公司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2232</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3.73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江西双林彩印包装有限公司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1567</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2.62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谌春阳</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1029</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1.72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合计</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27589</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46.15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2426</w:t>
            </w:r>
          </w:p>
        </w:tc>
      </w:tr>
    </w:tbl>
    <w:p>
      <w:pPr>
        <w:widowControl/>
        <w:shd w:val="clear" w:color="auto" w:fill="FFFFFF"/>
        <w:tabs>
          <w:tab w:val="left" w:pos="630"/>
        </w:tabs>
        <w:spacing w:line="480" w:lineRule="exact"/>
        <w:ind w:firstLine="643" w:firstLineChars="200"/>
        <w:jc w:val="left"/>
        <w:rPr>
          <w:rFonts w:ascii="宋体" w:hAnsi="Times New Roman" w:cs="宋体"/>
          <w:color w:val="auto"/>
          <w:kern w:val="0"/>
          <w:sz w:val="32"/>
          <w:szCs w:val="32"/>
          <w:highlight w:val="none"/>
        </w:rPr>
      </w:pPr>
      <w:r>
        <w:rPr>
          <w:rFonts w:ascii="仿宋_GB2312" w:hAnsi="宋体" w:eastAsia="仿宋_GB2312" w:cs="宋体"/>
          <w:b/>
          <w:color w:val="auto"/>
          <w:kern w:val="0"/>
          <w:sz w:val="32"/>
          <w:szCs w:val="32"/>
          <w:highlight w:val="none"/>
        </w:rPr>
        <w:t>5.4</w:t>
      </w:r>
      <w:r>
        <w:rPr>
          <w:rFonts w:hint="eastAsia" w:ascii="仿宋_GB2312" w:hAnsi="宋体" w:eastAsia="仿宋_GB2312" w:cs="宋体"/>
          <w:b/>
          <w:color w:val="auto"/>
          <w:kern w:val="0"/>
          <w:sz w:val="32"/>
          <w:szCs w:val="32"/>
          <w:highlight w:val="none"/>
        </w:rPr>
        <w:t>关联交易情况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本行在处理关联交易业务时，严格按照有关法律、法规以及本行的贷款程序和规定操作，定价按照不优于对非关联方同类交易的条件办理，符合诚信、公允原则。</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（1）重大关联交易情况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①本年度发生重大关联交易</w:t>
      </w:r>
      <w:r>
        <w:rPr>
          <w:rFonts w:ascii="仿宋_GB2312" w:hAnsi="宋体" w:eastAsia="仿宋_GB2312" w:cs="宋体"/>
          <w:color w:val="auto"/>
          <w:kern w:val="0"/>
          <w:sz w:val="32"/>
          <w:szCs w:val="32"/>
          <w:highlight w:val="none"/>
        </w:rPr>
        <w:t>1</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户，授信金额</w:t>
      </w:r>
      <w:r>
        <w:rPr>
          <w:rFonts w:hint="eastAsia" w:ascii="仿宋_GB2312" w:hAnsi="仿宋_GB2312" w:eastAsia="仿宋_GB2312" w:cs="仿宋_GB2312"/>
          <w:color w:val="auto"/>
          <w:kern w:val="0"/>
          <w:sz w:val="32"/>
          <w:szCs w:val="32"/>
          <w:highlight w:val="none"/>
          <w:lang w:val="en-US" w:eastAsia="zh-CN"/>
        </w:rPr>
        <w:t>54800</w:t>
      </w:r>
      <w:r>
        <w:rPr>
          <w:rFonts w:hint="eastAsia" w:ascii="仿宋_GB2312" w:hAnsi="宋体" w:eastAsia="仿宋_GB2312" w:cs="宋体"/>
          <w:color w:val="auto"/>
          <w:kern w:val="0"/>
          <w:sz w:val="32"/>
          <w:szCs w:val="32"/>
          <w:highlight w:val="none"/>
        </w:rPr>
        <w:t>万元，承兑汇票金额</w:t>
      </w:r>
      <w:r>
        <w:rPr>
          <w:rFonts w:hint="eastAsia" w:ascii="仿宋_GB2312" w:hAnsi="仿宋_GB2312" w:eastAsia="仿宋_GB2312" w:cs="仿宋_GB2312"/>
          <w:color w:val="auto"/>
          <w:kern w:val="0"/>
          <w:sz w:val="32"/>
          <w:szCs w:val="32"/>
          <w:highlight w:val="none"/>
          <w:lang w:val="en-US" w:eastAsia="zh-CN"/>
        </w:rPr>
        <w:t>7707.21</w:t>
      </w:r>
      <w:r>
        <w:rPr>
          <w:rFonts w:hint="eastAsia" w:ascii="仿宋_GB2312" w:hAnsi="宋体" w:eastAsia="仿宋_GB2312" w:cs="宋体"/>
          <w:color w:val="auto"/>
          <w:kern w:val="0"/>
          <w:sz w:val="32"/>
          <w:szCs w:val="32"/>
          <w:highlight w:val="none"/>
        </w:rPr>
        <w:t>万元，交易履行了相关程序。</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重大关联交易情况如下表：</w:t>
      </w:r>
    </w:p>
    <w:tbl>
      <w:tblPr>
        <w:tblStyle w:val="8"/>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410"/>
        <w:gridCol w:w="1418"/>
        <w:gridCol w:w="1486"/>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blHeader/>
        </w:trPr>
        <w:tc>
          <w:tcPr>
            <w:tcW w:w="77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关联方姓名</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贷款笔数</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贷款余额（万元）</w:t>
            </w:r>
          </w:p>
        </w:tc>
        <w:tc>
          <w:tcPr>
            <w:tcW w:w="162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承兑汇票金额（万元）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1</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高安鸿鹏混凝土建材有限公司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1400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2</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高安罗斯福陶瓷有限公司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8200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3</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高安市瑞雪宾馆</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10400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4</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江西沁园春陶瓷有限公司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1000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1"/>
                <w:szCs w:val="21"/>
                <w:highlight w:val="none"/>
              </w:rPr>
              <w:t>4644.18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5</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江西瑞源陶瓷有限公司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8500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1"/>
                <w:szCs w:val="21"/>
                <w:highlight w:val="none"/>
              </w:rPr>
              <w:t>3060.03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6</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江西省喜洋洋苗木有限公司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9000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7</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江西新景象陶瓷有限公司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3000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0"/>
                <w:szCs w:val="22"/>
                <w:highlight w:val="none"/>
                <w:lang w:val="en-US" w:eastAsia="zh-CN"/>
              </w:rPr>
              <w:t>8</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江西佳宇陶瓷有限公司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2700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widowControl/>
              <w:suppressLineNumbers w:val="0"/>
              <w:spacing w:before="0" w:beforeAutospacing="0" w:after="0" w:afterAutospacing="0"/>
              <w:ind w:left="0" w:right="0"/>
              <w:jc w:val="center"/>
              <w:textAlignment w:val="bottom"/>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0"/>
                <w:szCs w:val="22"/>
                <w:highlight w:val="none"/>
                <w:lang w:val="en-US" w:eastAsia="zh-CN"/>
              </w:rPr>
              <w:t>9</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江西瑞建安装工程有限公司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1800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widowControl/>
              <w:suppressLineNumbers w:val="0"/>
              <w:spacing w:before="0" w:beforeAutospacing="0" w:after="0" w:afterAutospacing="0"/>
              <w:ind w:left="0" w:right="0"/>
              <w:jc w:val="center"/>
              <w:textAlignment w:val="bottom"/>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0"/>
                <w:szCs w:val="22"/>
                <w:highlight w:val="none"/>
                <w:lang w:val="en-US" w:eastAsia="zh-CN"/>
              </w:rPr>
              <w:t>10</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江西瑞州建设集团有限公司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3000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widowControl/>
              <w:suppressLineNumbers w:val="0"/>
              <w:spacing w:before="0" w:beforeAutospacing="0" w:after="0" w:afterAutospacing="0"/>
              <w:ind w:left="0" w:right="0"/>
              <w:jc w:val="center"/>
              <w:textAlignment w:val="bottom"/>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11</w:t>
            </w:r>
          </w:p>
        </w:tc>
        <w:tc>
          <w:tcPr>
            <w:tcW w:w="341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贾宇</w:t>
            </w: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w:t>
            </w:r>
          </w:p>
        </w:tc>
        <w:tc>
          <w:tcPr>
            <w:tcW w:w="14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4000.00</w:t>
            </w:r>
          </w:p>
        </w:tc>
        <w:tc>
          <w:tcPr>
            <w:tcW w:w="162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12</w:t>
            </w:r>
          </w:p>
        </w:tc>
        <w:tc>
          <w:tcPr>
            <w:tcW w:w="341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龙正中</w:t>
            </w: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w:t>
            </w:r>
          </w:p>
        </w:tc>
        <w:tc>
          <w:tcPr>
            <w:tcW w:w="14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1800.00</w:t>
            </w:r>
          </w:p>
        </w:tc>
        <w:tc>
          <w:tcPr>
            <w:tcW w:w="162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13</w:t>
            </w:r>
          </w:p>
        </w:tc>
        <w:tc>
          <w:tcPr>
            <w:tcW w:w="3410" w:type="dxa"/>
            <w:vAlign w:val="bottom"/>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default" w:ascii="宋体" w:hAnsi="宋体" w:cs="宋体"/>
                <w:color w:val="auto"/>
                <w:kern w:val="0"/>
                <w:sz w:val="20"/>
                <w:szCs w:val="22"/>
                <w:highlight w:val="none"/>
                <w:lang w:val="en-US" w:eastAsia="zh-CN"/>
              </w:rPr>
              <w:t>江西瑞阳陶瓷有限责任公司</w:t>
            </w: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w:t>
            </w:r>
          </w:p>
        </w:tc>
        <w:tc>
          <w:tcPr>
            <w:tcW w:w="14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0"/>
                <w:szCs w:val="22"/>
                <w:highlight w:val="none"/>
                <w:lang w:val="en-US" w:eastAsia="zh-CN"/>
              </w:rPr>
            </w:pPr>
          </w:p>
        </w:tc>
        <w:tc>
          <w:tcPr>
            <w:tcW w:w="162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outlineLvl w:val="9"/>
              <w:rPr>
                <w:rFonts w:hint="eastAsia" w:ascii="仿宋_GB2312" w:hAnsi="宋体-PUA" w:eastAsia="仿宋_GB2312" w:cs="宋体-PUA"/>
                <w:color w:val="auto"/>
                <w:kern w:val="0"/>
                <w:sz w:val="24"/>
                <w:szCs w:val="24"/>
                <w:highlight w:val="none"/>
                <w:lang w:val="en-US" w:eastAsia="zh-CN"/>
              </w:rPr>
            </w:pPr>
          </w:p>
        </w:tc>
        <w:tc>
          <w:tcPr>
            <w:tcW w:w="341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eastAsia="zh-CN"/>
              </w:rPr>
              <w:t>合计</w:t>
            </w:r>
          </w:p>
        </w:tc>
        <w:tc>
          <w:tcPr>
            <w:tcW w:w="14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148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outlineLvl w:val="9"/>
              <w:rPr>
                <w:rFonts w:hint="default"/>
                <w:color w:val="auto"/>
                <w:sz w:val="24"/>
                <w:szCs w:val="24"/>
                <w:highlight w:val="none"/>
                <w:lang w:val="en-US"/>
              </w:rPr>
            </w:pPr>
            <w:r>
              <w:rPr>
                <w:rFonts w:hint="eastAsia" w:ascii="Times New Roman" w:eastAsia="宋体"/>
                <w:color w:val="auto"/>
                <w:sz w:val="24"/>
                <w:szCs w:val="24"/>
                <w:highlight w:val="none"/>
                <w:lang w:val="en-US" w:eastAsia="zh-CN"/>
              </w:rPr>
              <w:t>54800.00</w:t>
            </w:r>
          </w:p>
        </w:tc>
        <w:tc>
          <w:tcPr>
            <w:tcW w:w="16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2853.39</w:t>
            </w:r>
          </w:p>
        </w:tc>
      </w:tr>
    </w:tbl>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以上重大关联交易操作规范，没有发现违规交易，没有造成资金损失和流失。</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（2）一般关联交易情况</w:t>
      </w:r>
    </w:p>
    <w:p>
      <w:pPr>
        <w:widowControl/>
        <w:shd w:val="clear" w:color="auto" w:fill="FFFFFF"/>
        <w:spacing w:line="48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kern w:val="0"/>
          <w:sz w:val="32"/>
          <w:szCs w:val="32"/>
          <w:highlight w:val="none"/>
        </w:rPr>
        <w:t>①</w:t>
      </w:r>
      <w:r>
        <w:rPr>
          <w:rFonts w:hint="eastAsia" w:ascii="仿宋_GB2312" w:hAnsi="仿宋_GB2312" w:eastAsia="仿宋_GB2312" w:cs="仿宋_GB2312"/>
          <w:color w:val="auto"/>
          <w:sz w:val="32"/>
          <w:szCs w:val="32"/>
          <w:highlight w:val="none"/>
        </w:rPr>
        <w:t>本年度发生一般非自然人关联交易</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户，贷款余额23</w:t>
      </w:r>
      <w:r>
        <w:rPr>
          <w:rFonts w:hint="eastAsia" w:ascii="仿宋_GB2312" w:hAnsi="仿宋_GB2312" w:eastAsia="仿宋_GB2312" w:cs="仿宋_GB2312"/>
          <w:color w:val="auto"/>
          <w:sz w:val="32"/>
          <w:szCs w:val="32"/>
          <w:highlight w:val="none"/>
          <w:lang w:val="en-US" w:eastAsia="zh-CN"/>
        </w:rPr>
        <w:t>70</w:t>
      </w:r>
      <w:r>
        <w:rPr>
          <w:rFonts w:hint="eastAsia" w:ascii="仿宋_GB2312" w:hAnsi="仿宋_GB2312" w:eastAsia="仿宋_GB2312" w:cs="仿宋_GB2312"/>
          <w:color w:val="auto"/>
          <w:sz w:val="32"/>
          <w:szCs w:val="32"/>
          <w:highlight w:val="none"/>
        </w:rPr>
        <w:t>.00万元。交易履行了相关程序。</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一般非自然人关联交易情况如下表：</w:t>
      </w:r>
    </w:p>
    <w:tbl>
      <w:tblPr>
        <w:tblStyle w:val="8"/>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910"/>
        <w:gridCol w:w="1418"/>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blHeader/>
        </w:trPr>
        <w:tc>
          <w:tcPr>
            <w:tcW w:w="876" w:type="dxa"/>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序号</w:t>
            </w:r>
          </w:p>
        </w:tc>
        <w:tc>
          <w:tcPr>
            <w:tcW w:w="3910" w:type="dxa"/>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关联方姓名</w:t>
            </w:r>
          </w:p>
        </w:tc>
        <w:tc>
          <w:tcPr>
            <w:tcW w:w="1418" w:type="dxa"/>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贷款笔数</w:t>
            </w:r>
          </w:p>
        </w:tc>
        <w:tc>
          <w:tcPr>
            <w:tcW w:w="2294" w:type="dxa"/>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宋体-PUA" w:eastAsia="仿宋_GB2312" w:cs="宋体-PUA"/>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w:t>
            </w:r>
          </w:p>
        </w:tc>
        <w:tc>
          <w:tcPr>
            <w:tcW w:w="39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高安市辉阳建材有限公司</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auto"/>
                <w:kern w:val="0"/>
                <w:sz w:val="28"/>
                <w:szCs w:val="28"/>
                <w:highlight w:val="none"/>
                <w:u w:val="none"/>
                <w:lang w:val="en-US" w:eastAsia="zh-CN" w:bidi="ar"/>
              </w:rPr>
              <w:t>1</w:t>
            </w:r>
          </w:p>
        </w:tc>
        <w:tc>
          <w:tcPr>
            <w:tcW w:w="229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850</w:t>
            </w:r>
            <w:r>
              <w:rPr>
                <w:rFonts w:hint="eastAsia" w:ascii="宋体" w:hAnsi="宋体" w:cs="宋体"/>
                <w:i w:val="0"/>
                <w:iCs w:val="0"/>
                <w:color w:val="auto"/>
                <w:kern w:val="0"/>
                <w:sz w:val="22"/>
                <w:szCs w:val="22"/>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宋体-PUA" w:eastAsia="仿宋_GB2312" w:cs="宋体-PUA"/>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2</w:t>
            </w:r>
          </w:p>
        </w:tc>
        <w:tc>
          <w:tcPr>
            <w:tcW w:w="39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江西高安市厚德鑫实业有限公司</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auto"/>
                <w:kern w:val="0"/>
                <w:sz w:val="28"/>
                <w:szCs w:val="28"/>
                <w:highlight w:val="none"/>
                <w:u w:val="none"/>
                <w:lang w:val="en-US" w:eastAsia="zh-CN" w:bidi="ar"/>
              </w:rPr>
              <w:t>1</w:t>
            </w:r>
          </w:p>
        </w:tc>
        <w:tc>
          <w:tcPr>
            <w:tcW w:w="229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820</w:t>
            </w:r>
            <w:r>
              <w:rPr>
                <w:rFonts w:hint="eastAsia" w:ascii="宋体" w:hAnsi="宋体" w:cs="宋体"/>
                <w:i w:val="0"/>
                <w:iCs w:val="0"/>
                <w:color w:val="auto"/>
                <w:kern w:val="0"/>
                <w:sz w:val="22"/>
                <w:szCs w:val="22"/>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3</w:t>
            </w:r>
          </w:p>
        </w:tc>
        <w:tc>
          <w:tcPr>
            <w:tcW w:w="39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江西天润矿山装备有限公司</w:t>
            </w:r>
          </w:p>
        </w:tc>
        <w:tc>
          <w:tcPr>
            <w:tcW w:w="14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1</w:t>
            </w:r>
          </w:p>
        </w:tc>
        <w:tc>
          <w:tcPr>
            <w:tcW w:w="229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700</w:t>
            </w:r>
            <w:r>
              <w:rPr>
                <w:rFonts w:hint="eastAsia" w:ascii="宋体" w:hAnsi="宋体" w:cs="宋体"/>
                <w:i w:val="0"/>
                <w:iCs w:val="0"/>
                <w:color w:val="auto"/>
                <w:kern w:val="0"/>
                <w:sz w:val="22"/>
                <w:szCs w:val="22"/>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center"/>
              <w:outlineLvl w:val="9"/>
              <w:rPr>
                <w:rFonts w:hint="default" w:ascii="仿宋_GB2312" w:hAnsi="宋体-PUA" w:eastAsia="仿宋_GB2312" w:cs="宋体-PUA"/>
                <w:color w:val="auto"/>
                <w:kern w:val="0"/>
                <w:sz w:val="28"/>
                <w:szCs w:val="28"/>
                <w:highlight w:val="none"/>
              </w:rPr>
            </w:pPr>
          </w:p>
        </w:tc>
        <w:tc>
          <w:tcPr>
            <w:tcW w:w="391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center"/>
              <w:outlineLvl w:val="9"/>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合计</w:t>
            </w:r>
          </w:p>
        </w:tc>
        <w:tc>
          <w:tcPr>
            <w:tcW w:w="14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center"/>
              <w:outlineLvl w:val="9"/>
              <w:rPr>
                <w:rFonts w:hint="default" w:ascii="仿宋_GB2312" w:hAnsi="宋体-PUA" w:eastAsia="仿宋_GB2312" w:cs="宋体-PUA"/>
                <w:color w:val="auto"/>
                <w:kern w:val="0"/>
                <w:sz w:val="28"/>
                <w:szCs w:val="28"/>
                <w:highlight w:val="none"/>
              </w:rPr>
            </w:pPr>
          </w:p>
        </w:tc>
        <w:tc>
          <w:tcPr>
            <w:tcW w:w="229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2370</w:t>
            </w:r>
          </w:p>
        </w:tc>
      </w:tr>
    </w:tbl>
    <w:p>
      <w:pPr>
        <w:widowControl/>
        <w:shd w:val="clear" w:color="auto" w:fill="FFFFFF"/>
        <w:spacing w:line="48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②</w:t>
      </w:r>
      <w:r>
        <w:rPr>
          <w:rFonts w:hint="eastAsia" w:ascii="仿宋_GB2312" w:hAnsi="仿宋_GB2312" w:eastAsia="仿宋_GB2312" w:cs="仿宋_GB2312"/>
          <w:color w:val="auto"/>
          <w:sz w:val="32"/>
          <w:szCs w:val="32"/>
          <w:highlight w:val="none"/>
        </w:rPr>
        <w:t>本年度发生一般自然人关联交易1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户，贷款金额</w:t>
      </w:r>
      <w:r>
        <w:rPr>
          <w:rFonts w:hint="eastAsia" w:ascii="仿宋_GB2312" w:hAnsi="仿宋_GB2312" w:eastAsia="仿宋_GB2312" w:cs="仿宋_GB2312"/>
          <w:color w:val="auto"/>
          <w:sz w:val="32"/>
          <w:szCs w:val="32"/>
          <w:highlight w:val="none"/>
          <w:lang w:val="en-US" w:eastAsia="zh-CN"/>
        </w:rPr>
        <w:t>1895.13</w:t>
      </w:r>
      <w:r>
        <w:rPr>
          <w:rFonts w:hint="eastAsia" w:ascii="仿宋_GB2312" w:hAnsi="仿宋_GB2312" w:eastAsia="仿宋_GB2312" w:cs="仿宋_GB2312"/>
          <w:color w:val="auto"/>
          <w:sz w:val="32"/>
          <w:szCs w:val="32"/>
          <w:highlight w:val="none"/>
        </w:rPr>
        <w:t>万元。交易履行了相关程序。</w:t>
      </w:r>
    </w:p>
    <w:tbl>
      <w:tblPr>
        <w:tblStyle w:val="8"/>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2315"/>
        <w:gridCol w:w="1746"/>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blHeader/>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关联方姓名</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贷款笔数</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贷款余额（万元）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曹桂花</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程少勇</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付泽宇</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胡萍</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胡煜</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梁细梅</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刘超仁</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龙玲</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龙薇</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熊胜辉</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熊香莲</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徐欢</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13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center"/>
              <w:outlineLvl w:val="9"/>
              <w:rPr>
                <w:rFonts w:hint="default" w:ascii="仿宋_GB2312" w:hAnsi="宋体-PUA" w:eastAsia="仿宋_GB2312" w:cs="宋体-PUA"/>
                <w:color w:val="auto"/>
                <w:kern w:val="0"/>
                <w:sz w:val="28"/>
                <w:szCs w:val="28"/>
                <w:highlight w:val="none"/>
              </w:rPr>
            </w:pPr>
          </w:p>
        </w:tc>
        <w:tc>
          <w:tcPr>
            <w:tcW w:w="23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宋体-PUA" w:eastAsia="仿宋_GB2312" w:cs="宋体-PUA"/>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合计</w:t>
            </w:r>
          </w:p>
        </w:tc>
        <w:tc>
          <w:tcPr>
            <w:tcW w:w="17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center"/>
              <w:outlineLvl w:val="9"/>
              <w:rPr>
                <w:rFonts w:hint="default" w:ascii="仿宋_GB2312" w:hAnsi="宋体-PUA" w:eastAsia="仿宋_GB2312" w:cs="宋体-PUA"/>
                <w:b/>
                <w:bCs/>
                <w:color w:val="auto"/>
                <w:kern w:val="0"/>
                <w:sz w:val="28"/>
                <w:szCs w:val="28"/>
                <w:highlight w:val="none"/>
              </w:rPr>
            </w:pPr>
          </w:p>
        </w:tc>
        <w:tc>
          <w:tcPr>
            <w:tcW w:w="298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宋体-PUA" w:eastAsia="仿宋_GB2312" w:cs="宋体-PUA"/>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val="en-US" w:eastAsia="zh-CN"/>
              </w:rPr>
              <w:t>1895.13</w:t>
            </w:r>
            <w:bookmarkStart w:id="0" w:name="_GoBack"/>
            <w:bookmarkEnd w:id="0"/>
          </w:p>
        </w:tc>
      </w:tr>
    </w:tbl>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以上一般关联交易操作规范，没有发现违规交易，没有造成资金损失和流失。</w:t>
      </w:r>
    </w:p>
    <w:p>
      <w:pPr>
        <w:widowControl/>
        <w:shd w:val="clear" w:color="auto" w:fill="FFFFFF"/>
        <w:tabs>
          <w:tab w:val="left" w:pos="630"/>
        </w:tabs>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5.5</w:t>
      </w:r>
      <w:r>
        <w:rPr>
          <w:rFonts w:hint="eastAsia" w:ascii="仿宋_GB2312" w:hAnsi="宋体" w:eastAsia="仿宋_GB2312" w:cs="宋体"/>
          <w:b/>
          <w:color w:val="auto"/>
          <w:kern w:val="0"/>
          <w:sz w:val="32"/>
          <w:szCs w:val="32"/>
          <w:highlight w:val="none"/>
        </w:rPr>
        <w:t>被质押股权情况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年末，本行股本金总额为</w:t>
      </w:r>
      <w:r>
        <w:rPr>
          <w:rFonts w:hint="eastAsia" w:ascii="仿宋_GB2312" w:hAnsi="宋体" w:eastAsia="仿宋_GB2312" w:cs="宋体"/>
          <w:color w:val="auto"/>
          <w:kern w:val="0"/>
          <w:sz w:val="32"/>
          <w:szCs w:val="32"/>
          <w:highlight w:val="none"/>
          <w:lang w:val="en-US" w:eastAsia="zh-CN"/>
        </w:rPr>
        <w:t>59781.86</w:t>
      </w:r>
      <w:r>
        <w:rPr>
          <w:rFonts w:hint="eastAsia" w:ascii="仿宋_GB2312" w:hAnsi="宋体" w:eastAsia="仿宋_GB2312" w:cs="宋体"/>
          <w:color w:val="auto"/>
          <w:kern w:val="0"/>
          <w:sz w:val="32"/>
          <w:szCs w:val="32"/>
          <w:highlight w:val="none"/>
        </w:rPr>
        <w:t>万股，出质股权总额为</w:t>
      </w:r>
      <w:r>
        <w:rPr>
          <w:rFonts w:hint="eastAsia" w:ascii="仿宋_GB2312" w:hAnsi="宋体" w:eastAsia="仿宋_GB2312" w:cs="宋体"/>
          <w:color w:val="auto"/>
          <w:kern w:val="0"/>
          <w:sz w:val="32"/>
          <w:szCs w:val="32"/>
          <w:highlight w:val="none"/>
          <w:lang w:val="en-US" w:eastAsia="zh-CN"/>
        </w:rPr>
        <w:t>5187.34</w:t>
      </w:r>
      <w:r>
        <w:rPr>
          <w:rFonts w:hint="eastAsia" w:ascii="仿宋_GB2312" w:hAnsi="宋体" w:eastAsia="仿宋_GB2312" w:cs="宋体"/>
          <w:color w:val="auto"/>
          <w:kern w:val="0"/>
          <w:sz w:val="32"/>
          <w:szCs w:val="32"/>
          <w:highlight w:val="none"/>
        </w:rPr>
        <w:t>万股，出质股权占股本金总额的</w:t>
      </w:r>
      <w:r>
        <w:rPr>
          <w:rFonts w:hint="eastAsia" w:ascii="仿宋_GB2312" w:hAnsi="宋体" w:eastAsia="仿宋_GB2312" w:cs="宋体"/>
          <w:color w:val="auto"/>
          <w:kern w:val="0"/>
          <w:sz w:val="32"/>
          <w:szCs w:val="32"/>
          <w:highlight w:val="none"/>
          <w:lang w:val="en-US" w:eastAsia="zh-CN"/>
        </w:rPr>
        <w:t>8.68</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w:t>
      </w:r>
    </w:p>
    <w:p>
      <w:pPr>
        <w:widowControl/>
        <w:shd w:val="clear" w:color="auto" w:fill="FFFFFF"/>
        <w:tabs>
          <w:tab w:val="left" w:pos="630"/>
        </w:tabs>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5.6</w:t>
      </w:r>
      <w:r>
        <w:rPr>
          <w:rFonts w:hint="eastAsia" w:ascii="仿宋_GB2312" w:hAnsi="宋体" w:eastAsia="仿宋_GB2312" w:cs="宋体"/>
          <w:b/>
          <w:color w:val="auto"/>
          <w:kern w:val="0"/>
          <w:sz w:val="32"/>
          <w:szCs w:val="32"/>
          <w:highlight w:val="none"/>
        </w:rPr>
        <w:t>被质押股权涉及司法冻结情况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截至</w:t>
      </w: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年末，本行股</w:t>
      </w:r>
      <w:r>
        <w:rPr>
          <w:rFonts w:ascii="仿宋_GB2312" w:hAnsi="宋体" w:eastAsia="仿宋_GB2312" w:cs="宋体"/>
          <w:color w:val="auto"/>
          <w:kern w:val="0"/>
          <w:sz w:val="32"/>
          <w:szCs w:val="32"/>
          <w:highlight w:val="none"/>
        </w:rPr>
        <w:t>权均</w:t>
      </w:r>
      <w:r>
        <w:rPr>
          <w:rFonts w:hint="eastAsia" w:ascii="仿宋_GB2312" w:hAnsi="宋体" w:eastAsia="仿宋_GB2312" w:cs="宋体"/>
          <w:color w:val="auto"/>
          <w:kern w:val="0"/>
          <w:sz w:val="32"/>
          <w:szCs w:val="32"/>
          <w:highlight w:val="none"/>
        </w:rPr>
        <w:t>不</w:t>
      </w:r>
      <w:r>
        <w:rPr>
          <w:rFonts w:ascii="仿宋_GB2312" w:hAnsi="宋体" w:eastAsia="仿宋_GB2312" w:cs="宋体"/>
          <w:color w:val="auto"/>
          <w:kern w:val="0"/>
          <w:sz w:val="32"/>
          <w:szCs w:val="32"/>
          <w:highlight w:val="none"/>
        </w:rPr>
        <w:t>存在涉及司法</w:t>
      </w:r>
      <w:r>
        <w:rPr>
          <w:rFonts w:hint="eastAsia" w:ascii="仿宋_GB2312" w:hAnsi="宋体" w:eastAsia="仿宋_GB2312" w:cs="宋体"/>
          <w:color w:val="auto"/>
          <w:kern w:val="0"/>
          <w:sz w:val="32"/>
          <w:szCs w:val="32"/>
          <w:highlight w:val="none"/>
        </w:rPr>
        <w:t>冻结</w:t>
      </w:r>
      <w:r>
        <w:rPr>
          <w:rFonts w:ascii="仿宋_GB2312" w:hAnsi="宋体" w:eastAsia="仿宋_GB2312" w:cs="宋体"/>
          <w:color w:val="auto"/>
          <w:kern w:val="0"/>
          <w:sz w:val="32"/>
          <w:szCs w:val="32"/>
          <w:highlight w:val="none"/>
        </w:rPr>
        <w:t>情况。</w:t>
      </w:r>
    </w:p>
    <w:p>
      <w:pPr>
        <w:widowControl/>
        <w:shd w:val="clear" w:color="auto" w:fill="FFFFFF"/>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5.7</w:t>
      </w:r>
      <w:r>
        <w:rPr>
          <w:rFonts w:hint="eastAsia" w:ascii="仿宋_GB2312" w:hAnsi="宋体" w:eastAsia="仿宋_GB2312" w:cs="宋体"/>
          <w:b/>
          <w:color w:val="auto"/>
          <w:kern w:val="0"/>
          <w:sz w:val="32"/>
          <w:szCs w:val="32"/>
          <w:highlight w:val="none"/>
        </w:rPr>
        <w:t>主要股东及其</w:t>
      </w:r>
      <w:r>
        <w:rPr>
          <w:rFonts w:ascii="仿宋_GB2312" w:hAnsi="宋体" w:eastAsia="仿宋_GB2312" w:cs="宋体"/>
          <w:b/>
          <w:color w:val="auto"/>
          <w:kern w:val="0"/>
          <w:sz w:val="32"/>
          <w:szCs w:val="32"/>
          <w:highlight w:val="none"/>
        </w:rPr>
        <w:t>关联方的</w:t>
      </w:r>
      <w:r>
        <w:rPr>
          <w:rFonts w:hint="eastAsia" w:ascii="仿宋_GB2312" w:hAnsi="宋体" w:eastAsia="仿宋_GB2312" w:cs="宋体"/>
          <w:b/>
          <w:color w:val="auto"/>
          <w:kern w:val="0"/>
          <w:sz w:val="32"/>
          <w:szCs w:val="32"/>
          <w:highlight w:val="none"/>
        </w:rPr>
        <w:t>情况</w:t>
      </w:r>
    </w:p>
    <w:p>
      <w:pPr>
        <w:widowControl/>
        <w:shd w:val="clear" w:color="auto" w:fill="FFFFFF"/>
        <w:spacing w:line="48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w:t>
      </w:r>
      <w:r>
        <w:rPr>
          <w:rFonts w:hint="eastAsia" w:ascii="仿宋_GB2312" w:hAnsi="宋体" w:eastAsia="仿宋_GB2312" w:cs="宋体"/>
          <w:color w:val="auto"/>
          <w:kern w:val="0"/>
          <w:sz w:val="32"/>
          <w:szCs w:val="32"/>
          <w:highlight w:val="none"/>
          <w:lang w:eastAsia="zh-CN"/>
        </w:rPr>
        <w:t>本行</w:t>
      </w:r>
      <w:r>
        <w:rPr>
          <w:rFonts w:hint="eastAsia" w:ascii="仿宋_GB2312" w:hAnsi="宋体" w:eastAsia="仿宋_GB2312" w:cs="宋体"/>
          <w:color w:val="auto"/>
          <w:kern w:val="0"/>
          <w:sz w:val="32"/>
          <w:szCs w:val="32"/>
          <w:highlight w:val="none"/>
        </w:rPr>
        <w:t>主要股东户数为</w:t>
      </w:r>
      <w:r>
        <w:rPr>
          <w:rFonts w:hint="eastAsia" w:ascii="仿宋_GB2312" w:hAnsi="宋体" w:eastAsia="仿宋_GB2312" w:cs="宋体"/>
          <w:color w:val="auto"/>
          <w:kern w:val="0"/>
          <w:sz w:val="32"/>
          <w:szCs w:val="32"/>
          <w:highlight w:val="none"/>
          <w:lang w:val="en-US" w:eastAsia="zh-CN"/>
        </w:rPr>
        <w:t>10</w:t>
      </w:r>
      <w:r>
        <w:rPr>
          <w:rFonts w:hint="eastAsia" w:ascii="仿宋_GB2312" w:hAnsi="宋体" w:eastAsia="仿宋_GB2312" w:cs="宋体"/>
          <w:color w:val="auto"/>
          <w:kern w:val="0"/>
          <w:sz w:val="32"/>
          <w:szCs w:val="32"/>
          <w:highlight w:val="none"/>
        </w:rPr>
        <w:t>户，合计持股</w:t>
      </w:r>
      <w:r>
        <w:rPr>
          <w:rFonts w:hint="eastAsia" w:ascii="仿宋_GB2312" w:hAnsi="宋体" w:eastAsia="仿宋_GB2312" w:cs="宋体"/>
          <w:color w:val="auto"/>
          <w:kern w:val="0"/>
          <w:sz w:val="32"/>
          <w:szCs w:val="32"/>
          <w:highlight w:val="none"/>
          <w:lang w:val="en-US" w:eastAsia="zh-CN"/>
        </w:rPr>
        <w:t>20555</w:t>
      </w:r>
      <w:r>
        <w:rPr>
          <w:rFonts w:hint="eastAsia" w:ascii="仿宋_GB2312" w:hAnsi="宋体" w:eastAsia="仿宋_GB2312" w:cs="宋体"/>
          <w:color w:val="auto"/>
          <w:kern w:val="0"/>
          <w:sz w:val="32"/>
          <w:szCs w:val="32"/>
          <w:highlight w:val="none"/>
        </w:rPr>
        <w:t>万股，主要股东持股占比为</w:t>
      </w:r>
      <w:r>
        <w:rPr>
          <w:rFonts w:hint="eastAsia" w:ascii="仿宋_GB2312" w:hAnsi="宋体" w:eastAsia="仿宋_GB2312" w:cs="宋体"/>
          <w:color w:val="auto"/>
          <w:kern w:val="0"/>
          <w:sz w:val="32"/>
          <w:szCs w:val="32"/>
          <w:highlight w:val="none"/>
          <w:lang w:val="en-US" w:eastAsia="zh-CN"/>
        </w:rPr>
        <w:t>34.39</w:t>
      </w:r>
      <w:r>
        <w:rPr>
          <w:rFonts w:hint="eastAsia" w:ascii="仿宋_GB2312" w:hAnsi="宋体" w:eastAsia="仿宋_GB2312" w:cs="宋体"/>
          <w:color w:val="auto"/>
          <w:kern w:val="0"/>
          <w:sz w:val="32"/>
          <w:szCs w:val="32"/>
          <w:highlight w:val="none"/>
        </w:rPr>
        <w:t>%。主</w:t>
      </w:r>
      <w:r>
        <w:rPr>
          <w:rFonts w:ascii="仿宋_GB2312" w:hAnsi="宋体" w:eastAsia="仿宋_GB2312" w:cs="宋体"/>
          <w:color w:val="auto"/>
          <w:kern w:val="0"/>
          <w:sz w:val="32"/>
          <w:szCs w:val="32"/>
          <w:highlight w:val="none"/>
        </w:rPr>
        <w:t>要股东及其关联方情况如下：</w:t>
      </w:r>
    </w:p>
    <w:tbl>
      <w:tblPr>
        <w:tblStyle w:val="7"/>
        <w:tblW w:w="9120" w:type="dxa"/>
        <w:tblInd w:w="0" w:type="dxa"/>
        <w:shd w:val="clear" w:color="auto" w:fill="auto"/>
        <w:tblLayout w:type="fixed"/>
        <w:tblCellMar>
          <w:top w:w="0" w:type="dxa"/>
          <w:left w:w="0" w:type="dxa"/>
          <w:bottom w:w="0" w:type="dxa"/>
          <w:right w:w="0" w:type="dxa"/>
        </w:tblCellMar>
      </w:tblPr>
      <w:tblGrid>
        <w:gridCol w:w="1995"/>
        <w:gridCol w:w="2310"/>
        <w:gridCol w:w="2505"/>
        <w:gridCol w:w="2310"/>
      </w:tblGrid>
      <w:tr>
        <w:tblPrEx>
          <w:tblLayout w:type="fixed"/>
          <w:tblCellMar>
            <w:top w:w="0" w:type="dxa"/>
            <w:left w:w="0" w:type="dxa"/>
            <w:bottom w:w="0" w:type="dxa"/>
            <w:right w:w="0" w:type="dxa"/>
          </w:tblCellMar>
        </w:tblPrEx>
        <w:trPr>
          <w:trHeight w:val="60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主要股东名称</w:t>
            </w:r>
          </w:p>
        </w:tc>
        <w:tc>
          <w:tcPr>
            <w:tcW w:w="7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关联方</w:t>
            </w:r>
          </w:p>
        </w:tc>
      </w:tr>
      <w:tr>
        <w:tblPrEx>
          <w:shd w:val="clear" w:color="auto" w:fill="auto"/>
          <w:tblLayout w:type="fixed"/>
          <w:tblCellMar>
            <w:top w:w="0" w:type="dxa"/>
            <w:left w:w="0" w:type="dxa"/>
            <w:bottom w:w="0" w:type="dxa"/>
            <w:right w:w="0" w:type="dxa"/>
          </w:tblCellMar>
        </w:tblPrEx>
        <w:trPr>
          <w:trHeight w:val="315"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江西瑞鼎精密传动有限公司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付自强</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江玲</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江西瑞建安装工程有限公司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江西瑞州建设集团有限公司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赣州市瑞鑫建设工程有限公司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珠海市瑞州建筑工程有限公司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高安市瑞州房地产开发有限公司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江西省喜洋洋苗木有限公司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金沂宣</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陈媛</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60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江西华硕控股集团有限公司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王志洪</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江西美瑞陶瓷有限公司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高安市华洪建材供应有限公司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丁红</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江西华洪陶瓷有限公司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高安市华洁物业有限公司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江西华硕陶瓷集团有限公司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江西陶臣陶瓷有限公司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高安市华明房地产经纪有限公司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江西新景象陶瓷有限公司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江西家欣实业有限公司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高安市独城供销商贸大市场有限公司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江西高安市瑞酒有限责任公司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樟树市华硕置业有限公司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高安市华晨贸易有限公司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江西华硕实业投资有限公司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江西华硕尚家居科技有限公司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高安市精细化工有限责任公司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江西华硕建工集团有限公司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宜春市华硕置业有限公司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高安市酒类供销有限责任公司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江西华硕能源新材料有限公司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佛山市金风陶瓷有限公司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高安市瑞州旋窑水泥粉磨站有限公司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广东金管家新材料有限公司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佛山市新景象陶瓷科技有限公司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江西华硕建工集团混凝土有限公司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广东唐风陶瓷有限公司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江西华瑞新材料科技有限公司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江西精陶科技有限公司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佛山市新卓悦建材有限公司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江西华瑞新能源科技有限公司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江西瑞雪陶瓷有限公司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佛山市金管家臻品陶瓷有限公司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佛山市金品德陶瓷有限公司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江西省瑞州特种建材集团有限公司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佛山市新国宇陶瓷有限公司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佛山市瑞品建材有限公司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江西省泰王山泉饮料食品有限公司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佛山市美瑞斯克陶瓷有限公司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佛山市瑞雪苑陶瓷有限公司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江西鑫芳化工有限公司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佛山市锐杰陶瓷有限公司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高安市瑞州特种建材装卸有限公司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江西众硕创业投资管理有限公司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佛山市陶缘明陶瓷有限公司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江西华硕新材料科技有限公司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46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江西瑞阳陶瓷有限责任公司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陈一鸣</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左正根</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江西沁园春陶瓷有限公司</w:t>
            </w:r>
          </w:p>
        </w:tc>
      </w:tr>
      <w:tr>
        <w:tblPrEx>
          <w:shd w:val="clear" w:color="auto" w:fill="auto"/>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黄增贵</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熊香莲</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江西瑞源陶瓷有限公司</w:t>
            </w:r>
          </w:p>
        </w:tc>
      </w:tr>
      <w:tr>
        <w:tblPrEx>
          <w:shd w:val="clear" w:color="auto" w:fill="auto"/>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陈林</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罗国军</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高安源喆电能源有限公司</w:t>
            </w:r>
          </w:p>
        </w:tc>
      </w:tr>
      <w:tr>
        <w:tblPrEx>
          <w:tblLayout w:type="fixed"/>
          <w:tblCellMar>
            <w:top w:w="0" w:type="dxa"/>
            <w:left w:w="0" w:type="dxa"/>
            <w:bottom w:w="0" w:type="dxa"/>
            <w:right w:w="0" w:type="dxa"/>
          </w:tblCellMar>
        </w:tblPrEx>
        <w:trPr>
          <w:trHeight w:val="54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赵冬生</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高安市万瑞房地产开发有限公司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高安市贸泰进出口贸易有限公司</w:t>
            </w:r>
          </w:p>
        </w:tc>
      </w:tr>
      <w:tr>
        <w:tblPrEx>
          <w:shd w:val="clear" w:color="auto" w:fill="auto"/>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陈冬生</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高安瑞阳陶瓷有限公司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117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江西罗纳尔陶瓷集团有限公司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罗群</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佛山市罗牌陶瓷有限公司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江西金源陶瓷有限公司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罗友军</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高安福罗伦陶瓷有限公司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佛山市米兰特陶瓷有限公司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高安市盛发陶瓷销售有限公司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高安罗斯福陶瓷有限公司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佛山市友美子陶瓷有限公司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佛山市福罗伦陶瓷有限公司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江西中腾锂电材料有限公司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佛山市罗纳尔陶瓷有限公司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江西军宇新材料有限公司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885"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高安市瑞雪宾馆</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梁小梅</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高安市瑞雪城市综合体服务管理有限公司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王璟璐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梁双梅</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高安智成教育咨询有限公司</w:t>
            </w:r>
          </w:p>
        </w:tc>
      </w:tr>
      <w:tr>
        <w:tblPrEx>
          <w:shd w:val="clear" w:color="auto" w:fill="auto"/>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梁雪光</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梁四红</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高安市瑞雪房地产有限公司</w:t>
            </w:r>
          </w:p>
        </w:tc>
      </w:tr>
      <w:tr>
        <w:tblPrEx>
          <w:tblLayout w:type="fixed"/>
          <w:tblCellMar>
            <w:top w:w="0" w:type="dxa"/>
            <w:left w:w="0" w:type="dxa"/>
            <w:bottom w:w="0" w:type="dxa"/>
            <w:right w:w="0" w:type="dxa"/>
          </w:tblCellMar>
        </w:tblPrEx>
        <w:trPr>
          <w:trHeight w:val="30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熊南香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梁晶晶</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高安市拾年中餐厅</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梁细梅</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江西瑞雪酒店管理有限公司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60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梁小梅</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高安市瑞雪城市综合体服务管理有限公司</w:t>
            </w:r>
          </w:p>
        </w:tc>
      </w:tr>
      <w:tr>
        <w:tblPrEx>
          <w:shd w:val="clear" w:color="auto" w:fill="auto"/>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王璟璐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梁双梅</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高安智成教育咨询有限公司</w:t>
            </w:r>
          </w:p>
        </w:tc>
      </w:tr>
      <w:tr>
        <w:tblPrEx>
          <w:shd w:val="clear" w:color="auto" w:fill="auto"/>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梁雪光</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梁四红</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高安市瑞雪房地产有限公司</w:t>
            </w:r>
          </w:p>
        </w:tc>
      </w:tr>
      <w:tr>
        <w:tblPrEx>
          <w:shd w:val="clear" w:color="auto" w:fill="auto"/>
          <w:tblLayout w:type="fixed"/>
          <w:tblCellMar>
            <w:top w:w="0" w:type="dxa"/>
            <w:left w:w="0" w:type="dxa"/>
            <w:bottom w:w="0" w:type="dxa"/>
            <w:right w:w="0" w:type="dxa"/>
          </w:tblCellMar>
        </w:tblPrEx>
        <w:trPr>
          <w:trHeight w:val="30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熊南香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梁晶晶</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高安市拾年中餐厅</w:t>
            </w:r>
          </w:p>
        </w:tc>
      </w:tr>
      <w:tr>
        <w:tblPrEx>
          <w:shd w:val="clear" w:color="auto" w:fill="auto"/>
          <w:tblLayout w:type="fixed"/>
          <w:tblCellMar>
            <w:top w:w="0" w:type="dxa"/>
            <w:left w:w="0" w:type="dxa"/>
            <w:bottom w:w="0" w:type="dxa"/>
            <w:right w:w="0" w:type="dxa"/>
          </w:tblCellMar>
        </w:tblPrEx>
        <w:trPr>
          <w:trHeight w:val="57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梁细梅</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江西瑞雪酒店管理有限公司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85"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刘挺</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胡素萍</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蔡凤兰</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刘楠</w:t>
            </w:r>
          </w:p>
        </w:tc>
      </w:tr>
      <w:tr>
        <w:tblPrEx>
          <w:shd w:val="clear" w:color="auto" w:fill="auto"/>
          <w:tblLayout w:type="fixed"/>
          <w:tblCellMar>
            <w:top w:w="0" w:type="dxa"/>
            <w:left w:w="0" w:type="dxa"/>
            <w:bottom w:w="0" w:type="dxa"/>
            <w:right w:w="0" w:type="dxa"/>
          </w:tblCellMar>
        </w:tblPrEx>
        <w:trPr>
          <w:trHeight w:val="2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刘茂纪</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315"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王尔鹏</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段文君</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王天星</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王翊茗</w:t>
            </w:r>
          </w:p>
        </w:tc>
      </w:tr>
      <w:tr>
        <w:tblPrEx>
          <w:shd w:val="clear" w:color="auto" w:fill="auto"/>
          <w:tblLayout w:type="fixed"/>
          <w:tblCellMar>
            <w:top w:w="0" w:type="dxa"/>
            <w:left w:w="0" w:type="dxa"/>
            <w:bottom w:w="0" w:type="dxa"/>
            <w:right w:w="0" w:type="dxa"/>
          </w:tblCellMar>
        </w:tblPrEx>
        <w:trPr>
          <w:trHeight w:val="2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廖香花</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85"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何武纵</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严艳</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何丁花</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何宇烙</w:t>
            </w:r>
          </w:p>
        </w:tc>
      </w:tr>
    </w:tbl>
    <w:p>
      <w:pPr>
        <w:widowControl/>
        <w:shd w:val="clear" w:color="auto" w:fill="FFFFFF"/>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w:t>
      </w:r>
      <w:r>
        <w:rPr>
          <w:rFonts w:hint="eastAsia" w:ascii="仿宋_GB2312" w:hAnsi="宋体" w:eastAsia="仿宋_GB2312" w:cs="宋体"/>
          <w:b/>
          <w:color w:val="auto"/>
          <w:kern w:val="0"/>
          <w:sz w:val="32"/>
          <w:szCs w:val="32"/>
          <w:highlight w:val="none"/>
        </w:rPr>
        <w:t>8主要股东出质股权情况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年末，主要股东已办理股权质押的有</w:t>
      </w: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户，质押股权份额为</w:t>
      </w:r>
      <w:r>
        <w:rPr>
          <w:rFonts w:hint="eastAsia" w:ascii="仿宋_GB2312" w:hAnsi="宋体" w:eastAsia="仿宋_GB2312" w:cs="宋体"/>
          <w:color w:val="auto"/>
          <w:kern w:val="0"/>
          <w:sz w:val="32"/>
          <w:szCs w:val="32"/>
          <w:highlight w:val="none"/>
          <w:lang w:val="en-US" w:eastAsia="zh-CN"/>
        </w:rPr>
        <w:t>1380</w:t>
      </w:r>
      <w:r>
        <w:rPr>
          <w:rFonts w:hint="eastAsia" w:ascii="仿宋_GB2312" w:hAnsi="宋体" w:eastAsia="仿宋_GB2312" w:cs="宋体"/>
          <w:color w:val="auto"/>
          <w:kern w:val="0"/>
          <w:sz w:val="32"/>
          <w:szCs w:val="32"/>
          <w:highlight w:val="none"/>
        </w:rPr>
        <w:t>股，占主要股东股权总额的</w:t>
      </w:r>
      <w:r>
        <w:rPr>
          <w:rFonts w:hint="eastAsia" w:ascii="仿宋_GB2312" w:hAnsi="宋体" w:eastAsia="仿宋_GB2312" w:cs="宋体"/>
          <w:color w:val="auto"/>
          <w:kern w:val="0"/>
          <w:sz w:val="32"/>
          <w:szCs w:val="32"/>
          <w:highlight w:val="none"/>
          <w:lang w:val="en-US" w:eastAsia="zh-CN"/>
        </w:rPr>
        <w:t>6.71</w:t>
      </w:r>
      <w:r>
        <w:rPr>
          <w:rFonts w:hint="eastAsia" w:ascii="仿宋_GB2312" w:hAnsi="宋体" w:eastAsia="仿宋_GB2312" w:cs="宋体"/>
          <w:color w:val="auto"/>
          <w:kern w:val="0"/>
          <w:sz w:val="32"/>
          <w:szCs w:val="32"/>
          <w:highlight w:val="none"/>
        </w:rPr>
        <w:t>%。主要股东质押股权数量均</w:t>
      </w:r>
      <w:r>
        <w:rPr>
          <w:rFonts w:ascii="仿宋_GB2312" w:hAnsi="宋体" w:eastAsia="仿宋_GB2312" w:cs="宋体"/>
          <w:color w:val="auto"/>
          <w:kern w:val="0"/>
          <w:sz w:val="32"/>
          <w:szCs w:val="32"/>
          <w:highlight w:val="none"/>
        </w:rPr>
        <w:t>未</w:t>
      </w:r>
      <w:r>
        <w:rPr>
          <w:rFonts w:hint="eastAsia" w:ascii="仿宋_GB2312" w:hAnsi="宋体" w:eastAsia="仿宋_GB2312" w:cs="宋体"/>
          <w:color w:val="auto"/>
          <w:kern w:val="0"/>
          <w:sz w:val="32"/>
          <w:szCs w:val="32"/>
          <w:highlight w:val="none"/>
        </w:rPr>
        <w:t>超过其持有股权数量的</w:t>
      </w:r>
      <w:r>
        <w:rPr>
          <w:rFonts w:ascii="仿宋_GB2312" w:hAnsi="宋体" w:eastAsia="仿宋_GB2312" w:cs="宋体"/>
          <w:color w:val="auto"/>
          <w:kern w:val="0"/>
          <w:sz w:val="32"/>
          <w:szCs w:val="32"/>
          <w:highlight w:val="none"/>
        </w:rPr>
        <w:t>50%</w:t>
      </w:r>
      <w:r>
        <w:rPr>
          <w:rFonts w:hint="eastAsia" w:ascii="仿宋_GB2312" w:hAnsi="宋体" w:eastAsia="仿宋_GB2312" w:cs="宋体"/>
          <w:color w:val="auto"/>
          <w:kern w:val="0"/>
          <w:sz w:val="32"/>
          <w:szCs w:val="32"/>
          <w:highlight w:val="none"/>
        </w:rPr>
        <w:t>。</w:t>
      </w:r>
    </w:p>
    <w:p>
      <w:pPr>
        <w:widowControl/>
        <w:shd w:val="clear" w:color="auto" w:fill="FFFFFF"/>
        <w:spacing w:line="360" w:lineRule="exact"/>
        <w:ind w:firstLine="640" w:firstLineChars="200"/>
        <w:jc w:val="righ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单位：人民币</w:t>
      </w: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万股</w:t>
      </w:r>
    </w:p>
    <w:tbl>
      <w:tblPr>
        <w:tblStyle w:val="7"/>
        <w:tblW w:w="8357" w:type="dxa"/>
        <w:jc w:val="center"/>
        <w:tblInd w:w="0" w:type="dxa"/>
        <w:shd w:val="clear" w:color="auto" w:fill="auto"/>
        <w:tblLayout w:type="fixed"/>
        <w:tblCellMar>
          <w:top w:w="0" w:type="dxa"/>
          <w:left w:w="0" w:type="dxa"/>
          <w:bottom w:w="0" w:type="dxa"/>
          <w:right w:w="0" w:type="dxa"/>
        </w:tblCellMar>
      </w:tblPr>
      <w:tblGrid>
        <w:gridCol w:w="2161"/>
        <w:gridCol w:w="1039"/>
        <w:gridCol w:w="1165"/>
        <w:gridCol w:w="1281"/>
        <w:gridCol w:w="1038"/>
        <w:gridCol w:w="796"/>
        <w:gridCol w:w="877"/>
      </w:tblGrid>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股东名称</w:t>
            </w:r>
          </w:p>
        </w:tc>
        <w:tc>
          <w:tcPr>
            <w:tcW w:w="10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2"/>
                <w:szCs w:val="22"/>
                <w:highlight w:val="none"/>
                <w:u w:val="none"/>
              </w:rPr>
            </w:pPr>
            <w:r>
              <w:rPr>
                <w:rFonts w:hint="eastAsia" w:ascii="黑体" w:hAnsi="宋体" w:eastAsia="黑体" w:cs="黑体"/>
                <w:b/>
                <w:i w:val="0"/>
                <w:color w:val="auto"/>
                <w:kern w:val="0"/>
                <w:sz w:val="22"/>
                <w:szCs w:val="22"/>
                <w:highlight w:val="none"/>
                <w:u w:val="none"/>
                <w:lang w:val="en-US" w:eastAsia="zh-CN" w:bidi="ar"/>
              </w:rPr>
              <w:t>被派驻人名称</w:t>
            </w:r>
          </w:p>
        </w:tc>
        <w:tc>
          <w:tcPr>
            <w:tcW w:w="11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担任职务</w:t>
            </w:r>
          </w:p>
        </w:tc>
        <w:tc>
          <w:tcPr>
            <w:tcW w:w="128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持股数额</w:t>
            </w:r>
          </w:p>
        </w:tc>
        <w:tc>
          <w:tcPr>
            <w:tcW w:w="103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持股比例%</w:t>
            </w:r>
          </w:p>
        </w:tc>
        <w:tc>
          <w:tcPr>
            <w:tcW w:w="7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股权质押数额</w:t>
            </w:r>
          </w:p>
        </w:tc>
        <w:tc>
          <w:tcPr>
            <w:tcW w:w="87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质押比例%</w:t>
            </w: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江西瑞鼎精密传动有限公司</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付自强</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4934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8.25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江西省喜洋洋苗木有限公司</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3787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6.34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江西华硕控股集团有限公司</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王志洪</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3300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5.52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585" w:hRule="atLeast"/>
          <w:jc w:val="center"/>
        </w:trPr>
        <w:tc>
          <w:tcPr>
            <w:tcW w:w="2161"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江西瑞阳陶瓷有限责任公司</w:t>
            </w:r>
          </w:p>
        </w:tc>
        <w:tc>
          <w:tcPr>
            <w:tcW w:w="103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陈一鸣</w:t>
            </w:r>
          </w:p>
        </w:tc>
        <w:tc>
          <w:tcPr>
            <w:tcW w:w="116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28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3040 </w:t>
            </w:r>
          </w:p>
        </w:tc>
        <w:tc>
          <w:tcPr>
            <w:tcW w:w="1038"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5.08 </w:t>
            </w:r>
          </w:p>
        </w:tc>
        <w:tc>
          <w:tcPr>
            <w:tcW w:w="796"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江西罗纳尔陶瓷集团有限公司</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罗群</w:t>
            </w:r>
          </w:p>
        </w:tc>
        <w:tc>
          <w:tcPr>
            <w:tcW w:w="11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2419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4.05 </w:t>
            </w:r>
          </w:p>
        </w:tc>
        <w:tc>
          <w:tcPr>
            <w:tcW w:w="7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1100</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45.48</w:t>
            </w:r>
          </w:p>
        </w:tc>
      </w:tr>
      <w:tr>
        <w:tblPrEx>
          <w:shd w:val="clear" w:color="auto" w:fill="auto"/>
          <w:tblLayout w:type="fixed"/>
          <w:tblCellMar>
            <w:top w:w="0" w:type="dxa"/>
            <w:left w:w="0" w:type="dxa"/>
            <w:bottom w:w="0" w:type="dxa"/>
            <w:right w:w="0" w:type="dxa"/>
          </w:tblCellMar>
        </w:tblPrEx>
        <w:trPr>
          <w:trHeight w:val="300" w:hRule="atLeast"/>
          <w:jc w:val="center"/>
        </w:trPr>
        <w:tc>
          <w:tcPr>
            <w:tcW w:w="2161"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高安市瑞雪宾馆</w:t>
            </w:r>
          </w:p>
        </w:tc>
        <w:tc>
          <w:tcPr>
            <w:tcW w:w="1039"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16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2294 </w:t>
            </w:r>
          </w:p>
        </w:tc>
        <w:tc>
          <w:tcPr>
            <w:tcW w:w="1038"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3.84 </w:t>
            </w:r>
          </w:p>
        </w:tc>
        <w:tc>
          <w:tcPr>
            <w:tcW w:w="796"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628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1.05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280</w:t>
            </w: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44.56</w:t>
            </w:r>
          </w:p>
        </w:tc>
      </w:tr>
      <w:tr>
        <w:tblPrEx>
          <w:shd w:val="clear" w:color="auto" w:fill="auto"/>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刘挺</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刘挺</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29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0.05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王尔鹏</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王尔鹏</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64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0.11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何武纵</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何武纵</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61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0.10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合计</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20555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34.39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1380 </w:t>
            </w: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6.71 </w:t>
            </w:r>
          </w:p>
        </w:tc>
      </w:tr>
    </w:tbl>
    <w:p>
      <w:pPr>
        <w:widowControl/>
        <w:shd w:val="clear" w:color="auto" w:fill="FFFFFF"/>
        <w:spacing w:line="560" w:lineRule="exact"/>
        <w:ind w:firstLine="643" w:firstLineChars="200"/>
        <w:jc w:val="left"/>
        <w:rPr>
          <w:rFonts w:hint="eastAsia" w:ascii="黑体" w:hAnsi="宋体" w:eastAsia="黑体" w:cs="宋体"/>
          <w:color w:val="auto"/>
          <w:kern w:val="0"/>
          <w:sz w:val="32"/>
          <w:szCs w:val="32"/>
          <w:highlight w:val="none"/>
        </w:rPr>
      </w:pPr>
      <w:r>
        <w:rPr>
          <w:rFonts w:ascii="仿宋_GB2312" w:hAnsi="宋体" w:eastAsia="仿宋_GB2312" w:cs="宋体"/>
          <w:b/>
          <w:color w:val="auto"/>
          <w:kern w:val="0"/>
          <w:sz w:val="32"/>
          <w:szCs w:val="32"/>
          <w:highlight w:val="none"/>
        </w:rPr>
        <w:t>5.</w:t>
      </w:r>
      <w:r>
        <w:rPr>
          <w:rFonts w:hint="eastAsia" w:ascii="仿宋_GB2312" w:hAnsi="宋体" w:eastAsia="仿宋_GB2312" w:cs="宋体"/>
          <w:b/>
          <w:color w:val="auto"/>
          <w:kern w:val="0"/>
          <w:sz w:val="32"/>
          <w:szCs w:val="32"/>
          <w:highlight w:val="none"/>
          <w:lang w:val="en-US" w:eastAsia="zh-CN"/>
        </w:rPr>
        <w:t>9持股1%及以上股东信息及承诺情况</w:t>
      </w:r>
    </w:p>
    <w:p>
      <w:pPr>
        <w:widowControl/>
        <w:shd w:val="clear" w:color="auto" w:fill="FFFFFF"/>
        <w:spacing w:line="560" w:lineRule="exact"/>
        <w:ind w:firstLine="643" w:firstLineChars="200"/>
        <w:jc w:val="left"/>
        <w:rPr>
          <w:rFonts w:hint="eastAsia" w:ascii="仿宋_GB2312" w:hAnsi="宋体" w:eastAsia="仿宋_GB2312" w:cs="宋体"/>
          <w:b/>
          <w:color w:val="auto"/>
          <w:kern w:val="0"/>
          <w:sz w:val="32"/>
          <w:szCs w:val="32"/>
          <w:highlight w:val="none"/>
          <w:lang w:eastAsia="zh-CN"/>
        </w:rPr>
      </w:pPr>
      <w:r>
        <w:rPr>
          <w:rFonts w:hint="eastAsia" w:ascii="仿宋_GB2312" w:hAnsi="宋体" w:eastAsia="仿宋_GB2312" w:cs="宋体"/>
          <w:b/>
          <w:color w:val="auto"/>
          <w:kern w:val="0"/>
          <w:sz w:val="32"/>
          <w:szCs w:val="32"/>
          <w:highlight w:val="none"/>
          <w:lang w:val="en-US" w:eastAsia="zh-CN"/>
        </w:rPr>
        <w:t>(1)</w:t>
      </w:r>
      <w:r>
        <w:rPr>
          <w:rFonts w:hint="eastAsia" w:ascii="仿宋_GB2312" w:hAnsi="宋体" w:eastAsia="仿宋_GB2312" w:cs="宋体"/>
          <w:b/>
          <w:color w:val="auto"/>
          <w:kern w:val="0"/>
          <w:sz w:val="32"/>
          <w:szCs w:val="32"/>
          <w:highlight w:val="none"/>
          <w:lang w:eastAsia="zh-CN"/>
        </w:rPr>
        <w:t>持股1%及以上股东相关信息</w:t>
      </w:r>
    </w:p>
    <w:p>
      <w:pPr>
        <w:widowControl/>
        <w:shd w:val="clear" w:color="auto" w:fill="FFFFFF"/>
        <w:spacing w:line="560" w:lineRule="exact"/>
        <w:ind w:firstLine="560" w:firstLineChars="200"/>
        <w:jc w:val="left"/>
        <w:rPr>
          <w:rFonts w:ascii="宋体" w:hAnsi="Times New Roman" w:cs="宋体"/>
          <w:color w:val="auto"/>
          <w:kern w:val="0"/>
          <w:sz w:val="24"/>
          <w:szCs w:val="24"/>
          <w:highlight w:val="none"/>
        </w:rPr>
      </w:pP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lang w:val="en-US" w:eastAsia="zh-CN"/>
        </w:rPr>
        <w:t xml:space="preserve">                                   </w:t>
      </w:r>
      <w:r>
        <w:rPr>
          <w:rFonts w:hint="eastAsia" w:ascii="仿宋_GB2312" w:hAnsi="宋体" w:eastAsia="仿宋_GB2312" w:cs="宋体"/>
          <w:color w:val="auto"/>
          <w:kern w:val="0"/>
          <w:sz w:val="24"/>
          <w:szCs w:val="24"/>
          <w:highlight w:val="none"/>
        </w:rPr>
        <w:t>单位：人民币</w:t>
      </w:r>
      <w:r>
        <w:rPr>
          <w:rFonts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t>万股</w:t>
      </w:r>
    </w:p>
    <w:tbl>
      <w:tblPr>
        <w:tblStyle w:val="7"/>
        <w:tblW w:w="7871" w:type="dxa"/>
        <w:jc w:val="center"/>
        <w:tblInd w:w="0" w:type="dxa"/>
        <w:shd w:val="clear" w:color="auto" w:fill="auto"/>
        <w:tblLayout w:type="fixed"/>
        <w:tblCellMar>
          <w:top w:w="0" w:type="dxa"/>
          <w:left w:w="0" w:type="dxa"/>
          <w:bottom w:w="0" w:type="dxa"/>
          <w:right w:w="0" w:type="dxa"/>
        </w:tblCellMar>
      </w:tblPr>
      <w:tblGrid>
        <w:gridCol w:w="2494"/>
        <w:gridCol w:w="1200"/>
        <w:gridCol w:w="1316"/>
        <w:gridCol w:w="1488"/>
        <w:gridCol w:w="1373"/>
      </w:tblGrid>
      <w:tr>
        <w:tblPrEx>
          <w:tblLayout w:type="fixed"/>
          <w:tblCellMar>
            <w:top w:w="0" w:type="dxa"/>
            <w:left w:w="0" w:type="dxa"/>
            <w:bottom w:w="0" w:type="dxa"/>
            <w:right w:w="0" w:type="dxa"/>
          </w:tblCellMar>
        </w:tblPrEx>
        <w:trPr>
          <w:trHeight w:val="600" w:hRule="atLeast"/>
          <w:jc w:val="center"/>
        </w:trPr>
        <w:tc>
          <w:tcPr>
            <w:tcW w:w="249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股东名称</w:t>
            </w:r>
          </w:p>
        </w:tc>
        <w:tc>
          <w:tcPr>
            <w:tcW w:w="120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2024年末</w:t>
            </w:r>
          </w:p>
        </w:tc>
        <w:tc>
          <w:tcPr>
            <w:tcW w:w="131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持股比例（%）</w:t>
            </w:r>
          </w:p>
        </w:tc>
        <w:tc>
          <w:tcPr>
            <w:tcW w:w="148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较2023年末</w:t>
            </w:r>
          </w:p>
        </w:tc>
        <w:tc>
          <w:tcPr>
            <w:tcW w:w="137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相关承诺书</w:t>
            </w:r>
          </w:p>
        </w:tc>
      </w:tr>
      <w:tr>
        <w:tblPrEx>
          <w:shd w:val="clear" w:color="auto" w:fill="auto"/>
          <w:tblLayout w:type="fixed"/>
          <w:tblCellMar>
            <w:top w:w="0" w:type="dxa"/>
            <w:left w:w="0" w:type="dxa"/>
            <w:bottom w:w="0" w:type="dxa"/>
            <w:right w:w="0" w:type="dxa"/>
          </w:tblCellMar>
        </w:tblPrEx>
        <w:trPr>
          <w:trHeight w:val="312" w:hRule="atLeast"/>
          <w:jc w:val="center"/>
        </w:trPr>
        <w:tc>
          <w:tcPr>
            <w:tcW w:w="249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c>
          <w:tcPr>
            <w:tcW w:w="120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c>
          <w:tcPr>
            <w:tcW w:w="131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c>
          <w:tcPr>
            <w:tcW w:w="148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c>
          <w:tcPr>
            <w:tcW w:w="137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江西瑞鼎精密传动有限公司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4934</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8.25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江西省喜洋洋苗木有限公司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3787</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6.34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江西华硕控股集团有限公司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3300</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5.52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江西瑞阳陶瓷有限责任公司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3040</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5.08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江西佳宇陶瓷有限公司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2987</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5.00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132</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江西罗纳尔陶瓷集团有限公司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2419</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4.05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高安市瑞雪宾馆</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2294</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3.84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2294</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江西汇通实业有限公司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2232</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3.73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江西双林彩印包装有限公司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1567</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2.62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谌春阳</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1029</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1.72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罗嗣虎</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919</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1.54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江西正通投资发展集团有限公司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793</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1.33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-53</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雷亮</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786</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1.31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628</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1.05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shd w:val="clear" w:color="auto" w:fill="auto"/>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合计</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30715</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51.38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2373</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highlight w:val="none"/>
                <w:u w:val="none"/>
              </w:rPr>
            </w:pPr>
          </w:p>
        </w:tc>
      </w:tr>
    </w:tbl>
    <w:p>
      <w:pPr>
        <w:widowControl/>
        <w:shd w:val="clear" w:color="auto" w:fill="FFFFFF"/>
        <w:spacing w:line="560" w:lineRule="exact"/>
        <w:ind w:firstLine="643" w:firstLineChars="200"/>
        <w:jc w:val="left"/>
        <w:rPr>
          <w:rFonts w:hint="eastAsia" w:ascii="仿宋_GB2312" w:hAnsi="宋体" w:eastAsia="仿宋_GB2312" w:cs="宋体"/>
          <w:b/>
          <w:color w:val="auto"/>
          <w:kern w:val="0"/>
          <w:sz w:val="32"/>
          <w:szCs w:val="32"/>
          <w:highlight w:val="none"/>
          <w:lang w:val="en-US" w:eastAsia="zh-CN"/>
        </w:rPr>
      </w:pPr>
      <w:r>
        <w:rPr>
          <w:rFonts w:hint="eastAsia" w:ascii="仿宋_GB2312" w:hAnsi="宋体" w:eastAsia="仿宋_GB2312" w:cs="宋体"/>
          <w:b/>
          <w:color w:val="auto"/>
          <w:kern w:val="0"/>
          <w:sz w:val="32"/>
          <w:szCs w:val="32"/>
          <w:highlight w:val="none"/>
          <w:lang w:val="en-US" w:eastAsia="zh-CN"/>
        </w:rPr>
        <w:t>(2)持股1%及以上股东承诺情况</w:t>
      </w:r>
    </w:p>
    <w:p>
      <w:pPr>
        <w:widowControl/>
        <w:shd w:val="clear" w:color="auto" w:fill="FFFFFF"/>
        <w:spacing w:line="480" w:lineRule="exact"/>
        <w:ind w:firstLine="640" w:firstLineChars="200"/>
        <w:jc w:val="left"/>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以上持股1%及以上股东已向本行出具了“遵守法律法规、监管规定和本行章程；入股资金来源真实合法，均为自有资金；持续补充资本；不谋求优于其他股东的关联交易；不干预银行日常经营事务；支持本行“支农支小”金融服务；依法对本行履行诚信义务；提交的股东资料真实、完整、有效”等书面声明和承诺。</w:t>
      </w:r>
    </w:p>
    <w:p>
      <w:pPr>
        <w:widowControl/>
        <w:shd w:val="clear" w:color="auto" w:fill="FFFFFF"/>
        <w:spacing w:line="56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六、风险管理情况</w:t>
      </w:r>
    </w:p>
    <w:p>
      <w:pPr>
        <w:widowControl/>
        <w:shd w:val="clear" w:color="auto" w:fill="FFFFFF"/>
        <w:tabs>
          <w:tab w:val="left" w:pos="630"/>
        </w:tabs>
        <w:spacing w:line="440" w:lineRule="exact"/>
        <w:ind w:left="7015" w:leftChars="284" w:hanging="6419" w:hangingChars="1998"/>
        <w:jc w:val="left"/>
        <w:rPr>
          <w:rFonts w:hint="eastAsia" w:ascii="仿宋_GB2312" w:hAnsi="宋体" w:eastAsia="仿宋_GB2312" w:cs="宋体"/>
          <w:color w:val="auto"/>
          <w:kern w:val="0"/>
          <w:sz w:val="32"/>
          <w:szCs w:val="32"/>
          <w:highlight w:val="none"/>
          <w:lang w:eastAsia="zh-CN"/>
        </w:rPr>
      </w:pPr>
      <w:r>
        <w:rPr>
          <w:rFonts w:ascii="仿宋_GB2312" w:hAnsi="宋体" w:eastAsia="仿宋_GB2312" w:cs="宋体"/>
          <w:b/>
          <w:color w:val="auto"/>
          <w:kern w:val="0"/>
          <w:sz w:val="32"/>
          <w:szCs w:val="32"/>
          <w:highlight w:val="none"/>
        </w:rPr>
        <w:t>6.1</w:t>
      </w:r>
      <w:r>
        <w:rPr>
          <w:rFonts w:hint="eastAsia" w:ascii="仿宋_GB2312" w:hAnsi="宋体" w:eastAsia="仿宋_GB2312" w:cs="宋体"/>
          <w:b/>
          <w:color w:val="auto"/>
          <w:kern w:val="0"/>
          <w:sz w:val="32"/>
          <w:szCs w:val="32"/>
          <w:highlight w:val="none"/>
        </w:rPr>
        <w:t>主要监管指标情况</w:t>
      </w:r>
    </w:p>
    <w:p>
      <w:pPr>
        <w:widowControl/>
        <w:shd w:val="clear" w:color="auto" w:fill="FFFFFF"/>
        <w:tabs>
          <w:tab w:val="left" w:pos="630"/>
        </w:tabs>
        <w:spacing w:line="440" w:lineRule="exact"/>
        <w:ind w:left="6989" w:leftChars="284" w:hanging="6393" w:hangingChars="1998"/>
        <w:jc w:val="left"/>
        <w:rPr>
          <w:rFonts w:ascii="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单位：</w:t>
      </w:r>
      <w:r>
        <w:rPr>
          <w:rFonts w:ascii="仿宋_GB2312" w:hAnsi="宋体" w:eastAsia="仿宋_GB2312" w:cs="宋体"/>
          <w:color w:val="auto"/>
          <w:kern w:val="0"/>
          <w:sz w:val="32"/>
          <w:szCs w:val="32"/>
          <w:highlight w:val="none"/>
        </w:rPr>
        <w:t>%</w:t>
      </w:r>
    </w:p>
    <w:tbl>
      <w:tblPr>
        <w:tblStyle w:val="7"/>
        <w:tblW w:w="8280" w:type="dxa"/>
        <w:jc w:val="center"/>
        <w:tblInd w:w="0" w:type="dxa"/>
        <w:tblLayout w:type="fixed"/>
        <w:tblCellMar>
          <w:top w:w="0" w:type="dxa"/>
          <w:left w:w="108" w:type="dxa"/>
          <w:bottom w:w="0" w:type="dxa"/>
          <w:right w:w="108" w:type="dxa"/>
        </w:tblCellMar>
      </w:tblPr>
      <w:tblGrid>
        <w:gridCol w:w="3420"/>
        <w:gridCol w:w="2700"/>
        <w:gridCol w:w="2160"/>
      </w:tblGrid>
      <w:tr>
        <w:tblPrEx>
          <w:tblLayout w:type="fixed"/>
          <w:tblCellMar>
            <w:top w:w="0" w:type="dxa"/>
            <w:left w:w="108" w:type="dxa"/>
            <w:bottom w:w="0" w:type="dxa"/>
            <w:right w:w="108" w:type="dxa"/>
          </w:tblCellMar>
        </w:tblPrEx>
        <w:trPr>
          <w:trHeight w:val="648"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202</w:t>
            </w:r>
            <w:r>
              <w:rPr>
                <w:rFonts w:hint="eastAsia" w:ascii="黑体" w:hAnsi="黑体" w:eastAsia="黑体" w:cs="黑体"/>
                <w:b/>
                <w:color w:val="auto"/>
                <w:kern w:val="0"/>
                <w:sz w:val="28"/>
                <w:szCs w:val="28"/>
                <w:highlight w:val="none"/>
                <w:lang w:val="en-US" w:eastAsia="zh-CN"/>
              </w:rPr>
              <w:t>4</w:t>
            </w:r>
            <w:r>
              <w:rPr>
                <w:rFonts w:hint="eastAsia" w:ascii="黑体" w:hAnsi="黑体" w:eastAsia="黑体" w:cs="黑体"/>
                <w:b/>
                <w:color w:val="auto"/>
                <w:kern w:val="0"/>
                <w:sz w:val="28"/>
                <w:szCs w:val="28"/>
                <w:highlight w:val="none"/>
              </w:rPr>
              <w:t>年末</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监管要求</w:t>
            </w:r>
          </w:p>
        </w:tc>
      </w:tr>
      <w:tr>
        <w:tblPrEx>
          <w:tblLayout w:type="fixed"/>
          <w:tblCellMar>
            <w:top w:w="0" w:type="dxa"/>
            <w:left w:w="108" w:type="dxa"/>
            <w:bottom w:w="0" w:type="dxa"/>
            <w:right w:w="108" w:type="dxa"/>
          </w:tblCellMar>
        </w:tblPrEx>
        <w:trPr>
          <w:trHeight w:val="27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资本充足率</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14.29</w:t>
            </w:r>
            <w:r>
              <w:rPr>
                <w:rFonts w:hint="default"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default" w:ascii="仿宋_GB2312" w:hAnsi="DotumChe" w:eastAsia="仿宋_GB2312" w:cs="宋体-PUA"/>
                <w:color w:val="auto"/>
                <w:kern w:val="0"/>
                <w:sz w:val="28"/>
                <w:szCs w:val="28"/>
                <w:highlight w:val="none"/>
              </w:rPr>
              <w:t>&gt;=</w:t>
            </w:r>
            <w:r>
              <w:rPr>
                <w:rFonts w:hint="default" w:ascii="仿宋_GB2312" w:hAnsi="宋体" w:eastAsia="仿宋_GB2312" w:cs="宋体"/>
                <w:color w:val="auto"/>
                <w:kern w:val="0"/>
                <w:sz w:val="28"/>
                <w:szCs w:val="28"/>
                <w:highlight w:val="none"/>
              </w:rPr>
              <w:t>10.5%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流动性比例</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90.17</w:t>
            </w:r>
            <w:r>
              <w:rPr>
                <w:rFonts w:hint="default"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default" w:ascii="仿宋_GB2312" w:hAnsi="DotumChe" w:eastAsia="仿宋_GB2312" w:cs="宋体-PUA"/>
                <w:color w:val="auto"/>
                <w:kern w:val="0"/>
                <w:sz w:val="28"/>
                <w:szCs w:val="28"/>
                <w:highlight w:val="none"/>
              </w:rPr>
              <w:t>&gt;=</w:t>
            </w:r>
            <w:r>
              <w:rPr>
                <w:rFonts w:hint="default" w:ascii="仿宋_GB2312" w:hAnsi="宋体" w:eastAsia="仿宋_GB2312" w:cs="宋体"/>
                <w:color w:val="auto"/>
                <w:kern w:val="0"/>
                <w:sz w:val="28"/>
                <w:szCs w:val="28"/>
                <w:highlight w:val="none"/>
              </w:rPr>
              <w:t>25%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不良贷款率</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3.24</w:t>
            </w:r>
            <w:r>
              <w:rPr>
                <w:rFonts w:hint="default"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default" w:ascii="仿宋_GB2312" w:hAnsi="DotumChe" w:eastAsia="仿宋_GB2312" w:cs="宋体-PUA"/>
                <w:color w:val="auto"/>
                <w:kern w:val="0"/>
                <w:sz w:val="28"/>
                <w:szCs w:val="28"/>
                <w:highlight w:val="none"/>
              </w:rPr>
              <w:t>&lt;=</w:t>
            </w:r>
            <w:r>
              <w:rPr>
                <w:rFonts w:hint="default" w:ascii="仿宋_GB2312" w:hAnsi="宋体" w:eastAsia="仿宋_GB2312" w:cs="宋体"/>
                <w:color w:val="auto"/>
                <w:kern w:val="0"/>
                <w:sz w:val="28"/>
                <w:szCs w:val="28"/>
                <w:highlight w:val="none"/>
              </w:rPr>
              <w:t>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贷款损失准备覆盖率</w:t>
            </w:r>
          </w:p>
        </w:tc>
        <w:tc>
          <w:tcPr>
            <w:tcW w:w="2700"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225.96</w:t>
            </w:r>
            <w:r>
              <w:rPr>
                <w:rFonts w:hint="default" w:ascii="仿宋_GB2312" w:hAnsi="宋体" w:eastAsia="仿宋_GB2312" w:cs="宋体"/>
                <w:color w:val="auto"/>
                <w:kern w:val="0"/>
                <w:sz w:val="28"/>
                <w:szCs w:val="28"/>
                <w:highlight w:val="none"/>
              </w:rPr>
              <w:t>%</w:t>
            </w:r>
          </w:p>
        </w:tc>
        <w:tc>
          <w:tcPr>
            <w:tcW w:w="216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成本收入比率</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26.91</w:t>
            </w:r>
            <w:r>
              <w:rPr>
                <w:rFonts w:hint="default" w:ascii="仿宋_GB2312" w:hAnsi="宋体" w:eastAsia="仿宋_GB2312" w:cs="宋体"/>
                <w:color w:val="auto"/>
                <w:kern w:val="0"/>
                <w:sz w:val="28"/>
                <w:szCs w:val="28"/>
                <w:highlight w:val="none"/>
              </w:rPr>
              <w:t>%</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default" w:ascii="仿宋_GB2312" w:hAnsi="DotumChe" w:eastAsia="仿宋_GB2312" w:cs="宋体-PUA"/>
                <w:color w:val="auto"/>
                <w:kern w:val="0"/>
                <w:sz w:val="28"/>
                <w:szCs w:val="28"/>
                <w:highlight w:val="none"/>
              </w:rPr>
              <w:t>&lt;=</w:t>
            </w:r>
            <w:r>
              <w:rPr>
                <w:rFonts w:hint="default" w:ascii="仿宋_GB2312" w:hAnsi="宋体" w:eastAsia="仿宋_GB2312" w:cs="宋体"/>
                <w:color w:val="auto"/>
                <w:kern w:val="0"/>
                <w:sz w:val="28"/>
                <w:szCs w:val="28"/>
                <w:highlight w:val="none"/>
              </w:rPr>
              <w:t>35%</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6.2</w:t>
      </w:r>
      <w:r>
        <w:rPr>
          <w:rFonts w:hint="eastAsia" w:ascii="仿宋_GB2312" w:hAnsi="宋体" w:eastAsia="仿宋_GB2312" w:cs="宋体"/>
          <w:b/>
          <w:color w:val="auto"/>
          <w:kern w:val="0"/>
          <w:sz w:val="32"/>
          <w:szCs w:val="32"/>
          <w:highlight w:val="none"/>
        </w:rPr>
        <w:t>贷款主要行业分布</w:t>
      </w:r>
    </w:p>
    <w:p>
      <w:pPr>
        <w:widowControl/>
        <w:shd w:val="clear" w:color="auto" w:fill="FFFFFF"/>
        <w:spacing w:line="440" w:lineRule="exact"/>
        <w:jc w:val="left"/>
        <w:rPr>
          <w:rFonts w:ascii="宋体" w:cs="宋体"/>
          <w:color w:val="auto"/>
          <w:kern w:val="0"/>
          <w:sz w:val="32"/>
          <w:szCs w:val="32"/>
          <w:highlight w:val="none"/>
        </w:rPr>
      </w:pPr>
      <w:r>
        <w:rPr>
          <w:rFonts w:ascii="??_GB2312" w:hAnsi="宋体" w:eastAsia="Times New Roman" w:cs="宋体"/>
          <w:color w:val="auto"/>
          <w:kern w:val="0"/>
          <w:sz w:val="32"/>
          <w:szCs w:val="32"/>
          <w:highlight w:val="none"/>
        </w:rPr>
        <w:t xml:space="preserve">                                    </w:t>
      </w:r>
      <w:r>
        <w:rPr>
          <w:rFonts w:hint="eastAsia" w:ascii="仿宋_GB2312" w:hAnsi="仿宋_GB2312" w:eastAsia="仿宋_GB2312" w:cs="仿宋_GB2312"/>
          <w:color w:val="auto"/>
          <w:kern w:val="0"/>
          <w:sz w:val="28"/>
          <w:szCs w:val="28"/>
          <w:highlight w:val="none"/>
        </w:rPr>
        <w:t>单位：人民币 万元</w:t>
      </w:r>
      <w:r>
        <w:rPr>
          <w:rFonts w:ascii="??_GB2312" w:hAnsi="宋体" w:eastAsia="Times New Roman" w:cs="宋体"/>
          <w:color w:val="auto"/>
          <w:kern w:val="0"/>
          <w:sz w:val="32"/>
          <w:szCs w:val="32"/>
          <w:highlight w:val="none"/>
        </w:rPr>
        <w:t xml:space="preserve"> </w:t>
      </w:r>
    </w:p>
    <w:tbl>
      <w:tblPr>
        <w:tblStyle w:val="7"/>
        <w:tblW w:w="8280" w:type="dxa"/>
        <w:jc w:val="center"/>
        <w:tblInd w:w="0" w:type="dxa"/>
        <w:tblLayout w:type="fixed"/>
        <w:tblCellMar>
          <w:top w:w="0" w:type="dxa"/>
          <w:left w:w="108" w:type="dxa"/>
          <w:bottom w:w="0" w:type="dxa"/>
          <w:right w:w="108" w:type="dxa"/>
        </w:tblCellMar>
      </w:tblPr>
      <w:tblGrid>
        <w:gridCol w:w="3420"/>
        <w:gridCol w:w="2700"/>
        <w:gridCol w:w="2160"/>
      </w:tblGrid>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行业种类</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default" w:ascii="黑体" w:hAnsi="黑体" w:eastAsia="黑体" w:cs="黑体"/>
                <w:b/>
                <w:color w:val="auto"/>
                <w:kern w:val="0"/>
                <w:sz w:val="28"/>
                <w:szCs w:val="28"/>
                <w:highlight w:val="none"/>
              </w:rPr>
              <w:t>20</w:t>
            </w:r>
            <w:r>
              <w:rPr>
                <w:rFonts w:hint="eastAsia" w:ascii="黑体" w:hAnsi="黑体" w:eastAsia="黑体" w:cs="黑体"/>
                <w:b/>
                <w:color w:val="auto"/>
                <w:kern w:val="0"/>
                <w:sz w:val="28"/>
                <w:szCs w:val="28"/>
                <w:highlight w:val="none"/>
              </w:rPr>
              <w:t>2</w:t>
            </w:r>
            <w:r>
              <w:rPr>
                <w:rFonts w:hint="eastAsia" w:ascii="黑体" w:hAnsi="黑体" w:eastAsia="黑体" w:cs="黑体"/>
                <w:b/>
                <w:color w:val="auto"/>
                <w:kern w:val="0"/>
                <w:sz w:val="28"/>
                <w:szCs w:val="28"/>
                <w:highlight w:val="none"/>
                <w:lang w:val="en-US" w:eastAsia="zh-CN"/>
              </w:rPr>
              <w:t>4</w:t>
            </w:r>
            <w:r>
              <w:rPr>
                <w:rFonts w:hint="eastAsia" w:ascii="黑体" w:hAnsi="黑体" w:eastAsia="黑体" w:cs="黑体"/>
                <w:b/>
                <w:color w:val="auto"/>
                <w:kern w:val="0"/>
                <w:sz w:val="28"/>
                <w:szCs w:val="28"/>
                <w:highlight w:val="none"/>
              </w:rPr>
              <w:t>年末余额</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占贷款总额比例（</w:t>
            </w:r>
            <w:r>
              <w:rPr>
                <w:rFonts w:hint="default" w:ascii="黑体" w:hAnsi="黑体" w:eastAsia="黑体" w:cs="黑体"/>
                <w:b/>
                <w:color w:val="auto"/>
                <w:kern w:val="0"/>
                <w:sz w:val="28"/>
                <w:szCs w:val="28"/>
                <w:highlight w:val="none"/>
              </w:rPr>
              <w:t>%</w:t>
            </w:r>
            <w:r>
              <w:rPr>
                <w:rFonts w:hint="eastAsia" w:ascii="黑体" w:hAnsi="黑体" w:eastAsia="黑体" w:cs="黑体"/>
                <w:b/>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批发和零售业</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291827</w:t>
            </w:r>
          </w:p>
        </w:tc>
        <w:tc>
          <w:tcPr>
            <w:tcW w:w="21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17.80</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制造业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273747</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16.69</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352"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交通运输、仓储和邮政业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140931</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8.59</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建筑业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131171</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8.00</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442"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农、林、牧、渔业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124362</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7.58</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合计</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962038</w:t>
            </w:r>
          </w:p>
        </w:tc>
        <w:tc>
          <w:tcPr>
            <w:tcW w:w="2160" w:type="dxa"/>
            <w:tcBorders>
              <w:top w:val="nil"/>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58.67</w:t>
            </w:r>
            <w:r>
              <w:rPr>
                <w:rFonts w:hint="eastAsia" w:ascii="仿宋_GB2312" w:hAnsi="仿宋_GB2312" w:eastAsia="仿宋_GB2312" w:cs="仿宋_GB2312"/>
                <w:color w:val="auto"/>
                <w:kern w:val="0"/>
                <w:sz w:val="28"/>
                <w:szCs w:val="28"/>
                <w:highlight w:val="none"/>
              </w:rPr>
              <w:t>%</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6.3</w:t>
      </w:r>
      <w:r>
        <w:rPr>
          <w:rFonts w:hint="eastAsia" w:ascii="仿宋_GB2312" w:hAnsi="宋体" w:eastAsia="仿宋_GB2312" w:cs="宋体"/>
          <w:b/>
          <w:color w:val="auto"/>
          <w:kern w:val="0"/>
          <w:sz w:val="32"/>
          <w:szCs w:val="32"/>
          <w:highlight w:val="none"/>
        </w:rPr>
        <w:t>涉农贷款情况</w:t>
      </w:r>
    </w:p>
    <w:p>
      <w:pPr>
        <w:widowControl/>
        <w:shd w:val="clear" w:color="auto" w:fill="FFFFFF"/>
        <w:spacing w:line="440" w:lineRule="exact"/>
        <w:jc w:val="left"/>
        <w:rPr>
          <w:rFonts w:ascii="宋体" w:cs="宋体"/>
          <w:color w:val="auto"/>
          <w:kern w:val="0"/>
          <w:sz w:val="28"/>
          <w:szCs w:val="28"/>
          <w:highlight w:val="none"/>
        </w:rPr>
      </w:pPr>
      <w:r>
        <w:rPr>
          <w:rFonts w:ascii="??_GB2312" w:hAnsi="宋体" w:eastAsia="Times New Roman" w:cs="宋体"/>
          <w:color w:val="auto"/>
          <w:kern w:val="0"/>
          <w:sz w:val="32"/>
          <w:szCs w:val="32"/>
          <w:highlight w:val="none"/>
        </w:rPr>
        <w:t xml:space="preserve">                                     </w:t>
      </w:r>
      <w:r>
        <w:rPr>
          <w:rFonts w:ascii="??_GB2312" w:hAnsi="宋体" w:eastAsia="Times New Roman" w:cs="宋体"/>
          <w:color w:val="auto"/>
          <w:kern w:val="0"/>
          <w:sz w:val="28"/>
          <w:szCs w:val="28"/>
          <w:highlight w:val="none"/>
        </w:rPr>
        <w:t>单位：人民币</w:t>
      </w:r>
      <w:r>
        <w:rPr>
          <w:rFonts w:hint="eastAsia" w:ascii="??_GB2312" w:hAnsi="宋体" w:cs="宋体"/>
          <w:color w:val="auto"/>
          <w:kern w:val="0"/>
          <w:sz w:val="28"/>
          <w:szCs w:val="28"/>
          <w:highlight w:val="none"/>
        </w:rPr>
        <w:t xml:space="preserve"> </w:t>
      </w:r>
      <w:r>
        <w:rPr>
          <w:rFonts w:ascii="??_GB2312" w:hAnsi="宋体" w:eastAsia="Times New Roman" w:cs="宋体"/>
          <w:color w:val="auto"/>
          <w:kern w:val="0"/>
          <w:sz w:val="28"/>
          <w:szCs w:val="28"/>
          <w:highlight w:val="none"/>
        </w:rPr>
        <w:t>万元</w:t>
      </w:r>
    </w:p>
    <w:tbl>
      <w:tblPr>
        <w:tblStyle w:val="7"/>
        <w:tblW w:w="8270" w:type="dxa"/>
        <w:jc w:val="center"/>
        <w:tblInd w:w="0" w:type="dxa"/>
        <w:tblLayout w:type="fixed"/>
        <w:tblCellMar>
          <w:top w:w="0" w:type="dxa"/>
          <w:left w:w="108" w:type="dxa"/>
          <w:bottom w:w="0" w:type="dxa"/>
          <w:right w:w="108" w:type="dxa"/>
        </w:tblCellMar>
      </w:tblPr>
      <w:tblGrid>
        <w:gridCol w:w="4512"/>
        <w:gridCol w:w="3758"/>
      </w:tblGrid>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各项贷款余额</w:t>
            </w:r>
          </w:p>
        </w:tc>
        <w:tc>
          <w:tcPr>
            <w:tcW w:w="3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仿宋_GB2312"/>
                <w:color w:val="auto"/>
                <w:kern w:val="0"/>
                <w:sz w:val="28"/>
                <w:szCs w:val="28"/>
                <w:highlight w:val="none"/>
                <w:lang w:val="en-US" w:eastAsia="zh-CN" w:bidi="ar"/>
              </w:rPr>
              <w:t>1639781</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其中：涉农贷款余额</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仿宋_GB2312"/>
                <w:color w:val="auto"/>
                <w:kern w:val="0"/>
                <w:sz w:val="28"/>
                <w:szCs w:val="28"/>
                <w:highlight w:val="none"/>
                <w:lang w:val="en-US" w:eastAsia="zh-CN" w:bidi="ar"/>
              </w:rPr>
              <w:t>783579</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各项贷款增量</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仿宋_GB2312"/>
                <w:color w:val="auto"/>
                <w:kern w:val="0"/>
                <w:sz w:val="28"/>
                <w:szCs w:val="28"/>
                <w:highlight w:val="none"/>
                <w:lang w:val="en-US" w:eastAsia="zh-CN" w:bidi="ar"/>
              </w:rPr>
              <w:t>101725</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其中：涉农贷款增量</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仿宋_GB2312"/>
                <w:color w:val="auto"/>
                <w:kern w:val="0"/>
                <w:sz w:val="28"/>
                <w:szCs w:val="28"/>
                <w:highlight w:val="none"/>
                <w:lang w:val="en-US" w:eastAsia="zh-CN" w:bidi="ar"/>
              </w:rPr>
              <w:t>60120</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各项贷款增幅</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6.61%</w:t>
            </w:r>
          </w:p>
        </w:tc>
      </w:tr>
      <w:tr>
        <w:tblPrEx>
          <w:tblLayout w:type="fixed"/>
          <w:tblCellMar>
            <w:top w:w="0" w:type="dxa"/>
            <w:left w:w="108" w:type="dxa"/>
            <w:bottom w:w="0" w:type="dxa"/>
            <w:right w:w="108" w:type="dxa"/>
          </w:tblCellMar>
        </w:tblPrEx>
        <w:trPr>
          <w:trHeight w:val="352"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涉农贷款增幅</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8.31%</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6.4</w:t>
      </w:r>
      <w:r>
        <w:rPr>
          <w:rFonts w:hint="eastAsia" w:ascii="仿宋_GB2312" w:hAnsi="宋体" w:eastAsia="仿宋_GB2312" w:cs="宋体"/>
          <w:b/>
          <w:color w:val="auto"/>
          <w:kern w:val="0"/>
          <w:sz w:val="32"/>
          <w:szCs w:val="32"/>
          <w:highlight w:val="none"/>
        </w:rPr>
        <w:t>最大十户贷款</w:t>
      </w:r>
    </w:p>
    <w:p>
      <w:pPr>
        <w:widowControl/>
        <w:shd w:val="clear" w:color="auto" w:fill="FFFFFF"/>
        <w:tabs>
          <w:tab w:val="left" w:pos="630"/>
        </w:tabs>
        <w:spacing w:line="440" w:lineRule="exact"/>
        <w:jc w:val="right"/>
        <w:rPr>
          <w:rFonts w:ascii="仿宋_GB2312" w:hAnsi="宋体" w:eastAsia="仿宋_GB2312" w:cs="宋体"/>
          <w:b/>
          <w:color w:val="auto"/>
          <w:kern w:val="0"/>
          <w:sz w:val="28"/>
          <w:szCs w:val="28"/>
          <w:highlight w:val="none"/>
        </w:rPr>
      </w:pPr>
      <w:r>
        <w:rPr>
          <w:rFonts w:ascii="??_GB2312" w:hAnsi="宋体" w:eastAsia="Times New Roman" w:cs="宋体"/>
          <w:color w:val="auto"/>
          <w:kern w:val="0"/>
          <w:sz w:val="28"/>
          <w:szCs w:val="28"/>
          <w:highlight w:val="none"/>
        </w:rPr>
        <w:t>单位：人民币</w:t>
      </w:r>
      <w:r>
        <w:rPr>
          <w:rFonts w:hint="eastAsia" w:ascii="??_GB2312" w:hAnsi="宋体" w:cs="宋体"/>
          <w:color w:val="auto"/>
          <w:kern w:val="0"/>
          <w:sz w:val="28"/>
          <w:szCs w:val="28"/>
          <w:highlight w:val="none"/>
        </w:rPr>
        <w:t xml:space="preserve"> </w:t>
      </w:r>
      <w:r>
        <w:rPr>
          <w:rFonts w:ascii="??_GB2312" w:hAnsi="宋体" w:eastAsia="Times New Roman" w:cs="宋体"/>
          <w:color w:val="auto"/>
          <w:kern w:val="0"/>
          <w:sz w:val="28"/>
          <w:szCs w:val="28"/>
          <w:highlight w:val="none"/>
        </w:rPr>
        <w:t>万元</w:t>
      </w:r>
    </w:p>
    <w:tbl>
      <w:tblPr>
        <w:tblStyle w:val="7"/>
        <w:tblW w:w="8295" w:type="dxa"/>
        <w:jc w:val="center"/>
        <w:tblInd w:w="0" w:type="dxa"/>
        <w:tblLayout w:type="fixed"/>
        <w:tblCellMar>
          <w:top w:w="0" w:type="dxa"/>
          <w:left w:w="108" w:type="dxa"/>
          <w:bottom w:w="0" w:type="dxa"/>
          <w:right w:w="108" w:type="dxa"/>
        </w:tblCellMar>
      </w:tblPr>
      <w:tblGrid>
        <w:gridCol w:w="876"/>
        <w:gridCol w:w="4165"/>
        <w:gridCol w:w="1760"/>
        <w:gridCol w:w="1494"/>
      </w:tblGrid>
      <w:tr>
        <w:tblPrEx>
          <w:tblLayout w:type="fixed"/>
          <w:tblCellMar>
            <w:top w:w="0" w:type="dxa"/>
            <w:left w:w="108" w:type="dxa"/>
            <w:bottom w:w="0" w:type="dxa"/>
            <w:right w:w="108" w:type="dxa"/>
          </w:tblCellMar>
        </w:tblPrEx>
        <w:trPr>
          <w:trHeight w:val="3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序号</w:t>
            </w:r>
          </w:p>
        </w:tc>
        <w:tc>
          <w:tcPr>
            <w:tcW w:w="41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客户名称</w:t>
            </w:r>
          </w:p>
        </w:tc>
        <w:tc>
          <w:tcPr>
            <w:tcW w:w="17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bCs/>
                <w:color w:val="auto"/>
                <w:kern w:val="0"/>
                <w:sz w:val="24"/>
                <w:szCs w:val="24"/>
                <w:highlight w:val="none"/>
              </w:rPr>
            </w:pPr>
            <w:r>
              <w:rPr>
                <w:rFonts w:hint="eastAsia" w:ascii="黑体" w:hAnsi="宋体" w:eastAsia="黑体" w:cs="黑体"/>
                <w:b/>
                <w:color w:val="auto"/>
                <w:kern w:val="0"/>
                <w:sz w:val="24"/>
                <w:szCs w:val="24"/>
                <w:highlight w:val="none"/>
                <w:lang w:val="en-US" w:eastAsia="zh-CN" w:bidi="ar"/>
              </w:rPr>
              <w:t>2024年贷款余额</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bCs/>
                <w:color w:val="auto"/>
                <w:kern w:val="0"/>
                <w:sz w:val="24"/>
                <w:szCs w:val="24"/>
                <w:highlight w:val="none"/>
              </w:rPr>
            </w:pPr>
            <w:r>
              <w:rPr>
                <w:rFonts w:hint="eastAsia" w:ascii="黑体" w:hAnsi="宋体" w:eastAsia="黑体" w:cs="黑体"/>
                <w:b/>
                <w:color w:val="auto"/>
                <w:kern w:val="0"/>
                <w:sz w:val="24"/>
                <w:szCs w:val="24"/>
                <w:highlight w:val="none"/>
                <w:lang w:val="en-US" w:eastAsia="zh-CN" w:bidi="ar"/>
              </w:rPr>
              <w:t>占贷款总额比例（%）</w:t>
            </w:r>
          </w:p>
        </w:tc>
      </w:tr>
      <w:tr>
        <w:tblPrEx>
          <w:tblLayout w:type="fixed"/>
          <w:tblCellMar>
            <w:top w:w="0" w:type="dxa"/>
            <w:left w:w="108" w:type="dxa"/>
            <w:bottom w:w="0" w:type="dxa"/>
            <w:right w:w="108" w:type="dxa"/>
          </w:tblCellMar>
        </w:tblPrEx>
        <w:trPr>
          <w:trHeight w:val="34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高安市创业投资有限公司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15000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0.91%</w:t>
            </w:r>
          </w:p>
        </w:tc>
      </w:tr>
      <w:tr>
        <w:tblPrEx>
          <w:tblLayout w:type="fixed"/>
          <w:tblCellMar>
            <w:top w:w="0" w:type="dxa"/>
            <w:left w:w="108" w:type="dxa"/>
            <w:bottom w:w="0" w:type="dxa"/>
            <w:right w:w="108" w:type="dxa"/>
          </w:tblCellMar>
        </w:tblPrEx>
        <w:trPr>
          <w:trHeight w:val="3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奥朗斯集团江西西美克科技有限公司</w:t>
            </w:r>
          </w:p>
        </w:tc>
        <w:tc>
          <w:tcPr>
            <w:tcW w:w="17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10450</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0.64%</w:t>
            </w:r>
          </w:p>
        </w:tc>
      </w:tr>
      <w:tr>
        <w:tblPrEx>
          <w:tblLayout w:type="fixed"/>
          <w:tblCellMar>
            <w:top w:w="0" w:type="dxa"/>
            <w:left w:w="108" w:type="dxa"/>
            <w:bottom w:w="0" w:type="dxa"/>
            <w:right w:w="108" w:type="dxa"/>
          </w:tblCellMar>
        </w:tblPrEx>
        <w:trPr>
          <w:trHeight w:val="3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高安市瑞雪宾馆</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10400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0.63%</w:t>
            </w:r>
          </w:p>
        </w:tc>
      </w:tr>
      <w:tr>
        <w:tblPrEx>
          <w:tblLayout w:type="fixed"/>
          <w:tblCellMar>
            <w:top w:w="0" w:type="dxa"/>
            <w:left w:w="108" w:type="dxa"/>
            <w:bottom w:w="0" w:type="dxa"/>
            <w:right w:w="108" w:type="dxa"/>
          </w:tblCellMar>
        </w:tblPrEx>
        <w:trPr>
          <w:trHeight w:val="30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江西省喜洋洋苗木有限公司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9000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0.55%</w:t>
            </w:r>
          </w:p>
        </w:tc>
      </w:tr>
      <w:tr>
        <w:tblPrEx>
          <w:tblLayout w:type="fixed"/>
          <w:tblCellMar>
            <w:top w:w="0" w:type="dxa"/>
            <w:left w:w="108" w:type="dxa"/>
            <w:bottom w:w="0" w:type="dxa"/>
            <w:right w:w="108" w:type="dxa"/>
          </w:tblCellMar>
        </w:tblPrEx>
        <w:trPr>
          <w:trHeight w:val="362"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w:t>
            </w:r>
          </w:p>
        </w:tc>
        <w:tc>
          <w:tcPr>
            <w:tcW w:w="4165"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江西恩泽建设工程有限公司</w:t>
            </w:r>
          </w:p>
        </w:tc>
        <w:tc>
          <w:tcPr>
            <w:tcW w:w="1760"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8800</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0.54%</w:t>
            </w:r>
          </w:p>
        </w:tc>
      </w:tr>
      <w:tr>
        <w:tblPrEx>
          <w:tblLayout w:type="fixed"/>
          <w:tblCellMar>
            <w:top w:w="0" w:type="dxa"/>
            <w:left w:w="108" w:type="dxa"/>
            <w:bottom w:w="0" w:type="dxa"/>
            <w:right w:w="108" w:type="dxa"/>
          </w:tblCellMar>
        </w:tblPrEx>
        <w:trPr>
          <w:trHeight w:val="3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江西瑞源陶瓷有限公司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8500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0.52%</w:t>
            </w:r>
          </w:p>
        </w:tc>
      </w:tr>
      <w:tr>
        <w:tblPrEx>
          <w:tblLayout w:type="fixed"/>
          <w:tblCellMar>
            <w:top w:w="0" w:type="dxa"/>
            <w:left w:w="108" w:type="dxa"/>
            <w:bottom w:w="0" w:type="dxa"/>
            <w:right w:w="108" w:type="dxa"/>
          </w:tblCellMar>
        </w:tblPrEx>
        <w:trPr>
          <w:trHeight w:val="3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高安罗斯福陶瓷有限公司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8200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0.50%</w:t>
            </w:r>
          </w:p>
        </w:tc>
      </w:tr>
      <w:tr>
        <w:tblPrEx>
          <w:tblLayout w:type="fixed"/>
          <w:tblCellMar>
            <w:top w:w="0" w:type="dxa"/>
            <w:left w:w="108" w:type="dxa"/>
            <w:bottom w:w="0" w:type="dxa"/>
            <w:right w:w="108" w:type="dxa"/>
          </w:tblCellMar>
        </w:tblPrEx>
        <w:trPr>
          <w:trHeight w:val="330"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8</w:t>
            </w:r>
          </w:p>
        </w:tc>
        <w:tc>
          <w:tcPr>
            <w:tcW w:w="4165"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高安德和实业有限公司</w:t>
            </w:r>
          </w:p>
        </w:tc>
        <w:tc>
          <w:tcPr>
            <w:tcW w:w="1760"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7700</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0.47%</w:t>
            </w:r>
          </w:p>
        </w:tc>
      </w:tr>
      <w:tr>
        <w:tblPrEx>
          <w:tblLayout w:type="fixed"/>
          <w:tblCellMar>
            <w:top w:w="0" w:type="dxa"/>
            <w:left w:w="108" w:type="dxa"/>
            <w:bottom w:w="0" w:type="dxa"/>
            <w:right w:w="108" w:type="dxa"/>
          </w:tblCellMar>
        </w:tblPrEx>
        <w:trPr>
          <w:trHeight w:val="29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9</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江西军喜建设有限公司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6510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0.40%</w:t>
            </w:r>
          </w:p>
        </w:tc>
      </w:tr>
      <w:tr>
        <w:tblPrEx>
          <w:tblLayout w:type="fixed"/>
          <w:tblCellMar>
            <w:top w:w="0" w:type="dxa"/>
            <w:left w:w="108" w:type="dxa"/>
            <w:bottom w:w="0" w:type="dxa"/>
            <w:right w:w="108" w:type="dxa"/>
          </w:tblCellMar>
        </w:tblPrEx>
        <w:trPr>
          <w:trHeight w:val="295"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w:t>
            </w:r>
          </w:p>
        </w:tc>
        <w:tc>
          <w:tcPr>
            <w:tcW w:w="4165"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高安市金闰置业有限公司</w:t>
            </w:r>
          </w:p>
        </w:tc>
        <w:tc>
          <w:tcPr>
            <w:tcW w:w="1760"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6500</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0.40%</w:t>
            </w:r>
          </w:p>
        </w:tc>
      </w:tr>
    </w:tbl>
    <w:p>
      <w:pPr>
        <w:widowControl/>
        <w:shd w:val="clear" w:color="auto" w:fill="FFFFFF"/>
        <w:tabs>
          <w:tab w:val="left" w:pos="630"/>
        </w:tabs>
        <w:spacing w:line="440" w:lineRule="exact"/>
        <w:ind w:firstLine="643" w:firstLineChars="200"/>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6.5</w:t>
      </w:r>
      <w:r>
        <w:rPr>
          <w:rFonts w:hint="eastAsia" w:ascii="仿宋_GB2312" w:hAnsi="宋体" w:eastAsia="仿宋_GB2312" w:cs="宋体"/>
          <w:b/>
          <w:color w:val="auto"/>
          <w:kern w:val="0"/>
          <w:sz w:val="32"/>
          <w:szCs w:val="32"/>
          <w:highlight w:val="none"/>
        </w:rPr>
        <w:t>贷款风险分类和不良贷款情况</w:t>
      </w:r>
    </w:p>
    <w:p>
      <w:pPr>
        <w:widowControl/>
        <w:shd w:val="clear" w:color="auto" w:fill="FFFFFF"/>
        <w:spacing w:line="440" w:lineRule="exact"/>
        <w:jc w:val="left"/>
        <w:rPr>
          <w:rFonts w:ascii="宋体" w:cs="宋体"/>
          <w:color w:val="auto"/>
          <w:kern w:val="0"/>
          <w:sz w:val="32"/>
          <w:szCs w:val="32"/>
          <w:highlight w:val="none"/>
        </w:rPr>
      </w:pPr>
      <w:r>
        <w:rPr>
          <w:rFonts w:ascii="??_GB2312" w:hAnsi="宋体" w:eastAsia="Times New Roman" w:cs="宋体"/>
          <w:color w:val="auto"/>
          <w:kern w:val="0"/>
          <w:sz w:val="32"/>
          <w:szCs w:val="32"/>
          <w:highlight w:val="none"/>
        </w:rPr>
        <w:t xml:space="preserve">                                </w:t>
      </w:r>
      <w:r>
        <w:rPr>
          <w:rFonts w:hint="eastAsia" w:ascii="??_GB2312" w:hAnsi="宋体" w:cs="宋体"/>
          <w:color w:val="auto"/>
          <w:kern w:val="0"/>
          <w:sz w:val="32"/>
          <w:szCs w:val="32"/>
          <w:highlight w:val="none"/>
          <w:lang w:val="en-US" w:eastAsia="zh-CN"/>
        </w:rPr>
        <w:t xml:space="preserve">   </w:t>
      </w:r>
      <w:r>
        <w:rPr>
          <w:rFonts w:ascii="??_GB2312" w:hAnsi="宋体" w:eastAsia="Times New Roman" w:cs="宋体"/>
          <w:color w:val="auto"/>
          <w:kern w:val="0"/>
          <w:sz w:val="28"/>
          <w:szCs w:val="28"/>
          <w:highlight w:val="none"/>
        </w:rPr>
        <w:t>单位：人民币 万元</w:t>
      </w:r>
    </w:p>
    <w:tbl>
      <w:tblPr>
        <w:tblStyle w:val="7"/>
        <w:tblW w:w="8280" w:type="dxa"/>
        <w:jc w:val="center"/>
        <w:tblInd w:w="0" w:type="dxa"/>
        <w:tblLayout w:type="fixed"/>
        <w:tblCellMar>
          <w:top w:w="0" w:type="dxa"/>
          <w:left w:w="108" w:type="dxa"/>
          <w:bottom w:w="0" w:type="dxa"/>
          <w:right w:w="108" w:type="dxa"/>
        </w:tblCellMar>
      </w:tblPr>
      <w:tblGrid>
        <w:gridCol w:w="2340"/>
        <w:gridCol w:w="3600"/>
        <w:gridCol w:w="2340"/>
      </w:tblGrid>
      <w:tr>
        <w:tblPrEx>
          <w:tblLayout w:type="fixed"/>
          <w:tblCellMar>
            <w:top w:w="0" w:type="dxa"/>
            <w:left w:w="108" w:type="dxa"/>
            <w:bottom w:w="0" w:type="dxa"/>
            <w:right w:w="108" w:type="dxa"/>
          </w:tblCellMar>
        </w:tblPrEx>
        <w:trPr>
          <w:trHeight w:val="36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2024年末余额</w:t>
            </w:r>
          </w:p>
        </w:tc>
        <w:tc>
          <w:tcPr>
            <w:tcW w:w="23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占比（%）</w:t>
            </w:r>
          </w:p>
        </w:tc>
      </w:tr>
      <w:tr>
        <w:tblPrEx>
          <w:tblLayout w:type="fixed"/>
          <w:tblCellMar>
            <w:top w:w="0" w:type="dxa"/>
            <w:left w:w="108" w:type="dxa"/>
            <w:bottom w:w="0" w:type="dxa"/>
            <w:right w:w="108" w:type="dxa"/>
          </w:tblCellMar>
        </w:tblPrEx>
        <w:trPr>
          <w:trHeight w:val="380"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正常</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i w:val="0"/>
                <w:color w:val="auto"/>
                <w:kern w:val="0"/>
                <w:sz w:val="28"/>
                <w:szCs w:val="28"/>
                <w:highlight w:val="none"/>
                <w:lang w:val="en-US" w:eastAsia="zh-CN" w:bidi="ar"/>
              </w:rPr>
              <w:t>1364298.29</w:t>
            </w:r>
          </w:p>
        </w:tc>
        <w:tc>
          <w:tcPr>
            <w:tcW w:w="2340"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93.14%</w:t>
            </w:r>
          </w:p>
        </w:tc>
      </w:tr>
      <w:tr>
        <w:tblPrEx>
          <w:tblLayout w:type="fixed"/>
          <w:tblCellMar>
            <w:top w:w="0" w:type="dxa"/>
            <w:left w:w="108" w:type="dxa"/>
            <w:bottom w:w="0" w:type="dxa"/>
            <w:right w:w="108" w:type="dxa"/>
          </w:tblCellMar>
        </w:tblPrEx>
        <w:trPr>
          <w:trHeight w:val="365"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关注</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color w:val="auto"/>
                <w:kern w:val="0"/>
                <w:sz w:val="28"/>
                <w:szCs w:val="28"/>
                <w:highlight w:val="none"/>
                <w:lang w:val="en-US" w:eastAsia="zh-CN" w:bidi="ar"/>
              </w:rPr>
              <w:t>52959.41</w:t>
            </w:r>
          </w:p>
        </w:tc>
        <w:tc>
          <w:tcPr>
            <w:tcW w:w="2340"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3.</w:t>
            </w:r>
            <w:r>
              <w:rPr>
                <w:rFonts w:hint="eastAsia" w:ascii="仿宋_GB2312" w:eastAsia="仿宋_GB2312" w:cs="仿宋_GB2312"/>
                <w:i w:val="0"/>
                <w:color w:val="auto"/>
                <w:kern w:val="0"/>
                <w:sz w:val="28"/>
                <w:szCs w:val="28"/>
                <w:highlight w:val="none"/>
                <w:lang w:val="en-US" w:eastAsia="zh-CN" w:bidi="ar"/>
              </w:rPr>
              <w:t>62</w:t>
            </w:r>
            <w:r>
              <w:rPr>
                <w:rFonts w:hint="eastAsia" w:ascii="仿宋_GB2312" w:hAnsi="Times New Roman" w:eastAsia="仿宋_GB2312" w:cs="仿宋_GB2312"/>
                <w:i w:val="0"/>
                <w:color w:val="auto"/>
                <w:kern w:val="0"/>
                <w:sz w:val="28"/>
                <w:szCs w:val="28"/>
                <w:highlight w:val="none"/>
                <w:lang w:val="en-US" w:eastAsia="zh-CN" w:bidi="ar"/>
              </w:rPr>
              <w:t>%</w:t>
            </w:r>
          </w:p>
        </w:tc>
      </w:tr>
      <w:tr>
        <w:tblPrEx>
          <w:tblLayout w:type="fixed"/>
          <w:tblCellMar>
            <w:top w:w="0" w:type="dxa"/>
            <w:left w:w="108" w:type="dxa"/>
            <w:bottom w:w="0" w:type="dxa"/>
            <w:right w:w="108" w:type="dxa"/>
          </w:tblCellMar>
        </w:tblPrEx>
        <w:trPr>
          <w:trHeight w:val="37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次级</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color w:val="auto"/>
                <w:kern w:val="0"/>
                <w:sz w:val="28"/>
                <w:szCs w:val="28"/>
                <w:highlight w:val="none"/>
                <w:lang w:val="en-US" w:eastAsia="zh-CN" w:bidi="ar"/>
              </w:rPr>
              <w:t>23849.61</w:t>
            </w:r>
          </w:p>
        </w:tc>
        <w:tc>
          <w:tcPr>
            <w:tcW w:w="234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1.</w:t>
            </w:r>
            <w:r>
              <w:rPr>
                <w:rFonts w:hint="eastAsia" w:ascii="仿宋_GB2312" w:eastAsia="仿宋_GB2312" w:cs="仿宋_GB2312"/>
                <w:i w:val="0"/>
                <w:color w:val="auto"/>
                <w:kern w:val="0"/>
                <w:sz w:val="28"/>
                <w:szCs w:val="28"/>
                <w:highlight w:val="none"/>
                <w:lang w:val="en-US" w:eastAsia="zh-CN" w:bidi="ar"/>
              </w:rPr>
              <w:t>63</w:t>
            </w:r>
            <w:r>
              <w:rPr>
                <w:rFonts w:hint="eastAsia" w:ascii="仿宋_GB2312" w:hAnsi="Times New Roman" w:eastAsia="仿宋_GB2312" w:cs="仿宋_GB2312"/>
                <w:i w:val="0"/>
                <w:color w:val="auto"/>
                <w:kern w:val="0"/>
                <w:sz w:val="28"/>
                <w:szCs w:val="28"/>
                <w:highlight w:val="none"/>
                <w:lang w:val="en-US" w:eastAsia="zh-CN" w:bidi="ar"/>
              </w:rPr>
              <w:t>%</w:t>
            </w:r>
          </w:p>
        </w:tc>
      </w:tr>
      <w:tr>
        <w:tblPrEx>
          <w:tblLayout w:type="fixed"/>
          <w:tblCellMar>
            <w:top w:w="0" w:type="dxa"/>
            <w:left w:w="108" w:type="dxa"/>
            <w:bottom w:w="0" w:type="dxa"/>
            <w:right w:w="108" w:type="dxa"/>
          </w:tblCellMar>
        </w:tblPrEx>
        <w:trPr>
          <w:trHeight w:val="40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可疑</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color w:val="auto"/>
                <w:kern w:val="0"/>
                <w:sz w:val="28"/>
                <w:szCs w:val="28"/>
                <w:highlight w:val="none"/>
                <w:lang w:val="en-US" w:eastAsia="zh-CN" w:bidi="ar"/>
              </w:rPr>
              <w:t>21341.43</w:t>
            </w:r>
          </w:p>
        </w:tc>
        <w:tc>
          <w:tcPr>
            <w:tcW w:w="234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1.</w:t>
            </w:r>
            <w:r>
              <w:rPr>
                <w:rFonts w:hint="eastAsia" w:ascii="仿宋_GB2312" w:eastAsia="仿宋_GB2312" w:cs="仿宋_GB2312"/>
                <w:i w:val="0"/>
                <w:color w:val="auto"/>
                <w:kern w:val="0"/>
                <w:sz w:val="28"/>
                <w:szCs w:val="28"/>
                <w:highlight w:val="none"/>
                <w:lang w:val="en-US" w:eastAsia="zh-CN" w:bidi="ar"/>
              </w:rPr>
              <w:t>45</w:t>
            </w:r>
            <w:r>
              <w:rPr>
                <w:rFonts w:hint="eastAsia" w:ascii="仿宋_GB2312" w:hAnsi="Times New Roman" w:eastAsia="仿宋_GB2312" w:cs="仿宋_GB2312"/>
                <w:i w:val="0"/>
                <w:color w:val="auto"/>
                <w:kern w:val="0"/>
                <w:sz w:val="28"/>
                <w:szCs w:val="28"/>
                <w:highlight w:val="none"/>
                <w:lang w:val="en-US" w:eastAsia="zh-CN" w:bidi="ar"/>
              </w:rPr>
              <w:t>%</w:t>
            </w:r>
          </w:p>
        </w:tc>
      </w:tr>
      <w:tr>
        <w:tblPrEx>
          <w:tblLayout w:type="fixed"/>
          <w:tblCellMar>
            <w:top w:w="0" w:type="dxa"/>
            <w:left w:w="108" w:type="dxa"/>
            <w:bottom w:w="0" w:type="dxa"/>
            <w:right w:w="108" w:type="dxa"/>
          </w:tblCellMar>
        </w:tblPrEx>
        <w:trPr>
          <w:trHeight w:val="405"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损失</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color w:val="auto"/>
                <w:kern w:val="0"/>
                <w:sz w:val="28"/>
                <w:szCs w:val="28"/>
                <w:highlight w:val="none"/>
                <w:lang w:val="en-US" w:eastAsia="zh-CN" w:bidi="ar"/>
              </w:rPr>
              <w:t>2332.63</w:t>
            </w:r>
          </w:p>
        </w:tc>
        <w:tc>
          <w:tcPr>
            <w:tcW w:w="2340"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0.1</w:t>
            </w:r>
            <w:r>
              <w:rPr>
                <w:rFonts w:hint="eastAsia" w:ascii="仿宋_GB2312" w:eastAsia="仿宋_GB2312" w:cs="仿宋_GB2312"/>
                <w:i w:val="0"/>
                <w:color w:val="auto"/>
                <w:kern w:val="0"/>
                <w:sz w:val="28"/>
                <w:szCs w:val="28"/>
                <w:highlight w:val="none"/>
                <w:lang w:val="en-US" w:eastAsia="zh-CN" w:bidi="ar"/>
              </w:rPr>
              <w:t>6</w:t>
            </w:r>
            <w:r>
              <w:rPr>
                <w:rFonts w:hint="eastAsia" w:ascii="仿宋_GB2312" w:hAnsi="Times New Roman" w:eastAsia="仿宋_GB2312" w:cs="仿宋_GB2312"/>
                <w:i w:val="0"/>
                <w:color w:val="auto"/>
                <w:kern w:val="0"/>
                <w:sz w:val="28"/>
                <w:szCs w:val="28"/>
                <w:highlight w:val="none"/>
                <w:lang w:val="en-US" w:eastAsia="zh-CN" w:bidi="ar"/>
              </w:rPr>
              <w:t>%</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60" w:lineRule="exact"/>
        <w:ind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6.6</w:t>
      </w:r>
      <w:r>
        <w:rPr>
          <w:rFonts w:hint="eastAsia" w:ascii="仿宋_GB2312" w:hAnsi="宋体" w:eastAsia="仿宋_GB2312" w:cs="宋体"/>
          <w:b/>
          <w:color w:val="auto"/>
          <w:kern w:val="0"/>
          <w:sz w:val="32"/>
          <w:szCs w:val="32"/>
          <w:highlight w:val="none"/>
        </w:rPr>
        <w:t>贷款损失准备情况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2023年末，</w:t>
      </w:r>
      <w:r>
        <w:rPr>
          <w:rFonts w:hint="eastAsia" w:ascii="仿宋_GB2312" w:hAnsi="宋体" w:eastAsia="仿宋_GB2312" w:cs="宋体"/>
          <w:color w:val="auto"/>
          <w:kern w:val="0"/>
          <w:sz w:val="32"/>
          <w:szCs w:val="32"/>
          <w:highlight w:val="none"/>
        </w:rPr>
        <w:t>贷款损失准备</w:t>
      </w:r>
      <w:r>
        <w:rPr>
          <w:rFonts w:hint="eastAsia" w:ascii="仿宋_GB2312" w:hAnsi="宋体" w:eastAsia="仿宋_GB2312" w:cs="宋体"/>
          <w:color w:val="auto"/>
          <w:kern w:val="0"/>
          <w:sz w:val="32"/>
          <w:szCs w:val="32"/>
          <w:highlight w:val="none"/>
          <w:lang w:val="en-US" w:eastAsia="zh-CN"/>
        </w:rPr>
        <w:t>105369.77万元。2024年计提57770.5万元，至2024年末，贷款损失准备107386.21万元。</w:t>
      </w:r>
    </w:p>
    <w:p>
      <w:pPr>
        <w:widowControl/>
        <w:shd w:val="clear" w:color="auto" w:fill="FFFFFF"/>
        <w:tabs>
          <w:tab w:val="left" w:pos="630"/>
        </w:tabs>
        <w:spacing w:line="440" w:lineRule="exact"/>
        <w:ind w:firstLine="643" w:firstLineChars="200"/>
        <w:jc w:val="left"/>
        <w:rPr>
          <w:rFonts w:ascii="宋体" w:eastAsia="仿宋_GB2312" w:cs="宋体"/>
          <w:color w:val="auto"/>
          <w:kern w:val="0"/>
          <w:sz w:val="32"/>
          <w:szCs w:val="32"/>
          <w:highlight w:val="none"/>
        </w:rPr>
      </w:pPr>
      <w:r>
        <w:rPr>
          <w:rFonts w:ascii="仿宋_GB2312" w:hAnsi="宋体" w:eastAsia="仿宋_GB2312" w:cs="宋体"/>
          <w:b/>
          <w:color w:val="auto"/>
          <w:kern w:val="0"/>
          <w:sz w:val="32"/>
          <w:szCs w:val="32"/>
          <w:highlight w:val="none"/>
        </w:rPr>
        <w:t>6.7</w:t>
      </w:r>
      <w:r>
        <w:rPr>
          <w:rFonts w:hint="eastAsia" w:ascii="仿宋_GB2312" w:hAnsi="宋体" w:eastAsia="仿宋_GB2312" w:cs="宋体"/>
          <w:b/>
          <w:color w:val="auto"/>
          <w:kern w:val="0"/>
          <w:sz w:val="32"/>
          <w:szCs w:val="32"/>
          <w:highlight w:val="none"/>
        </w:rPr>
        <w:t>年末对外投资情况</w:t>
      </w:r>
    </w:p>
    <w:p>
      <w:pPr>
        <w:widowControl/>
        <w:shd w:val="clear" w:color="auto" w:fill="FFFFFF"/>
        <w:spacing w:line="440" w:lineRule="exact"/>
        <w:jc w:val="left"/>
        <w:rPr>
          <w:rFonts w:ascii="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p>
      <w:pPr>
        <w:widowControl/>
        <w:shd w:val="clear" w:color="auto" w:fill="FFFFFF"/>
        <w:spacing w:line="440" w:lineRule="exact"/>
        <w:ind w:firstLine="640" w:firstLineChars="200"/>
        <w:jc w:val="left"/>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一、摊余成本</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AC</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金融资产</w:t>
      </w:r>
    </w:p>
    <w:tbl>
      <w:tblPr>
        <w:tblStyle w:val="7"/>
        <w:tblW w:w="8565" w:type="dxa"/>
        <w:jc w:val="center"/>
        <w:tblInd w:w="0" w:type="dxa"/>
        <w:tblLayout w:type="fixed"/>
        <w:tblCellMar>
          <w:top w:w="0" w:type="dxa"/>
          <w:left w:w="108" w:type="dxa"/>
          <w:bottom w:w="0" w:type="dxa"/>
          <w:right w:w="108" w:type="dxa"/>
        </w:tblCellMar>
      </w:tblPr>
      <w:tblGrid>
        <w:gridCol w:w="4285"/>
        <w:gridCol w:w="4280"/>
      </w:tblGrid>
      <w:tr>
        <w:tblPrEx>
          <w:tblLayout w:type="fixed"/>
          <w:tblCellMar>
            <w:top w:w="0" w:type="dxa"/>
            <w:left w:w="108" w:type="dxa"/>
            <w:bottom w:w="0" w:type="dxa"/>
            <w:right w:w="108" w:type="dxa"/>
          </w:tblCellMar>
        </w:tblPrEx>
        <w:trPr>
          <w:trHeight w:val="41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4280"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40" w:lineRule="exact"/>
              <w:ind w:left="0" w:right="0"/>
              <w:jc w:val="center"/>
              <w:rPr>
                <w:rFonts w:hint="default" w:ascii="Times New Roman" w:hAnsi="Times New Roman" w:eastAsia="宋体" w:cs="Times New Roman"/>
                <w:color w:val="auto"/>
                <w:sz w:val="28"/>
                <w:szCs w:val="28"/>
                <w:highlight w:val="none"/>
              </w:rPr>
            </w:pPr>
            <w:r>
              <w:rPr>
                <w:rFonts w:hint="eastAsia" w:ascii="黑体" w:hAnsi="黑体" w:eastAsia="黑体" w:cs="黑体"/>
                <w:b/>
                <w:bCs/>
                <w:color w:val="auto"/>
                <w:kern w:val="0"/>
                <w:sz w:val="28"/>
                <w:szCs w:val="28"/>
                <w:highlight w:val="none"/>
              </w:rPr>
              <w:t>剩余面值</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持有至到期国债</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253000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持有至到期地方政府债</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124000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持有至到期政策性银行债券投资</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371000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持有至到期商业银行债券</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持有至到期其他企业债券投资</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持有至到期同业存单</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132000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持有至到期投资合计</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887000</w:t>
            </w:r>
          </w:p>
        </w:tc>
      </w:tr>
    </w:tbl>
    <w:p>
      <w:pPr>
        <w:widowControl/>
        <w:shd w:val="clear" w:color="auto" w:fill="FFFFFF"/>
        <w:spacing w:line="44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二、其他综合收益</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FVOCI</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金融资产</w:t>
      </w:r>
    </w:p>
    <w:tbl>
      <w:tblPr>
        <w:tblStyle w:val="7"/>
        <w:tblW w:w="8565" w:type="dxa"/>
        <w:jc w:val="center"/>
        <w:tblInd w:w="0" w:type="dxa"/>
        <w:tblLayout w:type="fixed"/>
        <w:tblCellMar>
          <w:top w:w="0" w:type="dxa"/>
          <w:left w:w="108" w:type="dxa"/>
          <w:bottom w:w="0" w:type="dxa"/>
          <w:right w:w="108" w:type="dxa"/>
        </w:tblCellMar>
      </w:tblPr>
      <w:tblGrid>
        <w:gridCol w:w="4285"/>
        <w:gridCol w:w="4280"/>
      </w:tblGrid>
      <w:tr>
        <w:tblPrEx>
          <w:tblLayout w:type="fixed"/>
          <w:tblCellMar>
            <w:top w:w="0" w:type="dxa"/>
            <w:left w:w="108" w:type="dxa"/>
            <w:bottom w:w="0" w:type="dxa"/>
            <w:right w:w="108" w:type="dxa"/>
          </w:tblCellMar>
        </w:tblPrEx>
        <w:trPr>
          <w:trHeight w:val="41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可供出售国债</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可供出售政策性银行债券</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可供出售其他企业债</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可供出售商业银行债券</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可供出售其他银行同业存单</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可供出售金融资产合计</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31000</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6.8</w:t>
      </w:r>
      <w:r>
        <w:rPr>
          <w:rFonts w:hint="eastAsia" w:ascii="仿宋_GB2312" w:hAnsi="宋体" w:eastAsia="仿宋_GB2312" w:cs="宋体"/>
          <w:b/>
          <w:color w:val="auto"/>
          <w:kern w:val="0"/>
          <w:sz w:val="32"/>
          <w:szCs w:val="32"/>
          <w:highlight w:val="none"/>
        </w:rPr>
        <w:t>主要表外项目情况</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ascii="仿宋_GB2312" w:hAnsi="仿宋_GB2312" w:eastAsia="仿宋_GB2312" w:cs="仿宋_GB2312"/>
          <w:color w:val="auto"/>
          <w:kern w:val="0"/>
          <w:sz w:val="32"/>
          <w:szCs w:val="32"/>
          <w:highlight w:val="none"/>
        </w:rPr>
        <w:t>年末，本行银行承兑汇票余额为</w:t>
      </w:r>
      <w:r>
        <w:rPr>
          <w:rFonts w:hint="eastAsia" w:ascii="仿宋_GB2312" w:hAnsi="仿宋_GB2312" w:eastAsia="仿宋_GB2312" w:cs="仿宋_GB2312"/>
          <w:color w:val="auto"/>
          <w:kern w:val="0"/>
          <w:sz w:val="32"/>
          <w:szCs w:val="32"/>
          <w:highlight w:val="none"/>
          <w:lang w:val="en-US" w:eastAsia="zh-CN"/>
        </w:rPr>
        <w:t>11578.52</w:t>
      </w:r>
      <w:r>
        <w:rPr>
          <w:rFonts w:ascii="仿宋_GB2312" w:hAnsi="仿宋_GB2312" w:eastAsia="仿宋_GB2312" w:cs="仿宋_GB2312"/>
          <w:color w:val="auto"/>
          <w:kern w:val="0"/>
          <w:sz w:val="32"/>
          <w:szCs w:val="32"/>
          <w:highlight w:val="none"/>
        </w:rPr>
        <w:t>万元，比上年</w:t>
      </w:r>
      <w:r>
        <w:rPr>
          <w:rFonts w:hint="eastAsia" w:ascii="仿宋_GB2312" w:hAnsi="仿宋_GB2312" w:eastAsia="仿宋_GB2312" w:cs="仿宋_GB2312"/>
          <w:color w:val="auto"/>
          <w:kern w:val="0"/>
          <w:sz w:val="32"/>
          <w:szCs w:val="32"/>
          <w:highlight w:val="none"/>
          <w:lang w:val="en-US" w:eastAsia="zh-CN"/>
        </w:rPr>
        <w:t>上升5134.36</w:t>
      </w:r>
      <w:r>
        <w:rPr>
          <w:rFonts w:ascii="仿宋_GB2312" w:hAnsi="仿宋_GB2312" w:eastAsia="仿宋_GB2312" w:cs="仿宋_GB2312"/>
          <w:color w:val="auto"/>
          <w:kern w:val="0"/>
          <w:sz w:val="32"/>
          <w:szCs w:val="32"/>
          <w:highlight w:val="none"/>
        </w:rPr>
        <w:t>万元。</w:t>
      </w:r>
    </w:p>
    <w:p>
      <w:pPr>
        <w:widowControl/>
        <w:shd w:val="clear" w:color="auto" w:fill="FFFFFF"/>
        <w:tabs>
          <w:tab w:val="left" w:pos="630"/>
        </w:tabs>
        <w:spacing w:line="480" w:lineRule="exact"/>
        <w:ind w:firstLine="640" w:firstLineChars="200"/>
        <w:jc w:val="left"/>
        <w:rPr>
          <w:rFonts w:ascii="宋体" w:cs="宋体"/>
          <w:color w:val="auto"/>
          <w:kern w:val="0"/>
          <w:sz w:val="32"/>
          <w:szCs w:val="32"/>
          <w:highlight w:val="none"/>
        </w:rPr>
      </w:pPr>
      <w:r>
        <w:rPr>
          <w:rFonts w:hint="eastAsia" w:ascii="黑体" w:hAnsi="宋体" w:eastAsia="黑体" w:cs="宋体"/>
          <w:color w:val="auto"/>
          <w:kern w:val="0"/>
          <w:sz w:val="32"/>
          <w:szCs w:val="32"/>
          <w:highlight w:val="none"/>
        </w:rPr>
        <w:t>七、本行面临的各类风险及风险管理情况</w:t>
      </w:r>
    </w:p>
    <w:p>
      <w:pPr>
        <w:widowControl/>
        <w:shd w:val="clear" w:color="auto" w:fill="FFFFFF"/>
        <w:tabs>
          <w:tab w:val="left" w:pos="630"/>
        </w:tabs>
        <w:spacing w:line="480" w:lineRule="exact"/>
        <w:ind w:firstLine="640" w:firstLineChars="200"/>
        <w:jc w:val="left"/>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20</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本行继续强化内控管理，完善内控制度，有效防范风险</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各项业务发展呈现良好态势。在各项指标越趋良好的情况下，本行还积极采取各种措施，增收节支，加强成本管理，抗风险能力进一步增强。</w:t>
      </w:r>
    </w:p>
    <w:p>
      <w:pPr>
        <w:spacing w:line="480" w:lineRule="exact"/>
        <w:ind w:firstLine="643" w:firstLineChars="200"/>
        <w:rPr>
          <w:rFonts w:ascii="仿宋_GB2312" w:hAnsi="仿宋_GB2312" w:eastAsia="仿宋_GB2312" w:cs="仿宋_GB2312"/>
          <w:b/>
          <w:color w:val="auto"/>
          <w:sz w:val="32"/>
          <w:szCs w:val="32"/>
          <w:highlight w:val="none"/>
        </w:rPr>
      </w:pPr>
      <w:r>
        <w:rPr>
          <w:rFonts w:ascii="仿宋_GB2312" w:hAnsi="仿宋_GB2312" w:eastAsia="仿宋_GB2312" w:cs="仿宋_GB2312"/>
          <w:b/>
          <w:color w:val="auto"/>
          <w:sz w:val="32"/>
          <w:szCs w:val="32"/>
          <w:highlight w:val="none"/>
        </w:rPr>
        <w:t>7.1</w:t>
      </w:r>
      <w:r>
        <w:rPr>
          <w:rFonts w:hint="eastAsia" w:ascii="仿宋_GB2312" w:hAnsi="仿宋_GB2312" w:eastAsia="仿宋_GB2312" w:cs="仿宋_GB2312"/>
          <w:b/>
          <w:color w:val="auto"/>
          <w:sz w:val="32"/>
          <w:szCs w:val="32"/>
          <w:highlight w:val="none"/>
        </w:rPr>
        <w:t>董事会、高级管理层对风险的监控能力</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据《中华人民共和国公司法》《中华人民共和国商业银行法》规定，制定了本行董事会议事规则，董事会设立了风险管理委员会、关联交易控制委员会、审计委员会等专业管理监督机构，并制定了各专门委员会议事规则和工作职责；本行高级管理层由一支专业知识扎实、从业经验丰富的高管人员组成，</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名高管人员中，</w:t>
      </w:r>
      <w:r>
        <w:rPr>
          <w:rFonts w:hint="eastAsia" w:ascii="仿宋_GB2312" w:hAnsi="仿宋_GB2312" w:eastAsia="仿宋_GB2312" w:cs="仿宋_GB2312"/>
          <w:color w:val="auto"/>
          <w:sz w:val="32"/>
          <w:szCs w:val="32"/>
          <w:highlight w:val="none"/>
          <w:lang w:val="en-US" w:eastAsia="zh-CN"/>
        </w:rPr>
        <w:t>1名具备审计师职称，1名具备经济师职称，2</w:t>
      </w:r>
      <w:r>
        <w:rPr>
          <w:rFonts w:hint="eastAsia" w:ascii="仿宋_GB2312" w:hAnsi="仿宋_GB2312" w:eastAsia="仿宋_GB2312" w:cs="仿宋_GB2312"/>
          <w:color w:val="auto"/>
          <w:sz w:val="32"/>
          <w:szCs w:val="32"/>
          <w:highlight w:val="none"/>
        </w:rPr>
        <w:t>名具备助理经济师职称，1名具备助理会计师职称，</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名达到了20年以上从业经历。</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7.2</w:t>
      </w:r>
      <w:r>
        <w:rPr>
          <w:rFonts w:hint="eastAsia" w:ascii="仿宋_GB2312" w:eastAsia="仿宋_GB2312"/>
          <w:b/>
          <w:color w:val="auto"/>
          <w:sz w:val="32"/>
          <w:szCs w:val="32"/>
          <w:highlight w:val="none"/>
        </w:rPr>
        <w:t>风险管理的政策和程序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本行</w:t>
      </w:r>
      <w:r>
        <w:rPr>
          <w:rFonts w:hint="eastAsia" w:ascii="仿宋_GB2312" w:hAnsi="Arial" w:eastAsia="仿宋_GB2312" w:cs="Arial"/>
          <w:color w:val="auto"/>
          <w:sz w:val="32"/>
          <w:szCs w:val="32"/>
          <w:highlight w:val="none"/>
          <w:lang w:eastAsia="zh-CN"/>
        </w:rPr>
        <w:t>针对经济金融形势和监管政策方面出现的新变化，不断改善风险管理水平，提高风险管理能力，对可能造成重大影响的风险因素力求做到事前预警、事中监控、及时化解。本行将风险管控作为经营管理的要点任务和永久主题，一直绷紧风险防备这根弦，全面落实风险责任。增强风险监测预警，果断守住不发生系统性和地区性金融风险的底线。</w:t>
      </w:r>
      <w:r>
        <w:rPr>
          <w:rFonts w:hint="eastAsia" w:ascii="仿宋_GB2312" w:hAnsi="Arial" w:eastAsia="仿宋_GB2312" w:cs="Arial"/>
          <w:color w:val="auto"/>
          <w:spacing w:val="-2"/>
          <w:kern w:val="0"/>
          <w:sz w:val="32"/>
          <w:szCs w:val="32"/>
          <w:highlight w:val="none"/>
        </w:rPr>
        <w:t>建立风险、合规、管理三道防线，总行各职能部门和各营业网点为第一道防线，</w:t>
      </w:r>
      <w:r>
        <w:rPr>
          <w:rFonts w:hint="eastAsia" w:ascii="仿宋_GB2312" w:hAnsi="Times New Roman" w:eastAsia="仿宋_GB2312" w:cs="Times New Roman"/>
          <w:color w:val="auto"/>
          <w:sz w:val="32"/>
          <w:szCs w:val="32"/>
          <w:highlight w:val="none"/>
        </w:rPr>
        <w:t>风险</w:t>
      </w:r>
      <w:r>
        <w:rPr>
          <w:rFonts w:hint="eastAsia" w:ascii="仿宋_GB2312" w:hAnsi="Times New Roman" w:eastAsia="仿宋_GB2312" w:cs="Times New Roman"/>
          <w:color w:val="auto"/>
          <w:sz w:val="32"/>
          <w:szCs w:val="32"/>
          <w:highlight w:val="none"/>
          <w:lang w:val="en-US" w:eastAsia="zh-CN"/>
        </w:rPr>
        <w:t>管理</w:t>
      </w:r>
      <w:r>
        <w:rPr>
          <w:rFonts w:hint="eastAsia" w:ascii="仿宋_GB2312" w:hAnsi="Times New Roman" w:eastAsia="仿宋_GB2312" w:cs="Times New Roman"/>
          <w:color w:val="auto"/>
          <w:sz w:val="32"/>
          <w:szCs w:val="32"/>
          <w:highlight w:val="none"/>
        </w:rPr>
        <w:t>部</w:t>
      </w:r>
      <w:r>
        <w:rPr>
          <w:rFonts w:hint="eastAsia" w:ascii="仿宋_GB2312" w:hAnsi="Times New Roman" w:eastAsia="仿宋_GB2312" w:cs="Times New Roman"/>
          <w:color w:val="auto"/>
          <w:sz w:val="32"/>
          <w:szCs w:val="32"/>
          <w:highlight w:val="none"/>
          <w:lang w:val="en-US" w:eastAsia="zh-CN"/>
        </w:rPr>
        <w:t>和法律合规部</w:t>
      </w:r>
      <w:r>
        <w:rPr>
          <w:rFonts w:hint="eastAsia" w:ascii="仿宋_GB2312" w:hAnsi="Arial" w:eastAsia="仿宋_GB2312" w:cs="Arial"/>
          <w:color w:val="auto"/>
          <w:spacing w:val="-2"/>
          <w:kern w:val="0"/>
          <w:sz w:val="32"/>
          <w:szCs w:val="32"/>
          <w:highlight w:val="none"/>
        </w:rPr>
        <w:t>为第二道防线，</w:t>
      </w:r>
      <w:r>
        <w:rPr>
          <w:rFonts w:hint="eastAsia" w:ascii="仿宋_GB2312" w:hAnsi="Arial" w:eastAsia="仿宋_GB2312" w:cs="Arial"/>
          <w:color w:val="auto"/>
          <w:spacing w:val="-2"/>
          <w:kern w:val="0"/>
          <w:sz w:val="32"/>
          <w:szCs w:val="32"/>
          <w:highlight w:val="none"/>
          <w:lang w:val="en-US" w:eastAsia="zh-CN"/>
        </w:rPr>
        <w:t>党风行风监督室</w:t>
      </w:r>
      <w:r>
        <w:rPr>
          <w:rFonts w:hint="eastAsia" w:ascii="仿宋_GB2312" w:hAnsi="Arial" w:eastAsia="仿宋_GB2312" w:cs="Arial"/>
          <w:color w:val="auto"/>
          <w:spacing w:val="-2"/>
          <w:kern w:val="0"/>
          <w:sz w:val="32"/>
          <w:szCs w:val="32"/>
          <w:highlight w:val="none"/>
        </w:rPr>
        <w:t>和审计部为第三道防线。</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7.3</w:t>
      </w:r>
      <w:r>
        <w:rPr>
          <w:rFonts w:hint="eastAsia" w:ascii="仿宋_GB2312" w:eastAsia="仿宋_GB2312"/>
          <w:b/>
          <w:color w:val="auto"/>
          <w:sz w:val="32"/>
          <w:szCs w:val="32"/>
          <w:highlight w:val="none"/>
        </w:rPr>
        <w:t>风险计量、检测和管理信息系统</w:t>
      </w:r>
    </w:p>
    <w:p>
      <w:pPr>
        <w:spacing w:line="4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一是成立了风险</w:t>
      </w:r>
      <w:r>
        <w:rPr>
          <w:rFonts w:hint="eastAsia" w:ascii="仿宋_GB2312" w:eastAsia="仿宋_GB2312"/>
          <w:color w:val="auto"/>
          <w:sz w:val="32"/>
          <w:szCs w:val="32"/>
          <w:highlight w:val="none"/>
          <w:lang w:val="en-US" w:eastAsia="zh-CN"/>
        </w:rPr>
        <w:t>管理</w:t>
      </w:r>
      <w:r>
        <w:rPr>
          <w:rFonts w:hint="eastAsia" w:ascii="仿宋_GB2312" w:eastAsia="仿宋_GB2312"/>
          <w:color w:val="auto"/>
          <w:sz w:val="32"/>
          <w:szCs w:val="32"/>
          <w:highlight w:val="none"/>
        </w:rPr>
        <w:t>部，独立进行风险管理，对信用风险、市场风险、利率风险、流动性风险、操作风险及</w:t>
      </w:r>
      <w:r>
        <w:rPr>
          <w:rFonts w:hint="eastAsia" w:ascii="仿宋_GB2312" w:eastAsia="仿宋_GB2312"/>
          <w:color w:val="auto"/>
          <w:sz w:val="32"/>
          <w:szCs w:val="32"/>
          <w:highlight w:val="none"/>
          <w:lang w:val="en-US" w:eastAsia="zh-CN"/>
        </w:rPr>
        <w:t>声</w:t>
      </w:r>
      <w:r>
        <w:rPr>
          <w:rFonts w:hint="eastAsia" w:ascii="仿宋_GB2312" w:eastAsia="仿宋_GB2312"/>
          <w:color w:val="auto"/>
          <w:sz w:val="32"/>
          <w:szCs w:val="32"/>
          <w:highlight w:val="none"/>
        </w:rPr>
        <w:t>誉风险等各类风险进行持续、统一的监测、分析和报告；二是制定了识别、计量、监测和管理风险的制度、程序和方法，对主要</w:t>
      </w:r>
      <w:r>
        <w:rPr>
          <w:rFonts w:hint="eastAsia" w:ascii="仿宋_GB2312" w:eastAsia="仿宋_GB2312"/>
          <w:color w:val="auto"/>
          <w:sz w:val="32"/>
          <w:szCs w:val="32"/>
          <w:highlight w:val="none"/>
          <w:lang w:val="en-US" w:eastAsia="zh-CN"/>
        </w:rPr>
        <w:t>金融</w:t>
      </w:r>
      <w:r>
        <w:rPr>
          <w:rFonts w:hint="eastAsia" w:ascii="仿宋_GB2312" w:eastAsia="仿宋_GB2312"/>
          <w:color w:val="auto"/>
          <w:sz w:val="32"/>
          <w:szCs w:val="32"/>
          <w:highlight w:val="none"/>
        </w:rPr>
        <w:t>资产，采取了五级分类管理、信用评级等管理机制；三是针对不断变化的环境和情况及时修改和完善风险控制的制度、方法和手段，定期进行压力测试，并制定应急预案，以控制新出现的风险或以前未能控制的风险。有较完善的产品定价机制，能做到成本可算、风险可控。</w:t>
      </w:r>
    </w:p>
    <w:p>
      <w:pPr>
        <w:spacing w:line="480" w:lineRule="exact"/>
        <w:ind w:firstLine="643" w:firstLineChars="200"/>
        <w:rPr>
          <w:rFonts w:ascii="仿宋_GB2312" w:eastAsia="仿宋_GB2312"/>
          <w:b/>
          <w:color w:val="auto"/>
          <w:sz w:val="32"/>
          <w:szCs w:val="32"/>
          <w:highlight w:val="none"/>
        </w:rPr>
      </w:pPr>
      <w:r>
        <w:rPr>
          <w:rFonts w:ascii="仿宋_GB2312" w:eastAsia="仿宋_GB2312"/>
          <w:b/>
          <w:color w:val="auto"/>
          <w:sz w:val="32"/>
          <w:szCs w:val="32"/>
          <w:highlight w:val="none"/>
        </w:rPr>
        <w:t>7.4</w:t>
      </w:r>
      <w:r>
        <w:rPr>
          <w:rFonts w:hint="eastAsia" w:ascii="仿宋_GB2312" w:eastAsia="仿宋_GB2312"/>
          <w:b/>
          <w:color w:val="auto"/>
          <w:sz w:val="32"/>
          <w:szCs w:val="32"/>
          <w:highlight w:val="none"/>
        </w:rPr>
        <w:t>内部控制和全面审计情况</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kern w:val="0"/>
          <w:sz w:val="32"/>
          <w:szCs w:val="32"/>
          <w:highlight w:val="none"/>
          <w:lang w:eastAsia="zh-CN" w:bidi="ar"/>
        </w:rPr>
        <w:t>本行</w:t>
      </w:r>
      <w:r>
        <w:rPr>
          <w:rFonts w:hint="eastAsia" w:ascii="仿宋_GB2312" w:hAnsi="仿宋_GB2312" w:eastAsia="仿宋_GB2312" w:cs="仿宋_GB2312"/>
          <w:color w:val="auto"/>
          <w:kern w:val="0"/>
          <w:sz w:val="32"/>
          <w:szCs w:val="32"/>
          <w:highlight w:val="none"/>
          <w:lang w:val="en-US" w:eastAsia="zh-CN" w:bidi="ar"/>
        </w:rPr>
        <w:t>内部控制各道防线职责更加明晰，制度体系和业务流程持续优化，信息系统管控能力日益提升，全面风险管理治理架构日趋完善，内部审计监督力度显著增强，内部控制水平进一步提高</w:t>
      </w:r>
      <w:r>
        <w:rPr>
          <w:rFonts w:hint="eastAsia" w:ascii="仿宋_GB2312" w:hAnsi="仿宋_GB2312" w:eastAsia="仿宋_GB2312" w:cs="仿宋_GB2312"/>
          <w:color w:val="auto"/>
          <w:kern w:val="0"/>
          <w:sz w:val="32"/>
          <w:szCs w:val="32"/>
          <w:highlight w:val="none"/>
          <w:lang w:eastAsia="zh-CN" w:bidi="ar"/>
        </w:rPr>
        <w:t>。报告期内</w:t>
      </w:r>
      <w:r>
        <w:rPr>
          <w:rFonts w:hint="eastAsia" w:ascii="仿宋_GB2312" w:hAnsi="仿宋_GB2312" w:eastAsia="仿宋_GB2312" w:cs="仿宋_GB2312"/>
          <w:color w:val="auto"/>
          <w:kern w:val="2"/>
          <w:sz w:val="32"/>
          <w:szCs w:val="32"/>
          <w:highlight w:val="none"/>
          <w:lang w:eastAsia="zh-CN" w:bidi="ar"/>
        </w:rPr>
        <w:t>本行开展了</w:t>
      </w:r>
      <w:r>
        <w:rPr>
          <w:rFonts w:hint="eastAsia" w:ascii="仿宋_GB2312" w:hAnsi="仿宋_GB2312" w:eastAsia="仿宋_GB2312" w:cs="仿宋_GB2312"/>
          <w:color w:val="auto"/>
          <w:kern w:val="2"/>
          <w:sz w:val="32"/>
          <w:szCs w:val="32"/>
          <w:highlight w:val="none"/>
          <w:lang w:val="en-US" w:eastAsia="zh-CN" w:bidi="ar"/>
        </w:rPr>
        <w:t>关联交易专项审计、征信管理专项审计、涉不法中介贷款专项审计、柜面业务风险专项审计、</w:t>
      </w:r>
      <w:r>
        <w:rPr>
          <w:rFonts w:hint="eastAsia" w:ascii="仿宋_GB2312" w:hAnsi="仿宋_GB2312" w:eastAsia="仿宋_GB2312" w:cs="仿宋_GB2312"/>
          <w:color w:val="auto"/>
          <w:kern w:val="2"/>
          <w:sz w:val="32"/>
          <w:szCs w:val="32"/>
          <w:highlight w:val="none"/>
          <w:u w:val="single" w:color="FFFFFF"/>
          <w:lang w:val="en-US" w:eastAsia="zh-CN" w:bidi="ar"/>
        </w:rPr>
        <w:t>全面风险管理专项审计、不良资产处置合规性审计、新增大额不良贷款专项审计、公司治理专项审计、财务管理专项审计、制度建设有效性专项审计、诉讼时效管理专项审计、薪酬管理专项审计</w:t>
      </w:r>
      <w:r>
        <w:rPr>
          <w:rFonts w:hint="eastAsia" w:ascii="仿宋_GB2312" w:hAnsi="仿宋_GB2312" w:eastAsia="仿宋_GB2312" w:cs="仿宋_GB2312"/>
          <w:color w:val="auto"/>
          <w:kern w:val="2"/>
          <w:sz w:val="32"/>
          <w:szCs w:val="32"/>
          <w:highlight w:val="none"/>
          <w:u w:val="single" w:color="FFFFFF"/>
          <w:lang w:eastAsia="zh-CN" w:bidi="ar"/>
        </w:rPr>
        <w:t>等审计，</w:t>
      </w:r>
      <w:r>
        <w:rPr>
          <w:rFonts w:hint="eastAsia" w:ascii="仿宋_GB2312" w:hAnsi="仿宋_GB2312" w:eastAsia="仿宋_GB2312" w:cs="仿宋_GB2312"/>
          <w:color w:val="auto"/>
          <w:kern w:val="2"/>
          <w:sz w:val="32"/>
          <w:szCs w:val="32"/>
          <w:highlight w:val="none"/>
          <w:lang w:val="en-US" w:eastAsia="zh-CN" w:bidi="ar"/>
        </w:rPr>
        <w:t>加大事前、事中审计监督力度，将审计工作与监管要求有机结合，增强员工依法合规理念和自我保护意识</w:t>
      </w:r>
      <w:r>
        <w:rPr>
          <w:rFonts w:hint="eastAsia" w:ascii="仿宋_GB2312" w:hAnsi="仿宋_GB2312" w:eastAsia="仿宋_GB2312" w:cs="仿宋_GB2312"/>
          <w:color w:val="auto"/>
          <w:kern w:val="2"/>
          <w:sz w:val="32"/>
          <w:szCs w:val="32"/>
          <w:highlight w:val="none"/>
          <w:lang w:eastAsia="zh-CN" w:bidi="ar"/>
        </w:rPr>
        <w:t>。</w:t>
      </w:r>
    </w:p>
    <w:p>
      <w:pPr>
        <w:spacing w:line="480" w:lineRule="exact"/>
        <w:ind w:firstLine="643" w:firstLineChars="200"/>
        <w:rPr>
          <w:rFonts w:hint="eastAsia" w:ascii="仿宋_GB2312" w:eastAsia="仿宋_GB2312"/>
          <w:b/>
          <w:color w:val="auto"/>
          <w:sz w:val="32"/>
          <w:szCs w:val="32"/>
          <w:highlight w:val="none"/>
        </w:rPr>
      </w:pPr>
      <w:r>
        <w:rPr>
          <w:rFonts w:ascii="仿宋_GB2312" w:eastAsia="仿宋_GB2312"/>
          <w:b/>
          <w:color w:val="auto"/>
          <w:sz w:val="32"/>
          <w:szCs w:val="32"/>
          <w:highlight w:val="none"/>
        </w:rPr>
        <w:t>7.5</w:t>
      </w:r>
      <w:r>
        <w:rPr>
          <w:rFonts w:hint="eastAsia" w:ascii="仿宋_GB2312" w:eastAsia="仿宋_GB2312"/>
          <w:b/>
          <w:color w:val="auto"/>
          <w:sz w:val="32"/>
          <w:szCs w:val="32"/>
          <w:highlight w:val="none"/>
        </w:rPr>
        <w:t>信用风险状况</w:t>
      </w:r>
    </w:p>
    <w:p>
      <w:pPr>
        <w:spacing w:line="480" w:lineRule="exact"/>
        <w:ind w:firstLine="643" w:firstLineChars="200"/>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1</w:t>
      </w:r>
      <w:r>
        <w:rPr>
          <w:rFonts w:hint="eastAsia" w:ascii="仿宋_GB2312" w:eastAsia="仿宋_GB2312"/>
          <w:b/>
          <w:bCs/>
          <w:color w:val="auto"/>
          <w:sz w:val="32"/>
          <w:szCs w:val="32"/>
          <w:highlight w:val="none"/>
        </w:rPr>
        <w:t>）信用风险管理</w:t>
      </w:r>
    </w:p>
    <w:p>
      <w:pPr>
        <w:spacing w:line="48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信用风险管理组织架构分为信贷业务、信贷审批和风险管理三部分。一是建立了审贷分离相互制衡的风险控制体系；网点前台客户经理负责尽职调查；信贷</w:t>
      </w:r>
      <w:r>
        <w:rPr>
          <w:rFonts w:ascii="仿宋_GB2312" w:eastAsia="仿宋_GB2312"/>
          <w:color w:val="auto"/>
          <w:sz w:val="32"/>
          <w:szCs w:val="32"/>
          <w:highlight w:val="none"/>
        </w:rPr>
        <w:t>C</w:t>
      </w:r>
      <w:r>
        <w:rPr>
          <w:rFonts w:hint="eastAsia" w:ascii="仿宋_GB2312" w:eastAsia="仿宋_GB2312"/>
          <w:color w:val="auto"/>
          <w:sz w:val="32"/>
          <w:szCs w:val="32"/>
          <w:highlight w:val="none"/>
        </w:rPr>
        <w:t>岗负责信贷合同的签订和信贷文本的管理，将贷款风险管理关口前移至业务第一线；后台审核部门严格按照规范要求对各支行上报的各类贷款资料进行及时、认真、细致的审查、审批和上报；二是加强对分支机构资产质量考核和风险责任人制度考核。</w:t>
      </w:r>
      <w:r>
        <w:rPr>
          <w:rFonts w:hint="eastAsia" w:ascii="仿宋_GB2312" w:hAnsi="仿宋" w:eastAsia="仿宋_GB2312"/>
          <w:color w:val="auto"/>
          <w:sz w:val="32"/>
          <w:szCs w:val="32"/>
          <w:highlight w:val="none"/>
        </w:rPr>
        <w:t>对各网点贷款到期收回率进行监测与考核；对每一笔新增不良贷款，进行</w:t>
      </w:r>
      <w:r>
        <w:rPr>
          <w:rFonts w:hint="eastAsia" w:ascii="仿宋_GB2312" w:hAnsi="仿宋" w:eastAsia="仿宋_GB2312"/>
          <w:color w:val="auto"/>
          <w:sz w:val="32"/>
          <w:szCs w:val="32"/>
          <w:highlight w:val="none"/>
          <w:lang w:val="en-US" w:eastAsia="zh-CN"/>
        </w:rPr>
        <w:t>责任认定</w:t>
      </w:r>
      <w:r>
        <w:rPr>
          <w:rFonts w:hint="eastAsia" w:ascii="仿宋_GB2312" w:hAnsi="仿宋" w:eastAsia="仿宋_GB2312"/>
          <w:color w:val="auto"/>
          <w:sz w:val="32"/>
          <w:szCs w:val="32"/>
          <w:highlight w:val="none"/>
        </w:rPr>
        <w:t>，对出现违规不良贷款责任人实行“零容忍”</w:t>
      </w:r>
      <w:r>
        <w:rPr>
          <w:rFonts w:hint="eastAsia" w:ascii="仿宋_GB2312" w:eastAsia="仿宋_GB2312"/>
          <w:color w:val="auto"/>
          <w:sz w:val="32"/>
          <w:szCs w:val="32"/>
          <w:highlight w:val="none"/>
        </w:rPr>
        <w:t>；三是在加强对不良资产的重点监控与管理等方面明确了相关措施，</w:t>
      </w:r>
      <w:r>
        <w:rPr>
          <w:rFonts w:hint="eastAsia" w:ascii="仿宋_GB2312" w:hAnsi="仿宋" w:eastAsia="仿宋_GB2312"/>
          <w:color w:val="auto"/>
          <w:sz w:val="32"/>
          <w:szCs w:val="32"/>
          <w:highlight w:val="none"/>
        </w:rPr>
        <w:t>设立清收事业部专职</w:t>
      </w:r>
      <w:r>
        <w:rPr>
          <w:rFonts w:hint="eastAsia" w:ascii="仿宋_GB2312" w:eastAsia="仿宋_GB2312"/>
          <w:color w:val="auto"/>
          <w:sz w:val="32"/>
          <w:szCs w:val="32"/>
          <w:highlight w:val="none"/>
        </w:rPr>
        <w:t>对不良资产进行及时处置和重点监控、管理。</w:t>
      </w:r>
    </w:p>
    <w:p>
      <w:pPr>
        <w:spacing w:line="480" w:lineRule="exact"/>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2</w:t>
      </w:r>
      <w:r>
        <w:rPr>
          <w:rFonts w:hint="eastAsia" w:ascii="仿宋_GB2312" w:eastAsia="仿宋_GB2312"/>
          <w:b/>
          <w:bCs/>
          <w:color w:val="auto"/>
          <w:sz w:val="32"/>
          <w:szCs w:val="32"/>
          <w:highlight w:val="none"/>
        </w:rPr>
        <w:t>）资产风险分类的程序和方法</w:t>
      </w:r>
    </w:p>
    <w:p>
      <w:pPr>
        <w:spacing w:line="48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本行按照审慎经营、风险防范为本的管理理念，对</w:t>
      </w:r>
      <w:r>
        <w:rPr>
          <w:rFonts w:hint="eastAsia" w:ascii="仿宋_GB2312" w:hAnsi="Times New Roman"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资产进行五级分类，根据安全履行合同，及时足额偿还的可能性将</w:t>
      </w:r>
      <w:r>
        <w:rPr>
          <w:rFonts w:hint="eastAsia" w:ascii="仿宋_GB2312" w:hAnsi="Times New Roman"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资产分为正常、关注、次级、可疑和损失五个类别，后</w:t>
      </w:r>
      <w:r>
        <w:rPr>
          <w:rFonts w:hint="eastAsia" w:ascii="仿宋_GB2312" w:hAnsi="Times New Roman" w:eastAsia="仿宋_GB2312" w:cs="Times New Roman"/>
          <w:color w:val="auto"/>
          <w:sz w:val="32"/>
          <w:szCs w:val="32"/>
          <w:highlight w:val="none"/>
          <w:lang w:eastAsia="zh-CN"/>
        </w:rPr>
        <w:t>三</w:t>
      </w:r>
      <w:r>
        <w:rPr>
          <w:rFonts w:hint="eastAsia" w:ascii="仿宋_GB2312" w:hAnsi="Times New Roman" w:eastAsia="仿宋_GB2312" w:cs="Times New Roman"/>
          <w:color w:val="auto"/>
          <w:sz w:val="32"/>
          <w:szCs w:val="32"/>
          <w:highlight w:val="none"/>
        </w:rPr>
        <w:t>类合称为不良</w:t>
      </w:r>
      <w:r>
        <w:rPr>
          <w:rFonts w:hint="eastAsia" w:ascii="仿宋_GB2312" w:hAnsi="Times New Roman"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资产，以揭示</w:t>
      </w:r>
      <w:r>
        <w:rPr>
          <w:rFonts w:hint="eastAsia" w:ascii="仿宋_GB2312" w:hAnsi="Times New Roman"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资产实际价值和风险程度，真实、全面、动态地反映信贷资产质量。</w:t>
      </w:r>
      <w:r>
        <w:rPr>
          <w:rFonts w:hint="eastAsia" w:ascii="仿宋_GB2312" w:hAnsi="Times New Roman" w:eastAsia="仿宋_GB2312" w:cs="Times New Roman"/>
          <w:color w:val="auto"/>
          <w:sz w:val="32"/>
          <w:szCs w:val="32"/>
          <w:highlight w:val="none"/>
          <w:lang w:val="en-US" w:eastAsia="zh-CN"/>
        </w:rPr>
        <w:t>金融</w:t>
      </w:r>
      <w:r>
        <w:rPr>
          <w:rFonts w:hint="eastAsia" w:ascii="仿宋_GB2312" w:hAnsi="Times New Roman" w:eastAsia="仿宋_GB2312" w:cs="Times New Roman"/>
          <w:color w:val="auto"/>
          <w:sz w:val="32"/>
          <w:szCs w:val="32"/>
          <w:highlight w:val="none"/>
        </w:rPr>
        <w:t>资产风险分类是在对</w:t>
      </w:r>
      <w:r>
        <w:rPr>
          <w:rFonts w:hint="eastAsia" w:ascii="仿宋_GB2312" w:hAnsi="Times New Roman" w:eastAsia="仿宋_GB2312" w:cs="Times New Roman"/>
          <w:color w:val="auto"/>
          <w:sz w:val="32"/>
          <w:szCs w:val="32"/>
          <w:highlight w:val="none"/>
          <w:lang w:val="en-US" w:eastAsia="zh-CN"/>
        </w:rPr>
        <w:t>债务</w:t>
      </w:r>
      <w:r>
        <w:rPr>
          <w:rFonts w:hint="eastAsia" w:ascii="仿宋_GB2312" w:hAnsi="Times New Roman" w:eastAsia="仿宋_GB2312" w:cs="Times New Roman"/>
          <w:color w:val="auto"/>
          <w:sz w:val="32"/>
          <w:szCs w:val="32"/>
          <w:highlight w:val="none"/>
        </w:rPr>
        <w:t>人经营状况、财务状况、担保、非财务等各项因素进行全面、综合分析的基础上，按照分类标准进行分类。</w:t>
      </w:r>
      <w:r>
        <w:rPr>
          <w:rFonts w:hint="eastAsia" w:ascii="仿宋_GB2312" w:hAnsi="Times New Roman" w:eastAsia="仿宋_GB2312" w:cs="Times New Roman"/>
          <w:color w:val="auto"/>
          <w:sz w:val="32"/>
          <w:szCs w:val="32"/>
          <w:highlight w:val="none"/>
          <w:lang w:val="en-US" w:eastAsia="zh-CN"/>
        </w:rPr>
        <w:t>金融</w:t>
      </w:r>
      <w:r>
        <w:rPr>
          <w:rFonts w:hint="eastAsia" w:ascii="仿宋_GB2312" w:hAnsi="Times New Roman" w:eastAsia="仿宋_GB2312" w:cs="Times New Roman"/>
          <w:color w:val="auto"/>
          <w:sz w:val="32"/>
          <w:szCs w:val="32"/>
          <w:highlight w:val="none"/>
        </w:rPr>
        <w:t>资产风险分类实行</w:t>
      </w:r>
      <w:r>
        <w:rPr>
          <w:rFonts w:hint="eastAsia" w:ascii="仿宋_GB2312" w:hAnsi="Times New Roman" w:eastAsia="仿宋_GB2312" w:cs="Times New Roman"/>
          <w:color w:val="auto"/>
          <w:sz w:val="32"/>
          <w:szCs w:val="32"/>
          <w:highlight w:val="none"/>
          <w:lang w:val="en-US" w:eastAsia="zh-CN"/>
        </w:rPr>
        <w:t>按季</w:t>
      </w:r>
      <w:r>
        <w:rPr>
          <w:rFonts w:hint="eastAsia" w:ascii="仿宋_GB2312" w:hAnsi="Times New Roman" w:eastAsia="仿宋_GB2312" w:cs="Times New Roman"/>
          <w:color w:val="auto"/>
          <w:sz w:val="32"/>
          <w:szCs w:val="32"/>
          <w:highlight w:val="none"/>
        </w:rPr>
        <w:t>初分</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动态调整、</w:t>
      </w:r>
      <w:r>
        <w:rPr>
          <w:rFonts w:hint="eastAsia" w:ascii="仿宋_GB2312" w:hAnsi="Times New Roman" w:eastAsia="仿宋_GB2312" w:cs="Times New Roman"/>
          <w:color w:val="auto"/>
          <w:sz w:val="32"/>
          <w:szCs w:val="32"/>
          <w:highlight w:val="none"/>
        </w:rPr>
        <w:t>分级认定</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超限报批，按季度汇总分析。</w:t>
      </w:r>
    </w:p>
    <w:p>
      <w:pPr>
        <w:spacing w:line="480" w:lineRule="exact"/>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3</w:t>
      </w:r>
      <w:r>
        <w:rPr>
          <w:rFonts w:hint="eastAsia" w:ascii="仿宋_GB2312" w:eastAsia="仿宋_GB2312"/>
          <w:b/>
          <w:bCs/>
          <w:color w:val="auto"/>
          <w:sz w:val="32"/>
          <w:szCs w:val="32"/>
          <w:highlight w:val="none"/>
        </w:rPr>
        <w:t>）信贷资产分布情况</w:t>
      </w:r>
    </w:p>
    <w:p>
      <w:pPr>
        <w:spacing w:line="4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本行以“立足本土，服务社区、支农支小”为市场定位，重点满足“三农”及中小企业的信贷需求，大力拓宽服务领域，不断创新服务手段，大力促进城乡经济协调发展，贷款分布主要集中在农、林、牧、渔业，批发和零售业，以及制造业、</w:t>
      </w:r>
      <w:r>
        <w:rPr>
          <w:rFonts w:hint="eastAsia" w:ascii="仿宋_GB2312" w:eastAsia="仿宋_GB2312"/>
          <w:color w:val="auto"/>
          <w:sz w:val="32"/>
          <w:szCs w:val="32"/>
          <w:highlight w:val="none"/>
          <w:lang w:val="en-US" w:eastAsia="zh-CN"/>
        </w:rPr>
        <w:t>建筑业、交通运输、仓储和邮政业</w:t>
      </w:r>
      <w:r>
        <w:rPr>
          <w:rFonts w:hint="eastAsia" w:ascii="仿宋_GB2312" w:eastAsia="仿宋_GB2312"/>
          <w:color w:val="auto"/>
          <w:sz w:val="32"/>
          <w:szCs w:val="32"/>
          <w:highlight w:val="none"/>
        </w:rPr>
        <w:t>等方面。</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（4）普惠小微企业服务情况</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直以来，本行始终坚持以客户为中心服务理念，积极研究中央及上级普惠金融文件精神贯彻落实小微企业金融服务深化工作，从加快金融产品创新、丰富金融产品体系、改进金融服务手段、提升金融服务效率等方面入手，做大做强普惠金融服务供应商地位，有效推动了地方经济的发展。报告期内，</w:t>
      </w:r>
      <w:r>
        <w:rPr>
          <w:rFonts w:hint="eastAsia" w:ascii="仿宋_GB2312" w:eastAsia="仿宋_GB2312"/>
          <w:color w:val="auto"/>
          <w:sz w:val="32"/>
          <w:szCs w:val="32"/>
          <w:highlight w:val="none"/>
          <w:lang w:eastAsia="zh-CN"/>
        </w:rPr>
        <w:t>本行</w:t>
      </w:r>
      <w:r>
        <w:rPr>
          <w:rFonts w:hint="eastAsia" w:ascii="仿宋_GB2312" w:eastAsia="仿宋_GB2312"/>
          <w:color w:val="auto"/>
          <w:sz w:val="32"/>
          <w:szCs w:val="32"/>
          <w:highlight w:val="none"/>
        </w:rPr>
        <w:t>共有营业网点</w:t>
      </w:r>
      <w:r>
        <w:rPr>
          <w:rFonts w:hint="eastAsia" w:ascii="仿宋_GB2312" w:eastAsia="仿宋_GB2312"/>
          <w:color w:val="auto"/>
          <w:sz w:val="32"/>
          <w:szCs w:val="32"/>
          <w:highlight w:val="none"/>
          <w:lang w:val="en-US" w:eastAsia="zh-CN"/>
        </w:rPr>
        <w:t>33</w:t>
      </w:r>
      <w:r>
        <w:rPr>
          <w:rFonts w:hint="eastAsia" w:ascii="仿宋_GB2312" w:eastAsia="仿宋_GB2312"/>
          <w:color w:val="auto"/>
          <w:sz w:val="32"/>
          <w:szCs w:val="32"/>
          <w:highlight w:val="none"/>
        </w:rPr>
        <w:t>个，全行信贷业务人员</w:t>
      </w:r>
      <w:r>
        <w:rPr>
          <w:rFonts w:hint="eastAsia" w:ascii="仿宋_GB2312" w:eastAsia="仿宋_GB2312"/>
          <w:color w:val="auto"/>
          <w:sz w:val="32"/>
          <w:szCs w:val="32"/>
          <w:highlight w:val="none"/>
          <w:lang w:val="en-US" w:eastAsia="zh-CN"/>
        </w:rPr>
        <w:t>187</w:t>
      </w:r>
      <w:r>
        <w:rPr>
          <w:rFonts w:hint="eastAsia" w:ascii="仿宋_GB2312" w:eastAsia="仿宋_GB2312"/>
          <w:color w:val="auto"/>
          <w:sz w:val="32"/>
          <w:szCs w:val="32"/>
          <w:highlight w:val="none"/>
        </w:rPr>
        <w:t>人。</w:t>
      </w:r>
      <w:r>
        <w:rPr>
          <w:rFonts w:hint="eastAsia" w:ascii="仿宋_GB2312" w:hAnsi="仿宋_GB2312" w:eastAsia="仿宋_GB2312" w:cs="仿宋_GB2312"/>
          <w:color w:val="auto"/>
          <w:sz w:val="32"/>
          <w:szCs w:val="32"/>
          <w:highlight w:val="none"/>
        </w:rPr>
        <w:t>各项贷款余额</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val="en-US" w:eastAsia="zh-CN"/>
        </w:rPr>
        <w:t>金监局口径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146.48</w:t>
      </w:r>
      <w:r>
        <w:rPr>
          <w:rFonts w:hint="eastAsia" w:ascii="仿宋_GB2312" w:hAnsi="仿宋_GB2312" w:eastAsia="仿宋_GB2312" w:cs="仿宋_GB2312"/>
          <w:color w:val="auto"/>
          <w:sz w:val="32"/>
          <w:szCs w:val="32"/>
          <w:highlight w:val="none"/>
        </w:rPr>
        <w:t>亿元，较年初增加</w:t>
      </w:r>
      <w:r>
        <w:rPr>
          <w:rFonts w:hint="eastAsia" w:ascii="仿宋_GB2312" w:hAnsi="仿宋_GB2312" w:eastAsia="仿宋_GB2312" w:cs="仿宋_GB2312"/>
          <w:color w:val="auto"/>
          <w:sz w:val="32"/>
          <w:szCs w:val="32"/>
          <w:highlight w:val="none"/>
          <w:lang w:val="en-US" w:eastAsia="zh-CN"/>
        </w:rPr>
        <w:t>6.67</w:t>
      </w:r>
      <w:r>
        <w:rPr>
          <w:rFonts w:hint="eastAsia" w:ascii="仿宋_GB2312" w:hAnsi="仿宋_GB2312" w:eastAsia="仿宋_GB2312" w:cs="仿宋_GB2312"/>
          <w:color w:val="auto"/>
          <w:sz w:val="32"/>
          <w:szCs w:val="32"/>
          <w:highlight w:val="none"/>
        </w:rPr>
        <w:t>亿元，增幅</w:t>
      </w:r>
      <w:r>
        <w:rPr>
          <w:rFonts w:hint="eastAsia" w:ascii="仿宋_GB2312" w:hAnsi="仿宋_GB2312" w:eastAsia="仿宋_GB2312" w:cs="仿宋_GB2312"/>
          <w:color w:val="auto"/>
          <w:sz w:val="32"/>
          <w:szCs w:val="32"/>
          <w:highlight w:val="none"/>
          <w:lang w:val="en-US" w:eastAsia="zh-CN"/>
        </w:rPr>
        <w:t>4.77</w:t>
      </w:r>
      <w:r>
        <w:rPr>
          <w:rFonts w:hint="eastAsia" w:ascii="仿宋_GB2312" w:hAnsi="仿宋_GB2312" w:eastAsia="仿宋_GB2312" w:cs="仿宋_GB2312"/>
          <w:color w:val="auto"/>
          <w:sz w:val="32"/>
          <w:szCs w:val="32"/>
          <w:highlight w:val="none"/>
        </w:rPr>
        <w:t>%。累计发放小微贷款</w:t>
      </w:r>
      <w:r>
        <w:rPr>
          <w:rFonts w:hint="eastAsia" w:ascii="仿宋_GB2312" w:hAnsi="仿宋_GB2312" w:eastAsia="仿宋_GB2312" w:cs="仿宋_GB2312"/>
          <w:color w:val="auto"/>
          <w:sz w:val="32"/>
          <w:szCs w:val="32"/>
          <w:highlight w:val="none"/>
          <w:lang w:val="en-US" w:eastAsia="zh-CN"/>
        </w:rPr>
        <w:t>79.08</w:t>
      </w:r>
      <w:r>
        <w:rPr>
          <w:rFonts w:hint="eastAsia" w:ascii="仿宋_GB2312" w:hAnsi="仿宋_GB2312" w:eastAsia="仿宋_GB2312" w:cs="仿宋_GB2312"/>
          <w:color w:val="auto"/>
          <w:sz w:val="32"/>
          <w:szCs w:val="32"/>
          <w:highlight w:val="none"/>
        </w:rPr>
        <w:t>亿元，小微企业贷款余额较年初增加</w:t>
      </w:r>
      <w:r>
        <w:rPr>
          <w:rFonts w:hint="eastAsia" w:ascii="仿宋_GB2312" w:hAnsi="仿宋_GB2312" w:eastAsia="仿宋_GB2312" w:cs="仿宋_GB2312"/>
          <w:color w:val="auto"/>
          <w:sz w:val="32"/>
          <w:szCs w:val="32"/>
          <w:highlight w:val="none"/>
          <w:lang w:val="en-US" w:eastAsia="zh-CN"/>
        </w:rPr>
        <w:t>9.57</w:t>
      </w:r>
      <w:r>
        <w:rPr>
          <w:rFonts w:hint="eastAsia" w:ascii="仿宋_GB2312" w:hAnsi="仿宋_GB2312" w:eastAsia="仿宋_GB2312" w:cs="仿宋_GB2312"/>
          <w:color w:val="auto"/>
          <w:sz w:val="32"/>
          <w:szCs w:val="32"/>
          <w:highlight w:val="none"/>
        </w:rPr>
        <w:t>亿元，增幅</w:t>
      </w:r>
      <w:r>
        <w:rPr>
          <w:rFonts w:hint="eastAsia" w:ascii="仿宋_GB2312" w:hAnsi="仿宋_GB2312" w:eastAsia="仿宋_GB2312" w:cs="仿宋_GB2312"/>
          <w:color w:val="auto"/>
          <w:sz w:val="32"/>
          <w:szCs w:val="32"/>
          <w:highlight w:val="none"/>
          <w:lang w:val="en-US" w:eastAsia="zh-CN"/>
        </w:rPr>
        <w:t>8.94</w:t>
      </w:r>
      <w:r>
        <w:rPr>
          <w:rFonts w:hint="eastAsia" w:ascii="仿宋_GB2312" w:hAnsi="仿宋_GB2312" w:eastAsia="仿宋_GB2312" w:cs="仿宋_GB2312"/>
          <w:color w:val="auto"/>
          <w:sz w:val="32"/>
          <w:szCs w:val="32"/>
          <w:highlight w:val="none"/>
        </w:rPr>
        <w:t>%。其中202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年末</w:t>
      </w: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color w:val="auto"/>
          <w:sz w:val="32"/>
          <w:szCs w:val="32"/>
          <w:highlight w:val="none"/>
        </w:rPr>
        <w:t>1000万以下普惠型小微企业贷款余额</w:t>
      </w:r>
      <w:r>
        <w:rPr>
          <w:rFonts w:hint="eastAsia" w:ascii="仿宋_GB2312" w:hAnsi="仿宋_GB2312" w:eastAsia="仿宋_GB2312" w:cs="仿宋_GB2312"/>
          <w:color w:val="auto"/>
          <w:sz w:val="32"/>
          <w:szCs w:val="32"/>
          <w:highlight w:val="none"/>
          <w:lang w:val="en-US" w:eastAsia="zh-CN"/>
        </w:rPr>
        <w:t>78.87</w:t>
      </w:r>
      <w:r>
        <w:rPr>
          <w:rFonts w:hint="eastAsia" w:ascii="仿宋_GB2312" w:hAnsi="仿宋_GB2312" w:eastAsia="仿宋_GB2312" w:cs="仿宋_GB2312"/>
          <w:color w:val="auto"/>
          <w:sz w:val="32"/>
          <w:szCs w:val="32"/>
          <w:highlight w:val="none"/>
        </w:rPr>
        <w:t>亿元，较年初增加</w:t>
      </w:r>
      <w:r>
        <w:rPr>
          <w:rFonts w:hint="eastAsia" w:ascii="仿宋_GB2312" w:hAnsi="仿宋_GB2312" w:eastAsia="仿宋_GB2312" w:cs="仿宋_GB2312"/>
          <w:color w:val="auto"/>
          <w:sz w:val="32"/>
          <w:szCs w:val="32"/>
          <w:highlight w:val="none"/>
          <w:lang w:val="en-US" w:eastAsia="zh-CN"/>
        </w:rPr>
        <w:t>5.06</w:t>
      </w:r>
      <w:r>
        <w:rPr>
          <w:rFonts w:hint="eastAsia" w:ascii="仿宋_GB2312" w:hAnsi="仿宋_GB2312" w:eastAsia="仿宋_GB2312" w:cs="仿宋_GB2312"/>
          <w:color w:val="auto"/>
          <w:sz w:val="32"/>
          <w:szCs w:val="32"/>
          <w:highlight w:val="none"/>
        </w:rPr>
        <w:t>亿，增速</w:t>
      </w:r>
      <w:r>
        <w:rPr>
          <w:rFonts w:hint="eastAsia" w:ascii="仿宋_GB2312" w:hAnsi="仿宋_GB2312" w:eastAsia="仿宋_GB2312" w:cs="仿宋_GB2312"/>
          <w:color w:val="auto"/>
          <w:sz w:val="32"/>
          <w:szCs w:val="32"/>
          <w:highlight w:val="none"/>
          <w:lang w:val="en-US" w:eastAsia="zh-CN"/>
        </w:rPr>
        <w:t>6.85</w:t>
      </w:r>
      <w:r>
        <w:rPr>
          <w:rFonts w:hint="eastAsia" w:ascii="仿宋_GB2312" w:hAnsi="仿宋_GB2312" w:eastAsia="仿宋_GB2312" w:cs="仿宋_GB2312"/>
          <w:color w:val="auto"/>
          <w:sz w:val="32"/>
          <w:szCs w:val="32"/>
          <w:highlight w:val="none"/>
        </w:rPr>
        <w:t>%，高于各项贷款（不含票据）增速</w:t>
      </w:r>
      <w:r>
        <w:rPr>
          <w:rFonts w:hint="eastAsia" w:ascii="仿宋_GB2312" w:hAnsi="仿宋_GB2312" w:eastAsia="仿宋_GB2312" w:cs="仿宋_GB2312"/>
          <w:color w:val="auto"/>
          <w:sz w:val="32"/>
          <w:szCs w:val="32"/>
          <w:highlight w:val="none"/>
          <w:lang w:val="en-US" w:eastAsia="zh-CN"/>
        </w:rPr>
        <w:t>6.77</w:t>
      </w:r>
      <w:r>
        <w:rPr>
          <w:rFonts w:hint="eastAsia" w:ascii="仿宋_GB2312" w:hAnsi="仿宋_GB2312" w:eastAsia="仿宋_GB2312" w:cs="仿宋_GB2312"/>
          <w:color w:val="auto"/>
          <w:sz w:val="32"/>
          <w:szCs w:val="32"/>
          <w:highlight w:val="none"/>
        </w:rPr>
        <w:t>个百分点，普惠型小微贷款户数</w:t>
      </w:r>
      <w:r>
        <w:rPr>
          <w:rFonts w:hint="eastAsia" w:ascii="仿宋_GB2312" w:hAnsi="仿宋_GB2312" w:eastAsia="仿宋_GB2312" w:cs="仿宋_GB2312"/>
          <w:color w:val="auto"/>
          <w:sz w:val="32"/>
          <w:szCs w:val="32"/>
          <w:highlight w:val="none"/>
          <w:lang w:val="en-US" w:eastAsia="zh-CN"/>
        </w:rPr>
        <w:t>21347</w:t>
      </w:r>
      <w:r>
        <w:rPr>
          <w:rFonts w:hint="eastAsia" w:ascii="仿宋_GB2312" w:hAnsi="仿宋_GB2312" w:eastAsia="仿宋_GB2312" w:cs="仿宋_GB2312"/>
          <w:color w:val="auto"/>
          <w:sz w:val="32"/>
          <w:szCs w:val="32"/>
          <w:highlight w:val="none"/>
        </w:rPr>
        <w:t>户，较年初增加</w:t>
      </w:r>
      <w:r>
        <w:rPr>
          <w:rFonts w:hint="eastAsia" w:ascii="仿宋_GB2312" w:hAnsi="仿宋_GB2312" w:eastAsia="仿宋_GB2312" w:cs="仿宋_GB2312"/>
          <w:color w:val="auto"/>
          <w:sz w:val="32"/>
          <w:szCs w:val="32"/>
          <w:highlight w:val="none"/>
          <w:lang w:val="en-US" w:eastAsia="zh-CN"/>
        </w:rPr>
        <w:t>4627</w:t>
      </w:r>
      <w:r>
        <w:rPr>
          <w:rFonts w:hint="eastAsia" w:ascii="仿宋_GB2312" w:hAnsi="仿宋_GB2312" w:eastAsia="仿宋_GB2312" w:cs="仿宋_GB2312"/>
          <w:color w:val="auto"/>
          <w:sz w:val="32"/>
          <w:szCs w:val="32"/>
          <w:highlight w:val="none"/>
        </w:rPr>
        <w:t>户。当年新发放普惠型小微贷款平均利率</w:t>
      </w:r>
      <w:r>
        <w:rPr>
          <w:rFonts w:hint="eastAsia" w:ascii="仿宋_GB2312" w:hAnsi="仿宋_GB2312" w:eastAsia="仿宋_GB2312" w:cs="仿宋_GB2312"/>
          <w:color w:val="auto"/>
          <w:sz w:val="32"/>
          <w:szCs w:val="32"/>
          <w:highlight w:val="none"/>
          <w:lang w:val="en-US" w:eastAsia="zh-CN"/>
        </w:rPr>
        <w:t>5.21</w:t>
      </w:r>
      <w:r>
        <w:rPr>
          <w:rFonts w:hint="eastAsia" w:ascii="仿宋_GB2312" w:hAnsi="仿宋_GB2312" w:eastAsia="仿宋_GB2312" w:cs="仿宋_GB2312"/>
          <w:color w:val="auto"/>
          <w:sz w:val="32"/>
          <w:szCs w:val="32"/>
          <w:highlight w:val="none"/>
        </w:rPr>
        <w:t>%，较年初下降</w:t>
      </w:r>
      <w:r>
        <w:rPr>
          <w:rFonts w:hint="eastAsia" w:ascii="仿宋_GB2312" w:hAnsi="仿宋_GB2312" w:eastAsia="仿宋_GB2312" w:cs="仿宋_GB2312"/>
          <w:color w:val="auto"/>
          <w:sz w:val="32"/>
          <w:szCs w:val="32"/>
          <w:highlight w:val="none"/>
          <w:lang w:val="en-US" w:eastAsia="zh-CN"/>
        </w:rPr>
        <w:t>1.26</w:t>
      </w:r>
      <w:r>
        <w:rPr>
          <w:rFonts w:hint="eastAsia" w:ascii="仿宋_GB2312" w:hAnsi="仿宋_GB2312" w:eastAsia="仿宋_GB2312" w:cs="仿宋_GB2312"/>
          <w:color w:val="auto"/>
          <w:sz w:val="32"/>
          <w:szCs w:val="32"/>
          <w:highlight w:val="none"/>
        </w:rPr>
        <w:t>个百分点，切实降低了小微企业贷款融资成本。全面实现了普惠小微企业贷款“两增两控”的目标。</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hAnsi="Times New Roman" w:eastAsia="仿宋_GB2312" w:cs="Times New Roman"/>
          <w:b/>
          <w:color w:val="auto"/>
          <w:sz w:val="32"/>
          <w:szCs w:val="32"/>
          <w:highlight w:val="none"/>
        </w:rPr>
      </w:pPr>
      <w:r>
        <w:rPr>
          <w:rFonts w:ascii="仿宋_GB2312" w:hAnsi="Times New Roman" w:eastAsia="仿宋_GB2312" w:cs="Times New Roman"/>
          <w:b/>
          <w:color w:val="auto"/>
          <w:sz w:val="32"/>
          <w:szCs w:val="32"/>
          <w:highlight w:val="none"/>
        </w:rPr>
        <w:t>7.6</w:t>
      </w:r>
      <w:r>
        <w:rPr>
          <w:rFonts w:hint="eastAsia" w:ascii="仿宋_GB2312" w:hAnsi="Times New Roman" w:eastAsia="仿宋_GB2312" w:cs="Times New Roman"/>
          <w:b/>
          <w:color w:val="auto"/>
          <w:sz w:val="32"/>
          <w:szCs w:val="32"/>
          <w:highlight w:val="none"/>
        </w:rPr>
        <w:t>流动性风险状况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lang w:val="en-US" w:eastAsia="zh-CN"/>
        </w:rPr>
        <w:t>1）</w:t>
      </w:r>
      <w:r>
        <w:rPr>
          <w:rFonts w:hint="eastAsia" w:ascii="仿宋_GB2312" w:eastAsia="仿宋_GB2312"/>
          <w:b w:val="0"/>
          <w:bCs/>
          <w:color w:val="auto"/>
          <w:sz w:val="32"/>
          <w:szCs w:val="32"/>
          <w:highlight w:val="none"/>
        </w:rPr>
        <w:t>流动性比例符合监管要求。202</w:t>
      </w:r>
      <w:r>
        <w:rPr>
          <w:rFonts w:hint="eastAsia" w:ascii="仿宋_GB2312" w:eastAsia="仿宋_GB2312"/>
          <w:b w:val="0"/>
          <w:bCs/>
          <w:color w:val="auto"/>
          <w:sz w:val="32"/>
          <w:szCs w:val="32"/>
          <w:highlight w:val="none"/>
          <w:lang w:val="en-US" w:eastAsia="zh-CN"/>
        </w:rPr>
        <w:t>4</w:t>
      </w:r>
      <w:r>
        <w:rPr>
          <w:rFonts w:hint="eastAsia" w:ascii="仿宋_GB2312" w:eastAsia="仿宋_GB2312"/>
          <w:b w:val="0"/>
          <w:bCs/>
          <w:color w:val="auto"/>
          <w:sz w:val="32"/>
          <w:szCs w:val="32"/>
          <w:highlight w:val="none"/>
        </w:rPr>
        <w:t>年末，流动性比例为</w:t>
      </w:r>
      <w:r>
        <w:rPr>
          <w:rFonts w:hint="eastAsia" w:ascii="仿宋_GB2312" w:eastAsia="仿宋_GB2312"/>
          <w:b w:val="0"/>
          <w:bCs/>
          <w:color w:val="auto"/>
          <w:sz w:val="32"/>
          <w:szCs w:val="32"/>
          <w:highlight w:val="none"/>
          <w:lang w:val="en-US" w:eastAsia="zh-CN"/>
        </w:rPr>
        <w:t>90.17</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eastAsia="zh-CN"/>
        </w:rPr>
        <w:t>较年初上升</w:t>
      </w:r>
      <w:r>
        <w:rPr>
          <w:rFonts w:hint="eastAsia" w:ascii="仿宋_GB2312" w:eastAsia="仿宋_GB2312"/>
          <w:b w:val="0"/>
          <w:bCs/>
          <w:color w:val="auto"/>
          <w:sz w:val="32"/>
          <w:szCs w:val="32"/>
          <w:highlight w:val="none"/>
          <w:lang w:val="en-US" w:eastAsia="zh-CN"/>
        </w:rPr>
        <w:t>25.84</w:t>
      </w:r>
      <w:r>
        <w:rPr>
          <w:rFonts w:hint="eastAsia" w:ascii="仿宋_GB2312" w:eastAsia="仿宋_GB2312"/>
          <w:b w:val="0"/>
          <w:bCs/>
          <w:color w:val="auto"/>
          <w:sz w:val="32"/>
          <w:szCs w:val="32"/>
          <w:highlight w:val="none"/>
        </w:rPr>
        <w:t>个百分点</w:t>
      </w:r>
      <w:r>
        <w:rPr>
          <w:rFonts w:hint="eastAsia" w:ascii="仿宋_GB2312" w:eastAsia="仿宋_GB2312"/>
          <w:b w:val="0"/>
          <w:bCs/>
          <w:color w:val="auto"/>
          <w:sz w:val="32"/>
          <w:szCs w:val="32"/>
          <w:highlight w:val="none"/>
          <w:lang w:val="en-US" w:eastAsia="zh-CN"/>
        </w:rPr>
        <w:t>，</w:t>
      </w:r>
      <w:r>
        <w:rPr>
          <w:rFonts w:hint="eastAsia" w:ascii="仿宋_GB2312" w:eastAsia="仿宋_GB2312"/>
          <w:b w:val="0"/>
          <w:bCs/>
          <w:color w:val="auto"/>
          <w:sz w:val="32"/>
          <w:szCs w:val="32"/>
          <w:highlight w:val="none"/>
          <w:lang w:eastAsia="zh-CN"/>
        </w:rPr>
        <w:t>高于</w:t>
      </w:r>
      <w:r>
        <w:rPr>
          <w:rFonts w:hint="eastAsia" w:ascii="仿宋_GB2312" w:eastAsia="仿宋_GB2312"/>
          <w:b w:val="0"/>
          <w:bCs/>
          <w:color w:val="auto"/>
          <w:sz w:val="32"/>
          <w:szCs w:val="32"/>
          <w:highlight w:val="none"/>
          <w:lang w:val="en-US" w:eastAsia="zh-CN"/>
        </w:rPr>
        <w:t>25%的</w:t>
      </w:r>
      <w:r>
        <w:rPr>
          <w:rFonts w:hint="eastAsia" w:ascii="仿宋_GB2312" w:eastAsia="仿宋_GB2312"/>
          <w:b w:val="0"/>
          <w:bCs/>
          <w:color w:val="auto"/>
          <w:sz w:val="32"/>
          <w:szCs w:val="32"/>
          <w:highlight w:val="none"/>
          <w:lang w:eastAsia="zh-CN"/>
        </w:rPr>
        <w:t>监管标准</w:t>
      </w:r>
      <w:r>
        <w:rPr>
          <w:rFonts w:hint="eastAsia" w:ascii="仿宋_GB2312" w:eastAsia="仿宋_GB2312"/>
          <w:b w:val="0"/>
          <w:bCs/>
          <w:color w:val="auto"/>
          <w:sz w:val="32"/>
          <w:szCs w:val="32"/>
          <w:highlight w:val="none"/>
        </w:rPr>
        <w:t>。本行将继续推动票据承兑</w:t>
      </w:r>
      <w:r>
        <w:rPr>
          <w:rFonts w:hint="eastAsia" w:ascii="仿宋_GB2312" w:eastAsia="仿宋_GB2312"/>
          <w:b w:val="0"/>
          <w:bCs/>
          <w:color w:val="auto"/>
          <w:sz w:val="32"/>
          <w:szCs w:val="32"/>
          <w:highlight w:val="none"/>
          <w:lang w:eastAsia="zh-CN"/>
        </w:rPr>
        <w:t>、信用拆借</w:t>
      </w:r>
      <w:r>
        <w:rPr>
          <w:rFonts w:hint="eastAsia" w:ascii="仿宋_GB2312" w:eastAsia="仿宋_GB2312"/>
          <w:b w:val="0"/>
          <w:bCs/>
          <w:color w:val="auto"/>
          <w:sz w:val="32"/>
          <w:szCs w:val="32"/>
          <w:highlight w:val="none"/>
        </w:rPr>
        <w:t>和贴现业务，改变信贷的单一投向，扩大服务群体，加快资金流转速度；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w:t>
      </w:r>
      <w:r>
        <w:rPr>
          <w:rFonts w:ascii="仿宋_GB2312" w:eastAsia="仿宋_GB2312"/>
          <w:b w:val="0"/>
          <w:bCs/>
          <w:color w:val="auto"/>
          <w:sz w:val="32"/>
          <w:szCs w:val="32"/>
          <w:highlight w:val="none"/>
        </w:rPr>
        <w:t>2</w:t>
      </w:r>
      <w:r>
        <w:rPr>
          <w:rFonts w:hint="eastAsia" w:ascii="仿宋_GB2312" w:eastAsia="仿宋_GB2312"/>
          <w:b w:val="0"/>
          <w:bCs/>
          <w:color w:val="auto"/>
          <w:sz w:val="32"/>
          <w:szCs w:val="32"/>
          <w:highlight w:val="none"/>
        </w:rPr>
        <w:t>）核心负债依存度为</w:t>
      </w:r>
      <w:r>
        <w:rPr>
          <w:rFonts w:hint="eastAsia" w:ascii="仿宋_GB2312" w:eastAsia="仿宋_GB2312"/>
          <w:b w:val="0"/>
          <w:bCs/>
          <w:color w:val="auto"/>
          <w:sz w:val="32"/>
          <w:szCs w:val="32"/>
          <w:highlight w:val="none"/>
          <w:lang w:val="en-US" w:eastAsia="zh-CN"/>
        </w:rPr>
        <w:t>68.13</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，流动性缺口率</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lang w:val="en-US" w:eastAsia="zh-CN"/>
        </w:rPr>
        <w:t>30天</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rPr>
        <w:t>为</w:t>
      </w:r>
      <w:r>
        <w:rPr>
          <w:rFonts w:hint="eastAsia" w:ascii="仿宋_GB2312" w:eastAsia="仿宋_GB2312"/>
          <w:b w:val="0"/>
          <w:bCs/>
          <w:color w:val="auto"/>
          <w:sz w:val="32"/>
          <w:szCs w:val="32"/>
          <w:highlight w:val="none"/>
          <w:lang w:val="en-US" w:eastAsia="zh-CN"/>
        </w:rPr>
        <w:t>24.04</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，人民币超额备付率</w:t>
      </w:r>
      <w:r>
        <w:rPr>
          <w:rFonts w:hint="eastAsia" w:ascii="仿宋_GB2312" w:eastAsia="仿宋_GB2312"/>
          <w:b w:val="0"/>
          <w:bCs/>
          <w:color w:val="auto"/>
          <w:sz w:val="32"/>
          <w:szCs w:val="32"/>
          <w:highlight w:val="none"/>
          <w:lang w:val="en-US" w:eastAsia="zh-CN"/>
        </w:rPr>
        <w:t>0.59</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，均符合监管要求；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w:t>
      </w:r>
      <w:r>
        <w:rPr>
          <w:rFonts w:ascii="仿宋_GB2312" w:eastAsia="仿宋_GB2312"/>
          <w:b w:val="0"/>
          <w:bCs/>
          <w:color w:val="auto"/>
          <w:sz w:val="32"/>
          <w:szCs w:val="32"/>
          <w:highlight w:val="none"/>
        </w:rPr>
        <w:t>3</w:t>
      </w:r>
      <w:r>
        <w:rPr>
          <w:rFonts w:hint="eastAsia" w:ascii="仿宋_GB2312" w:eastAsia="仿宋_GB2312"/>
          <w:b w:val="0"/>
          <w:bCs/>
          <w:color w:val="auto"/>
          <w:sz w:val="32"/>
          <w:szCs w:val="32"/>
          <w:highlight w:val="none"/>
        </w:rPr>
        <w:t>）202</w:t>
      </w:r>
      <w:r>
        <w:rPr>
          <w:rFonts w:hint="eastAsia" w:ascii="仿宋_GB2312" w:eastAsia="仿宋_GB2312"/>
          <w:b w:val="0"/>
          <w:bCs/>
          <w:color w:val="auto"/>
          <w:sz w:val="32"/>
          <w:szCs w:val="32"/>
          <w:highlight w:val="none"/>
          <w:lang w:val="en-US" w:eastAsia="zh-CN"/>
        </w:rPr>
        <w:t>4</w:t>
      </w:r>
      <w:r>
        <w:rPr>
          <w:rFonts w:hint="eastAsia" w:ascii="仿宋_GB2312" w:eastAsia="仿宋_GB2312"/>
          <w:b w:val="0"/>
          <w:bCs/>
          <w:color w:val="auto"/>
          <w:sz w:val="32"/>
          <w:szCs w:val="32"/>
          <w:highlight w:val="none"/>
        </w:rPr>
        <w:t>年末存贷比例为</w:t>
      </w:r>
      <w:r>
        <w:rPr>
          <w:rFonts w:hint="eastAsia" w:ascii="仿宋_GB2312" w:eastAsia="仿宋_GB2312"/>
          <w:b w:val="0"/>
          <w:bCs/>
          <w:color w:val="auto"/>
          <w:sz w:val="32"/>
          <w:szCs w:val="32"/>
          <w:highlight w:val="none"/>
          <w:lang w:val="en-US" w:eastAsia="zh-CN"/>
        </w:rPr>
        <w:t>65</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，较年初上升</w:t>
      </w:r>
      <w:r>
        <w:rPr>
          <w:rFonts w:hint="eastAsia" w:ascii="仿宋_GB2312" w:eastAsia="仿宋_GB2312"/>
          <w:b w:val="0"/>
          <w:bCs/>
          <w:color w:val="auto"/>
          <w:sz w:val="32"/>
          <w:szCs w:val="32"/>
          <w:highlight w:val="none"/>
          <w:lang w:val="en-US" w:eastAsia="zh-CN"/>
        </w:rPr>
        <w:t>0.04</w:t>
      </w:r>
      <w:r>
        <w:rPr>
          <w:rFonts w:hint="eastAsia" w:ascii="仿宋_GB2312" w:eastAsia="仿宋_GB2312"/>
          <w:b w:val="0"/>
          <w:bCs/>
          <w:color w:val="auto"/>
          <w:sz w:val="32"/>
          <w:szCs w:val="32"/>
          <w:highlight w:val="none"/>
        </w:rPr>
        <w:t>个百分点。</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7.7</w:t>
      </w:r>
      <w:r>
        <w:rPr>
          <w:rFonts w:hint="eastAsia" w:ascii="仿宋_GB2312" w:eastAsia="仿宋_GB2312"/>
          <w:b/>
          <w:color w:val="auto"/>
          <w:sz w:val="32"/>
          <w:szCs w:val="32"/>
          <w:highlight w:val="none"/>
        </w:rPr>
        <w:t>市场风险状况</w:t>
      </w:r>
    </w:p>
    <w:p>
      <w:pPr>
        <w:pStyle w:val="4"/>
        <w:keepNext w:val="0"/>
        <w:keepLines w:val="0"/>
        <w:pageBreakBefore w:val="0"/>
        <w:kinsoku/>
        <w:wordWrap/>
        <w:overflowPunct/>
        <w:topLinePunct w:val="0"/>
        <w:autoSpaceDE/>
        <w:autoSpaceDN/>
        <w:bidi w:val="0"/>
        <w:adjustRightInd/>
        <w:snapToGrid/>
        <w:spacing w:after="0" w:line="48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本行专注主业发展，未开办国际业务。为积极应对市场风险，充分依托省联社平台，着力完善利率管理组织、定价调整流程，逐步完善定价模型和定价标准，制定一系列投资业务管理办法，致力建立与市场接轨的快速反应机制；定期开展投后管理及风险排查，建立资金业务明细台账，对投资项目底层资产加强风险监测。总体上，市场风险在可控范围。</w:t>
      </w:r>
    </w:p>
    <w:p>
      <w:pPr>
        <w:spacing w:line="480" w:lineRule="exact"/>
        <w:ind w:firstLine="643" w:firstLineChars="200"/>
        <w:rPr>
          <w:rFonts w:ascii="仿宋_GB2312" w:eastAsia="仿宋_GB2312"/>
          <w:b/>
          <w:color w:val="auto"/>
          <w:sz w:val="32"/>
          <w:szCs w:val="32"/>
          <w:highlight w:val="none"/>
        </w:rPr>
      </w:pPr>
      <w:r>
        <w:rPr>
          <w:rFonts w:ascii="仿宋_GB2312" w:eastAsia="仿宋_GB2312"/>
          <w:b/>
          <w:color w:val="auto"/>
          <w:sz w:val="32"/>
          <w:szCs w:val="32"/>
          <w:highlight w:val="none"/>
        </w:rPr>
        <w:t>7.8</w:t>
      </w:r>
      <w:r>
        <w:rPr>
          <w:rFonts w:hint="eastAsia" w:ascii="仿宋_GB2312" w:eastAsia="仿宋_GB2312"/>
          <w:b/>
          <w:color w:val="auto"/>
          <w:sz w:val="32"/>
          <w:szCs w:val="32"/>
          <w:highlight w:val="none"/>
        </w:rPr>
        <w:t>操作风险状况</w:t>
      </w:r>
    </w:p>
    <w:p>
      <w:pPr>
        <w:pStyle w:val="4"/>
        <w:spacing w:after="0" w:line="48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通过明确相关管理部门职能和相关人员职责，以及清晰操作管理流程，实行分级管理、层层负责、层层把关、单独考核的风险管理体制，把风险管理贯穿于员工管理、业务操作流程的各个环节，严防操作风险的产生。</w:t>
      </w:r>
    </w:p>
    <w:p>
      <w:pPr>
        <w:spacing w:line="48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7.9声誉风险状况</w:t>
      </w:r>
    </w:p>
    <w:p>
      <w:pPr>
        <w:pStyle w:val="4"/>
        <w:spacing w:after="0" w:line="480" w:lineRule="exact"/>
        <w:ind w:firstLine="640" w:firstLineChars="200"/>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本行</w:t>
      </w:r>
      <w:r>
        <w:rPr>
          <w:rFonts w:ascii="仿宋_GB2312" w:eastAsia="仿宋_GB2312"/>
          <w:color w:val="auto"/>
          <w:sz w:val="32"/>
          <w:szCs w:val="32"/>
          <w:highlight w:val="none"/>
        </w:rPr>
        <w:t>为了使声誉风险管理工作日常化、制度化、规范化，先后制定下发了《高安农商银行声誉风险应急预案》、《关于进一步加强舆情监测处理工作的通知》、《江西高安农村商业银行股份有限公司重大事项报告制度》等文件，明确了声誉风险管理的原则、组织架构及相应职责、管理内容、管理流程和声誉风险识别、评估、控制、监测机制以及声誉风险处置机制等，</w:t>
      </w:r>
      <w:r>
        <w:rPr>
          <w:rFonts w:hint="eastAsia" w:ascii="仿宋_GB2312" w:hAnsi="仿宋_GB2312" w:eastAsia="仿宋_GB2312" w:cs="仿宋_GB2312"/>
          <w:color w:val="auto"/>
          <w:sz w:val="32"/>
          <w:szCs w:val="32"/>
          <w:highlight w:val="none"/>
        </w:rPr>
        <w:t>做到风险控制常抓不懈，成为时时刻刻都要做的事情，确保声誉风险管理工作的落实。总行办公室安排专人负责全行舆情监测工作，各网点、部室安排人员对涉及本网点、本部室的舆情进行网络排查监测。一旦发现舆情，需立即上报至总行办公室，由办公室上报至舆情监测处理工作领导小组讨论处理。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年，认真开展舆情监测工作，全年未出现负面舆情问题。</w:t>
      </w:r>
    </w:p>
    <w:p>
      <w:pPr>
        <w:widowControl/>
        <w:shd w:val="clear" w:color="auto" w:fill="FFFFFF"/>
        <w:spacing w:line="480" w:lineRule="exact"/>
        <w:ind w:firstLine="643" w:firstLineChars="200"/>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7.10消费者权益保护工作开展情况</w:t>
      </w:r>
    </w:p>
    <w:p>
      <w:pPr>
        <w:spacing w:line="48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rPr>
        <w:t>一是</w:t>
      </w:r>
      <w:r>
        <w:rPr>
          <w:rFonts w:hint="eastAsia" w:ascii="仿宋_GB2312" w:hAnsi="仿宋_GB2312" w:eastAsia="仿宋_GB2312" w:cs="仿宋_GB2312"/>
          <w:color w:val="auto"/>
          <w:sz w:val="32"/>
          <w:szCs w:val="32"/>
          <w:highlight w:val="none"/>
        </w:rPr>
        <w:t>建立了产品和服务信息披露机制，制定了《高安农商银行产品价格信息披露办法》和《高安农商银行服务价格管理办法》，产品和服务信息披露覆盖了售前、售中、售后全流程，披露内容涵盖了产品和服务性质、风险、收费情况、合同主要条款；有利于消费者在接受产品和服务前充分了解其特点和风险。制定了</w:t>
      </w:r>
      <w:r>
        <w:rPr>
          <w:rFonts w:hint="eastAsia" w:ascii="仿宋_GB2312" w:hAnsi="仿宋_GB2312" w:eastAsia="仿宋_GB2312" w:cs="仿宋_GB2312"/>
          <w:color w:val="auto"/>
          <w:kern w:val="0"/>
          <w:sz w:val="32"/>
          <w:szCs w:val="32"/>
          <w:highlight w:val="none"/>
        </w:rPr>
        <w:t>《高安农商银行个人金融信息保护管理办法》，信息的收集、储存、使用符合监管要求。同时，</w:t>
      </w:r>
      <w:r>
        <w:rPr>
          <w:rFonts w:hint="eastAsia" w:ascii="仿宋_GB2312" w:hAnsi="仿宋_GB2312" w:eastAsia="仿宋_GB2312" w:cs="仿宋_GB2312"/>
          <w:color w:val="auto"/>
          <w:sz w:val="32"/>
          <w:szCs w:val="32"/>
          <w:highlight w:val="none"/>
        </w:rPr>
        <w:t>建立了消费者权益保护内部考核机制，制定了《高安农商银行消费者权益保护工作考核评价办法》，考核对象覆盖了全行员工。</w:t>
      </w:r>
      <w:r>
        <w:rPr>
          <w:rFonts w:hint="eastAsia" w:ascii="仿宋_GB2312" w:hAnsi="仿宋_GB2312" w:eastAsia="仿宋_GB2312" w:cs="仿宋_GB2312"/>
          <w:b/>
          <w:bCs/>
          <w:color w:val="auto"/>
          <w:sz w:val="32"/>
          <w:szCs w:val="32"/>
          <w:highlight w:val="none"/>
        </w:rPr>
        <w:t>二是</w:t>
      </w:r>
      <w:r>
        <w:rPr>
          <w:rFonts w:hint="eastAsia" w:ascii="仿宋_GB2312" w:hAnsi="仿宋_GB2312" w:eastAsia="仿宋_GB2312" w:cs="仿宋_GB2312"/>
          <w:color w:val="auto"/>
          <w:sz w:val="32"/>
          <w:szCs w:val="32"/>
          <w:highlight w:val="none"/>
        </w:rPr>
        <w:t>将消保工作纳入了年度审计范畴，审计部于202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月份对消保工作开展了现场审计，进一步提高了消保工作有效性和针对性。法律合规部根据审计发现问题采取了有针对性的问责和整改等措施，并有序推进了整改工作。</w:t>
      </w:r>
      <w:r>
        <w:rPr>
          <w:rFonts w:hint="eastAsia" w:ascii="仿宋_GB2312" w:hAnsi="仿宋_GB2312" w:eastAsia="仿宋_GB2312" w:cs="仿宋_GB2312"/>
          <w:b/>
          <w:bCs/>
          <w:color w:val="auto"/>
          <w:sz w:val="32"/>
          <w:szCs w:val="32"/>
          <w:highlight w:val="none"/>
        </w:rPr>
        <w:t>三是</w:t>
      </w:r>
      <w:r>
        <w:rPr>
          <w:rFonts w:hint="eastAsia" w:ascii="仿宋_GB2312" w:hAnsi="仿宋_GB2312" w:eastAsia="仿宋_GB2312" w:cs="仿宋_GB2312"/>
          <w:color w:val="auto"/>
          <w:sz w:val="32"/>
          <w:szCs w:val="32"/>
          <w:highlight w:val="none"/>
        </w:rPr>
        <w:t>制定了</w:t>
      </w:r>
      <w:r>
        <w:rPr>
          <w:rFonts w:hint="eastAsia" w:ascii="仿宋_GB2312" w:hAnsi="仿宋_GB2312" w:eastAsia="仿宋_GB2312" w:cs="仿宋_GB2312"/>
          <w:color w:val="auto"/>
          <w:sz w:val="32"/>
          <w:szCs w:val="32"/>
          <w:highlight w:val="none"/>
          <w:lang w:eastAsia="zh-CN"/>
        </w:rPr>
        <w:t>年度</w:t>
      </w:r>
      <w:r>
        <w:rPr>
          <w:rFonts w:hint="eastAsia" w:ascii="仿宋_GB2312" w:hAnsi="仿宋_GB2312" w:eastAsia="仿宋_GB2312" w:cs="仿宋_GB2312"/>
          <w:color w:val="auto"/>
          <w:sz w:val="32"/>
          <w:szCs w:val="32"/>
          <w:highlight w:val="none"/>
        </w:rPr>
        <w:t>培训计划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加强内部教育培训，开展了专项培训。培训对象涵盖全行员工，并留存培训通知、照片及签到表等培训记录，符合培训计划要求。为</w:t>
      </w:r>
      <w:r>
        <w:rPr>
          <w:rFonts w:hint="eastAsia" w:ascii="仿宋_GB2312" w:hAnsi="仿宋_GB2312" w:eastAsia="仿宋_GB2312" w:cs="仿宋_GB2312"/>
          <w:color w:val="auto"/>
          <w:kern w:val="0"/>
          <w:sz w:val="32"/>
          <w:szCs w:val="32"/>
          <w:highlight w:val="none"/>
        </w:rPr>
        <w:t>进一步提高员工消保工作意识和工作能力，于202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14</w:t>
      </w:r>
      <w:r>
        <w:rPr>
          <w:rFonts w:hint="eastAsia" w:ascii="仿宋_GB2312" w:hAnsi="仿宋_GB2312" w:eastAsia="仿宋_GB2312" w:cs="仿宋_GB2312"/>
          <w:color w:val="auto"/>
          <w:kern w:val="0"/>
          <w:sz w:val="32"/>
          <w:szCs w:val="32"/>
          <w:highlight w:val="none"/>
        </w:rPr>
        <w:t>日举</w:t>
      </w:r>
      <w:r>
        <w:rPr>
          <w:rFonts w:hint="eastAsia" w:ascii="仿宋_GB2312" w:hAnsi="仿宋_GB2312" w:eastAsia="仿宋_GB2312" w:cs="仿宋_GB2312"/>
          <w:color w:val="auto"/>
          <w:kern w:val="0"/>
          <w:sz w:val="32"/>
          <w:szCs w:val="32"/>
          <w:highlight w:val="none"/>
          <w:lang w:eastAsia="zh-CN"/>
        </w:rPr>
        <w:t>行了</w:t>
      </w:r>
      <w:r>
        <w:rPr>
          <w:rFonts w:hint="eastAsia" w:ascii="仿宋_GB2312" w:hAnsi="仿宋_GB2312" w:eastAsia="仿宋_GB2312" w:cs="仿宋_GB2312"/>
          <w:color w:val="auto"/>
          <w:sz w:val="32"/>
          <w:szCs w:val="32"/>
          <w:highlight w:val="none"/>
        </w:rPr>
        <w:t>高安农商银行202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kern w:val="0"/>
          <w:sz w:val="32"/>
          <w:szCs w:val="32"/>
          <w:highlight w:val="none"/>
        </w:rPr>
        <w:t>消保</w:t>
      </w:r>
      <w:r>
        <w:rPr>
          <w:rFonts w:hint="eastAsia" w:ascii="仿宋_GB2312" w:hAnsi="仿宋_GB2312" w:eastAsia="仿宋_GB2312" w:cs="仿宋_GB2312"/>
          <w:color w:val="auto"/>
          <w:sz w:val="32"/>
          <w:szCs w:val="32"/>
          <w:highlight w:val="none"/>
        </w:rPr>
        <w:t>知识</w:t>
      </w:r>
      <w:r>
        <w:rPr>
          <w:rFonts w:hint="eastAsia" w:ascii="仿宋_GB2312" w:hAnsi="仿宋_GB2312" w:eastAsia="仿宋_GB2312" w:cs="仿宋_GB2312"/>
          <w:color w:val="auto"/>
          <w:sz w:val="32"/>
          <w:szCs w:val="32"/>
          <w:highlight w:val="none"/>
          <w:lang w:eastAsia="zh-CN"/>
        </w:rPr>
        <w:t>讲座</w:t>
      </w:r>
      <w:r>
        <w:rPr>
          <w:rFonts w:hint="eastAsia" w:ascii="仿宋_GB2312" w:hAnsi="仿宋_GB2312" w:eastAsia="仿宋_GB2312" w:cs="仿宋_GB2312"/>
          <w:color w:val="auto"/>
          <w:sz w:val="32"/>
          <w:szCs w:val="32"/>
          <w:highlight w:val="none"/>
        </w:rPr>
        <w:t>。通过此次培训，增强了员工保护消费者权益的意识和业务能力，熟悉消费者权益保护知识，更好地服务金融消费者，进一步提升了全行消费者权益保护工作水平。同时还建立了《高安农商银行消保服务考评办法》。</w:t>
      </w:r>
      <w:r>
        <w:rPr>
          <w:rFonts w:hint="eastAsia" w:ascii="仿宋_GB2312" w:hAnsi="仿宋_GB2312" w:eastAsia="仿宋_GB2312" w:cs="仿宋_GB2312"/>
          <w:b/>
          <w:bCs/>
          <w:color w:val="auto"/>
          <w:sz w:val="32"/>
          <w:szCs w:val="32"/>
          <w:highlight w:val="none"/>
        </w:rPr>
        <w:t>四是</w:t>
      </w:r>
      <w:r>
        <w:rPr>
          <w:rFonts w:hint="eastAsia" w:ascii="仿宋_GB2312" w:hAnsi="仿宋_GB2312" w:eastAsia="仿宋_GB2312" w:cs="仿宋_GB2312"/>
          <w:color w:val="auto"/>
          <w:sz w:val="32"/>
          <w:szCs w:val="32"/>
          <w:highlight w:val="none"/>
        </w:rPr>
        <w:t>积极开展外部教育和宣传，踊跃参加人民银行、银保监等上级监管部门组织的各种活动，组织开展了多样性的金融宣传教育活动。202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年开展了“3·15”金融消费者教育宣传”、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民法典宣传月”主题宣传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“普及金融知识万里行”、“金融消费者权益保护教育宣传月”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“防范非法集资宣传月”等宣传活动，提高了社会公众对金融知识普及和认知程度。</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val="0"/>
          <w:bCs w:val="0"/>
          <w:color w:val="auto"/>
          <w:sz w:val="32"/>
          <w:szCs w:val="32"/>
          <w:highlight w:val="none"/>
        </w:rPr>
        <w:t>积极做好投诉处理工作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建立了《高安农商银行消费投诉管理办法》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明确了</w:t>
      </w:r>
      <w:r>
        <w:rPr>
          <w:rFonts w:hint="eastAsia" w:ascii="仿宋_GB2312" w:hAnsi="仿宋_GB2312" w:eastAsia="仿宋_GB2312" w:cs="仿宋_GB2312"/>
          <w:b w:val="0"/>
          <w:bCs w:val="0"/>
          <w:color w:val="auto"/>
          <w:sz w:val="32"/>
          <w:szCs w:val="32"/>
          <w:highlight w:val="none"/>
          <w:lang w:val="en-US" w:eastAsia="zh-CN"/>
        </w:rPr>
        <w:t>投诉</w:t>
      </w:r>
      <w:r>
        <w:rPr>
          <w:rFonts w:hint="eastAsia" w:ascii="仿宋_GB2312" w:hAnsi="仿宋_GB2312" w:eastAsia="仿宋_GB2312" w:cs="仿宋_GB2312"/>
          <w:b w:val="0"/>
          <w:bCs w:val="0"/>
          <w:color w:val="auto"/>
          <w:sz w:val="32"/>
          <w:szCs w:val="32"/>
          <w:highlight w:val="none"/>
        </w:rPr>
        <w:t>处理原则、</w:t>
      </w:r>
      <w:r>
        <w:rPr>
          <w:rFonts w:hint="eastAsia" w:ascii="仿宋_GB2312" w:hAnsi="仿宋_GB2312" w:eastAsia="仿宋_GB2312" w:cs="仿宋_GB2312"/>
          <w:b w:val="0"/>
          <w:bCs w:val="0"/>
          <w:color w:val="auto"/>
          <w:sz w:val="32"/>
          <w:szCs w:val="32"/>
          <w:highlight w:val="none"/>
          <w:lang w:val="en-US" w:eastAsia="zh-CN"/>
        </w:rPr>
        <w:t>部门职责分工、</w:t>
      </w:r>
      <w:r>
        <w:rPr>
          <w:rFonts w:hint="eastAsia" w:ascii="仿宋_GB2312" w:hAnsi="仿宋_GB2312" w:eastAsia="仿宋_GB2312" w:cs="仿宋_GB2312"/>
          <w:b w:val="0"/>
          <w:bCs w:val="0"/>
          <w:color w:val="auto"/>
          <w:sz w:val="32"/>
          <w:szCs w:val="32"/>
          <w:highlight w:val="none"/>
        </w:rPr>
        <w:t>客户投诉</w:t>
      </w:r>
      <w:r>
        <w:rPr>
          <w:rFonts w:hint="eastAsia" w:ascii="仿宋_GB2312" w:hAnsi="仿宋_GB2312" w:eastAsia="仿宋_GB2312" w:cs="仿宋_GB2312"/>
          <w:b w:val="0"/>
          <w:bCs w:val="0"/>
          <w:color w:val="auto"/>
          <w:sz w:val="32"/>
          <w:szCs w:val="32"/>
          <w:highlight w:val="none"/>
          <w:lang w:val="en-US" w:eastAsia="zh-CN"/>
        </w:rPr>
        <w:t>渠道</w:t>
      </w:r>
      <w:r>
        <w:rPr>
          <w:rFonts w:hint="eastAsia" w:ascii="仿宋_GB2312" w:hAnsi="仿宋_GB2312" w:eastAsia="仿宋_GB2312" w:cs="仿宋_GB2312"/>
          <w:b w:val="0"/>
          <w:bCs w:val="0"/>
          <w:color w:val="auto"/>
          <w:sz w:val="32"/>
          <w:szCs w:val="32"/>
          <w:highlight w:val="none"/>
        </w:rPr>
        <w:t>、处理流程、</w:t>
      </w:r>
      <w:r>
        <w:rPr>
          <w:rFonts w:hint="eastAsia" w:ascii="仿宋_GB2312" w:hAnsi="仿宋_GB2312" w:eastAsia="仿宋_GB2312" w:cs="仿宋_GB2312"/>
          <w:b w:val="0"/>
          <w:bCs w:val="0"/>
          <w:color w:val="auto"/>
          <w:sz w:val="32"/>
          <w:szCs w:val="32"/>
          <w:highlight w:val="none"/>
          <w:lang w:val="en-US" w:eastAsia="zh-CN"/>
        </w:rPr>
        <w:t>处理方法、制度机制</w:t>
      </w:r>
      <w:r>
        <w:rPr>
          <w:rFonts w:hint="eastAsia" w:ascii="仿宋_GB2312" w:hAnsi="仿宋_GB2312" w:eastAsia="仿宋_GB2312" w:cs="仿宋_GB2312"/>
          <w:b w:val="0"/>
          <w:bCs w:val="0"/>
          <w:color w:val="auto"/>
          <w:sz w:val="32"/>
          <w:szCs w:val="32"/>
          <w:highlight w:val="none"/>
        </w:rPr>
        <w:t>等内容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运营管理部</w:t>
      </w:r>
      <w:r>
        <w:rPr>
          <w:rFonts w:hint="eastAsia" w:ascii="仿宋_GB2312" w:hAnsi="仿宋_GB2312" w:eastAsia="仿宋_GB2312" w:cs="仿宋_GB2312"/>
          <w:b w:val="0"/>
          <w:bCs w:val="0"/>
          <w:color w:val="auto"/>
          <w:sz w:val="32"/>
          <w:szCs w:val="32"/>
          <w:highlight w:val="none"/>
        </w:rPr>
        <w:t>按季收集客户</w:t>
      </w:r>
      <w:r>
        <w:rPr>
          <w:rFonts w:hint="eastAsia" w:ascii="仿宋_GB2312" w:hAnsi="仿宋_GB2312" w:eastAsia="仿宋_GB2312" w:cs="仿宋_GB2312"/>
          <w:b w:val="0"/>
          <w:bCs w:val="0"/>
          <w:color w:val="auto"/>
          <w:sz w:val="32"/>
          <w:szCs w:val="32"/>
          <w:highlight w:val="none"/>
          <w:lang w:val="en-US" w:eastAsia="zh-CN"/>
        </w:rPr>
        <w:t>投诉信息</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形成金融消费者投诉台账</w:t>
      </w:r>
      <w:r>
        <w:rPr>
          <w:rFonts w:hint="eastAsia" w:ascii="仿宋_GB2312" w:hAnsi="仿宋_GB2312" w:eastAsia="仿宋_GB2312" w:cs="仿宋_GB2312"/>
          <w:b w:val="0"/>
          <w:bCs w:val="0"/>
          <w:color w:val="auto"/>
          <w:sz w:val="32"/>
          <w:szCs w:val="32"/>
          <w:highlight w:val="none"/>
        </w:rPr>
        <w:t>，省联社建立了客户服务管理系统，</w:t>
      </w:r>
      <w:r>
        <w:rPr>
          <w:rFonts w:hint="eastAsia" w:ascii="仿宋_GB2312" w:hAnsi="仿宋_GB2312" w:eastAsia="仿宋_GB2312" w:cs="仿宋_GB2312"/>
          <w:b w:val="0"/>
          <w:bCs w:val="0"/>
          <w:color w:val="auto"/>
          <w:sz w:val="32"/>
          <w:szCs w:val="32"/>
          <w:highlight w:val="none"/>
          <w:lang w:val="en-US" w:eastAsia="zh-CN"/>
        </w:rPr>
        <w:t>运营管理部设置了专岗专人负责</w:t>
      </w:r>
      <w:r>
        <w:rPr>
          <w:rFonts w:hint="eastAsia" w:ascii="仿宋_GB2312" w:hAnsi="仿宋_GB2312" w:eastAsia="仿宋_GB2312" w:cs="仿宋_GB2312"/>
          <w:b w:val="0"/>
          <w:bCs w:val="0"/>
          <w:color w:val="auto"/>
          <w:sz w:val="32"/>
          <w:szCs w:val="32"/>
          <w:highlight w:val="none"/>
        </w:rPr>
        <w:t>及时受理、处理、监测投诉情况，全面记录投诉受理和处理</w:t>
      </w:r>
      <w:r>
        <w:rPr>
          <w:rFonts w:hint="eastAsia" w:ascii="仿宋_GB2312" w:hAnsi="仿宋_GB2312" w:eastAsia="仿宋_GB2312" w:cs="仿宋_GB2312"/>
          <w:color w:val="auto"/>
          <w:sz w:val="32"/>
          <w:szCs w:val="32"/>
          <w:highlight w:val="none"/>
        </w:rPr>
        <w:t>全过程。</w:t>
      </w:r>
      <w:r>
        <w:rPr>
          <w:rFonts w:hint="eastAsia" w:ascii="仿宋_GB2312" w:hAnsi="仿宋_GB2312" w:eastAsia="仿宋_GB2312" w:cs="仿宋_GB2312"/>
          <w:color w:val="auto"/>
          <w:sz w:val="32"/>
          <w:szCs w:val="32"/>
          <w:highlight w:val="none"/>
          <w:lang w:val="en-US" w:eastAsia="zh-CN"/>
        </w:rPr>
        <w:t>通过投诉管理系统处理客户投诉，并分析投诉形成的原因，加强员工服务管理和产品改进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b w:val="0"/>
          <w:bCs w:val="0"/>
          <w:color w:val="auto"/>
          <w:sz w:val="32"/>
          <w:szCs w:val="32"/>
          <w:highlight w:val="none"/>
          <w:lang w:val="en-US" w:eastAsia="zh-CN"/>
        </w:rPr>
        <w:t>进一步践行“金融为民”理念，畅通群众利益诉求表达渠道，</w:t>
      </w:r>
      <w:r>
        <w:rPr>
          <w:rFonts w:hint="eastAsia" w:ascii="仿宋_GB2312" w:hAnsi="仿宋_GB2312" w:eastAsia="仿宋_GB2312" w:cs="仿宋_GB2312"/>
          <w:color w:val="auto"/>
          <w:sz w:val="32"/>
          <w:szCs w:val="32"/>
          <w:highlight w:val="none"/>
          <w:lang w:val="en-US" w:eastAsia="zh-CN"/>
        </w:rPr>
        <w:t>2024年11月28日在总行营业部开展“高管接待日</w:t>
      </w:r>
      <w:r>
        <w:rPr>
          <w:rFonts w:hint="eastAsia" w:ascii="仿宋_GB2312" w:hAnsi="仿宋_GB2312" w:eastAsia="仿宋_GB2312" w:cs="仿宋_GB2312"/>
          <w:b w:val="0"/>
          <w:bCs w:val="0"/>
          <w:color w:val="auto"/>
          <w:sz w:val="32"/>
          <w:szCs w:val="32"/>
          <w:highlight w:val="none"/>
          <w:lang w:val="en-US" w:eastAsia="zh-CN"/>
        </w:rPr>
        <w:t>”活动，公开接待解决客户投诉，认真听取群众的意见和建议。2024年，全年共受理消费</w:t>
      </w:r>
      <w:r>
        <w:rPr>
          <w:rFonts w:hint="eastAsia" w:ascii="仿宋_GB2312" w:hAnsi="仿宋_GB2312" w:eastAsia="仿宋_GB2312" w:cs="仿宋_GB2312"/>
          <w:color w:val="auto"/>
          <w:sz w:val="32"/>
          <w:szCs w:val="32"/>
          <w:highlight w:val="none"/>
        </w:rPr>
        <w:t>者投诉</w:t>
      </w:r>
      <w:r>
        <w:rPr>
          <w:rFonts w:hint="eastAsia" w:ascii="仿宋_GB2312" w:hAnsi="仿宋_GB2312" w:eastAsia="仿宋_GB2312" w:cs="仿宋_GB2312"/>
          <w:color w:val="auto"/>
          <w:sz w:val="32"/>
          <w:szCs w:val="32"/>
          <w:highlight w:val="none"/>
          <w:lang w:val="en-US" w:eastAsia="zh-CN"/>
        </w:rPr>
        <w:t>161</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highlight w:val="none"/>
          <w:lang w:val="en-US" w:eastAsia="zh-CN"/>
        </w:rPr>
        <w:t>处理投诉161件，</w:t>
      </w:r>
      <w:r>
        <w:rPr>
          <w:rFonts w:hint="eastAsia" w:ascii="仿宋_GB2312" w:hAnsi="仿宋_GB2312" w:eastAsia="仿宋_GB2312" w:cs="仿宋_GB2312"/>
          <w:color w:val="auto"/>
          <w:sz w:val="32"/>
          <w:szCs w:val="32"/>
          <w:highlight w:val="none"/>
        </w:rPr>
        <w:t>投诉办结率达到100%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客户</w:t>
      </w:r>
      <w:r>
        <w:rPr>
          <w:rFonts w:hint="eastAsia" w:ascii="仿宋_GB2312" w:hAnsi="仿宋_GB2312" w:eastAsia="仿宋_GB2312" w:cs="仿宋_GB2312"/>
          <w:color w:val="auto"/>
          <w:sz w:val="32"/>
          <w:szCs w:val="32"/>
          <w:highlight w:val="none"/>
        </w:rPr>
        <w:t>投诉</w:t>
      </w:r>
      <w:r>
        <w:rPr>
          <w:rFonts w:hint="eastAsia" w:ascii="仿宋_GB2312" w:hAnsi="仿宋_GB2312" w:eastAsia="仿宋_GB2312" w:cs="仿宋_GB2312"/>
          <w:color w:val="auto"/>
          <w:sz w:val="32"/>
          <w:szCs w:val="32"/>
          <w:highlight w:val="none"/>
          <w:lang w:val="en-US" w:eastAsia="zh-CN"/>
        </w:rPr>
        <w:t>得到妥善、及时处理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年12月，根据《金融消费权益保护工作评价办法》要求，对本行202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年金融消费者权益保护工作进行自评，形成《高安农商银行2024年金融消费者权益保护工作</w:t>
      </w:r>
      <w:r>
        <w:rPr>
          <w:rFonts w:hint="eastAsia" w:ascii="仿宋_GB2312" w:hAnsi="仿宋_GB2312" w:eastAsia="仿宋_GB2312" w:cs="仿宋_GB2312"/>
          <w:bCs/>
          <w:color w:val="auto"/>
          <w:sz w:val="32"/>
          <w:szCs w:val="32"/>
          <w:highlight w:val="none"/>
          <w:lang w:eastAsia="zh-CN"/>
        </w:rPr>
        <w:t>自评</w:t>
      </w:r>
      <w:r>
        <w:rPr>
          <w:rFonts w:hint="eastAsia" w:ascii="仿宋_GB2312" w:hAnsi="仿宋_GB2312" w:eastAsia="仿宋_GB2312" w:cs="仿宋_GB2312"/>
          <w:bCs/>
          <w:color w:val="auto"/>
          <w:sz w:val="32"/>
          <w:szCs w:val="32"/>
          <w:highlight w:val="none"/>
        </w:rPr>
        <w:t>报告》。</w:t>
      </w:r>
    </w:p>
    <w:p>
      <w:pPr>
        <w:widowControl/>
        <w:shd w:val="clear" w:color="auto" w:fill="FFFFFF"/>
        <w:spacing w:line="480" w:lineRule="exact"/>
        <w:ind w:firstLine="643" w:firstLineChars="200"/>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7.11公司治理自评估情况</w:t>
      </w:r>
    </w:p>
    <w:p>
      <w:pPr>
        <w:spacing w:line="480" w:lineRule="exact"/>
        <w:ind w:left="-105" w:leftChars="-50" w:firstLine="640" w:firstLineChars="200"/>
        <w:rPr>
          <w:rFonts w:hint="default" w:ascii="仿宋" w:hAnsi="仿宋" w:eastAsia="仿宋_GB2312" w:cs="仿宋"/>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为有效开展公司治理评估工作，</w:t>
      </w:r>
      <w:r>
        <w:rPr>
          <w:rFonts w:hint="eastAsia" w:ascii="仿宋_GB2312" w:hAnsi="仿宋_GB2312" w:eastAsia="仿宋_GB2312" w:cs="仿宋_GB2312"/>
          <w:bCs/>
          <w:color w:val="auto"/>
          <w:sz w:val="32"/>
          <w:szCs w:val="32"/>
          <w:highlight w:val="none"/>
          <w:lang w:eastAsia="zh-CN"/>
        </w:rPr>
        <w:t>本行</w:t>
      </w:r>
      <w:r>
        <w:rPr>
          <w:rFonts w:hint="eastAsia" w:ascii="仿宋_GB2312" w:hAnsi="仿宋_GB2312" w:eastAsia="仿宋_GB2312" w:cs="仿宋_GB2312"/>
          <w:bCs/>
          <w:color w:val="auto"/>
          <w:sz w:val="32"/>
          <w:szCs w:val="32"/>
          <w:highlight w:val="none"/>
        </w:rPr>
        <w:t>高度重视，积极组织，明确董事会</w:t>
      </w:r>
      <w:r>
        <w:rPr>
          <w:rFonts w:hint="eastAsia" w:ascii="仿宋_GB2312" w:hAnsi="仿宋_GB2312" w:eastAsia="仿宋_GB2312" w:cs="仿宋_GB2312"/>
          <w:bCs/>
          <w:color w:val="auto"/>
          <w:sz w:val="32"/>
          <w:szCs w:val="32"/>
          <w:highlight w:val="none"/>
          <w:lang w:val="en-US" w:eastAsia="zh-CN"/>
        </w:rPr>
        <w:t>办公室</w:t>
      </w:r>
      <w:r>
        <w:rPr>
          <w:rFonts w:hint="eastAsia" w:ascii="仿宋_GB2312" w:hAnsi="仿宋_GB2312" w:eastAsia="仿宋_GB2312" w:cs="仿宋_GB2312"/>
          <w:bCs/>
          <w:color w:val="auto"/>
          <w:sz w:val="32"/>
          <w:szCs w:val="32"/>
          <w:highlight w:val="none"/>
        </w:rPr>
        <w:t>具体负责，对公司治理监管评估相关信息进行收集、审核。</w:t>
      </w:r>
      <w:r>
        <w:rPr>
          <w:rFonts w:hint="eastAsia" w:ascii="仿宋_GB2312" w:hAnsi="仿宋_GB2312" w:eastAsia="仿宋_GB2312" w:cs="仿宋_GB2312"/>
          <w:bCs/>
          <w:color w:val="auto"/>
          <w:sz w:val="32"/>
          <w:szCs w:val="32"/>
          <w:highlight w:val="none"/>
          <w:lang w:val="en-US" w:eastAsia="zh-CN"/>
        </w:rPr>
        <w:t>总体来看，公司治理不断完善，呈现稳步向好趋势，自评等级为C级。</w:t>
      </w:r>
    </w:p>
    <w:p>
      <w:pPr>
        <w:widowControl/>
        <w:shd w:val="clear" w:color="auto" w:fill="FFFFFF"/>
        <w:spacing w:line="480" w:lineRule="exact"/>
        <w:ind w:firstLine="640" w:firstLineChars="200"/>
        <w:jc w:val="left"/>
        <w:rPr>
          <w:rFonts w:ascii="宋体" w:eastAsia="黑体" w:cs="宋体"/>
          <w:color w:val="auto"/>
          <w:kern w:val="0"/>
          <w:sz w:val="32"/>
          <w:szCs w:val="32"/>
          <w:highlight w:val="none"/>
        </w:rPr>
      </w:pPr>
      <w:r>
        <w:rPr>
          <w:rFonts w:hint="eastAsia" w:ascii="黑体" w:hAnsi="宋体" w:eastAsia="黑体" w:cs="宋体"/>
          <w:color w:val="auto"/>
          <w:kern w:val="0"/>
          <w:sz w:val="32"/>
          <w:szCs w:val="32"/>
          <w:highlight w:val="none"/>
        </w:rPr>
        <w:t>八、资本管理计划</w:t>
      </w:r>
    </w:p>
    <w:p>
      <w:pPr>
        <w:widowControl/>
        <w:shd w:val="clear" w:color="auto" w:fill="FFFFFF"/>
        <w:tabs>
          <w:tab w:val="left" w:pos="630"/>
        </w:tabs>
        <w:spacing w:line="48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为满足不断提高的资本监管要求，本行通过</w:t>
      </w:r>
      <w:r>
        <w:rPr>
          <w:rFonts w:hint="eastAsia" w:ascii="仿宋_GB2312" w:hAnsi="仿宋" w:eastAsia="仿宋_GB2312"/>
          <w:color w:val="auto"/>
          <w:sz w:val="32"/>
          <w:szCs w:val="32"/>
          <w:highlight w:val="none"/>
        </w:rPr>
        <w:t>优化费用管理，降低信贷成本，</w:t>
      </w:r>
      <w:r>
        <w:rPr>
          <w:rFonts w:hint="eastAsia" w:ascii="仿宋_GB2312" w:hAnsi="宋体" w:eastAsia="仿宋_GB2312" w:cs="宋体"/>
          <w:color w:val="auto"/>
          <w:kern w:val="0"/>
          <w:sz w:val="32"/>
          <w:szCs w:val="32"/>
          <w:highlight w:val="none"/>
        </w:rPr>
        <w:t>提高盈利能力，增加利润积累等举措提高资本管理。同时，通过</w:t>
      </w:r>
      <w:r>
        <w:rPr>
          <w:rFonts w:hint="eastAsia" w:ascii="仿宋_GB2312" w:hAnsi="仿宋" w:eastAsia="仿宋_GB2312"/>
          <w:color w:val="auto"/>
          <w:sz w:val="32"/>
          <w:szCs w:val="32"/>
          <w:highlight w:val="none"/>
        </w:rPr>
        <w:t>加快网点转型、业务转型，</w:t>
      </w:r>
      <w:r>
        <w:rPr>
          <w:rFonts w:hint="eastAsia" w:ascii="仿宋_GB2312" w:hAnsi="宋体" w:eastAsia="仿宋_GB2312" w:cs="宋体"/>
          <w:color w:val="auto"/>
          <w:kern w:val="0"/>
          <w:sz w:val="32"/>
          <w:szCs w:val="32"/>
          <w:highlight w:val="none"/>
        </w:rPr>
        <w:t>不断</w:t>
      </w:r>
      <w:r>
        <w:rPr>
          <w:rFonts w:hint="eastAsia" w:ascii="仿宋_GB2312" w:hAnsi="仿宋" w:eastAsia="仿宋_GB2312"/>
          <w:color w:val="auto"/>
          <w:sz w:val="32"/>
          <w:szCs w:val="32"/>
          <w:highlight w:val="none"/>
        </w:rPr>
        <w:t>优化资产负债结构，降低风险权重，</w:t>
      </w:r>
      <w:r>
        <w:rPr>
          <w:rFonts w:hint="eastAsia" w:ascii="仿宋_GB2312" w:hAnsi="宋体" w:eastAsia="仿宋_GB2312" w:cs="宋体"/>
          <w:color w:val="auto"/>
          <w:kern w:val="0"/>
          <w:sz w:val="32"/>
          <w:szCs w:val="32"/>
          <w:highlight w:val="none"/>
        </w:rPr>
        <w:t>实现经营战略的转型。</w:t>
      </w:r>
    </w:p>
    <w:p>
      <w:pPr>
        <w:shd w:val="clear" w:color="auto" w:fill="FFFFFF"/>
        <w:spacing w:line="48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九、薪酬情况</w:t>
      </w:r>
    </w:p>
    <w:p>
      <w:pPr>
        <w:widowControl/>
        <w:shd w:val="clear" w:color="auto" w:fill="FFFFFF"/>
        <w:tabs>
          <w:tab w:val="left" w:pos="630"/>
        </w:tabs>
        <w:spacing w:line="480" w:lineRule="exact"/>
        <w:ind w:firstLine="640" w:firstLineChars="200"/>
        <w:jc w:val="left"/>
        <w:rPr>
          <w:rFonts w:hint="eastAsia" w:ascii="仿宋_GB2312" w:hAnsi="宋体" w:eastAsia="仿宋_GB2312" w:cs="宋体"/>
          <w:color w:val="auto"/>
          <w:kern w:val="0"/>
          <w:sz w:val="32"/>
          <w:szCs w:val="32"/>
          <w:highlight w:val="none"/>
          <w:lang w:eastAsia="zh-CN"/>
        </w:rPr>
      </w:pP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年，全行薪酬总额</w:t>
      </w:r>
      <w:r>
        <w:rPr>
          <w:rFonts w:hint="eastAsia" w:ascii="仿宋_GB2312" w:hAnsi="宋体" w:eastAsia="仿宋_GB2312" w:cs="宋体"/>
          <w:color w:val="auto"/>
          <w:kern w:val="0"/>
          <w:sz w:val="32"/>
          <w:szCs w:val="32"/>
          <w:highlight w:val="none"/>
          <w:lang w:val="en-US" w:eastAsia="zh-CN"/>
        </w:rPr>
        <w:t>7311</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。其中基本薪酬为231</w:t>
      </w:r>
      <w:r>
        <w:rPr>
          <w:rFonts w:hint="eastAsia" w:ascii="仿宋_GB2312" w:hAnsi="宋体" w:eastAsia="仿宋_GB2312" w:cs="宋体"/>
          <w:color w:val="auto"/>
          <w:kern w:val="0"/>
          <w:sz w:val="32"/>
          <w:szCs w:val="32"/>
          <w:highlight w:val="none"/>
          <w:lang w:val="en-US" w:eastAsia="zh-CN"/>
        </w:rPr>
        <w:t>8万</w:t>
      </w:r>
      <w:r>
        <w:rPr>
          <w:rFonts w:hint="eastAsia" w:ascii="仿宋_GB2312" w:hAnsi="宋体" w:eastAsia="仿宋_GB2312" w:cs="宋体"/>
          <w:color w:val="auto"/>
          <w:kern w:val="0"/>
          <w:sz w:val="32"/>
          <w:szCs w:val="32"/>
          <w:highlight w:val="none"/>
          <w:lang w:eastAsia="zh-CN"/>
        </w:rPr>
        <w:t>元，基本薪酬占薪酬总额比例为31.71%，控制在了薪酬总额35%以内。</w:t>
      </w:r>
      <w:r>
        <w:rPr>
          <w:rFonts w:hint="eastAsia" w:ascii="仿宋_GB2312" w:hAnsi="宋体" w:eastAsia="仿宋_GB2312" w:cs="宋体"/>
          <w:color w:val="auto"/>
          <w:kern w:val="0"/>
          <w:sz w:val="32"/>
          <w:szCs w:val="32"/>
          <w:highlight w:val="none"/>
        </w:rPr>
        <w:t>薪酬</w:t>
      </w:r>
      <w:r>
        <w:rPr>
          <w:rFonts w:hint="eastAsia" w:ascii="仿宋_GB2312" w:hAnsi="宋体" w:eastAsia="仿宋_GB2312" w:cs="宋体"/>
          <w:color w:val="auto"/>
          <w:kern w:val="0"/>
          <w:sz w:val="32"/>
          <w:szCs w:val="32"/>
          <w:highlight w:val="none"/>
          <w:lang w:eastAsia="zh-CN"/>
        </w:rPr>
        <w:t>受益人为本行领导班子、在岗职工、内退职工。本行的薪酬结构包含基本薪酬和绩效薪酬。</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董事会下设提名与薪酬管理委员会，主任委员为王晓安，委员为陈洪海、游冬，下设办公室为人力资源部。在薪酬管理方面主要负责审议全行薪酬管理制度和政策，拟定董事和高级管理层成员的薪酬方案，向董事会提出薪酬方案建议，并监督方案实施。</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在薪酬分配方面，按照“按劳计酬、多劳多得”的思路，进一步完善全面绩效管理，在考核方法上采取计价、评分等方式，对业务人员根据个人业绩计发绩效薪酬，根据岗位不同设定不同的考核指标，对网点负责人实行网点各项业务综合考评，基本形成了以价值创造为导向和核心的绩效薪酬考核体系，激励干部员工在有效防范风险的前提下加快业务发展。2024年，本行董事薪酬205万元，监事薪酬110元，高级管理人员薪酬363万元。</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bidi="ar-SA"/>
        </w:rPr>
        <w:t>为进一步完善薪酬体制，增强全行员工的风险防控意识，推进农商银行持续健康发展，根据监管要求制定了《高安农商银行绩效薪酬延期支付和追索扣回管理办法》，建立了相关机制。报告期间，执行绩效薪酬追索扣回的员工</w:t>
      </w:r>
      <w:r>
        <w:rPr>
          <w:rFonts w:hint="default" w:ascii="仿宋_GB2312" w:eastAsia="仿宋_GB2312" w:cs="宋体"/>
          <w:color w:val="auto"/>
          <w:kern w:val="0"/>
          <w:sz w:val="32"/>
          <w:szCs w:val="32"/>
          <w:highlight w:val="none"/>
          <w:lang w:eastAsia="zh-CN" w:bidi="ar-SA"/>
        </w:rPr>
        <w:t>23</w:t>
      </w:r>
      <w:r>
        <w:rPr>
          <w:rFonts w:hint="eastAsia" w:ascii="仿宋_GB2312" w:hAnsi="宋体" w:eastAsia="仿宋_GB2312" w:cs="宋体"/>
          <w:color w:val="auto"/>
          <w:kern w:val="0"/>
          <w:sz w:val="32"/>
          <w:szCs w:val="32"/>
          <w:highlight w:val="none"/>
          <w:lang w:val="en-US" w:eastAsia="zh-CN" w:bidi="ar-SA"/>
        </w:rPr>
        <w:t>人，追索扣回绩效薪酬总金额</w:t>
      </w:r>
      <w:r>
        <w:rPr>
          <w:rFonts w:hint="default" w:ascii="仿宋_GB2312" w:eastAsia="仿宋_GB2312" w:cs="宋体"/>
          <w:color w:val="auto"/>
          <w:kern w:val="0"/>
          <w:sz w:val="32"/>
          <w:szCs w:val="32"/>
          <w:highlight w:val="none"/>
          <w:lang w:eastAsia="zh-CN" w:bidi="ar-SA"/>
        </w:rPr>
        <w:t>131915.3</w:t>
      </w:r>
      <w:r>
        <w:rPr>
          <w:rFonts w:hint="eastAsia" w:ascii="仿宋_GB2312" w:hAnsi="宋体" w:eastAsia="仿宋_GB2312" w:cs="宋体"/>
          <w:color w:val="auto"/>
          <w:kern w:val="0"/>
          <w:sz w:val="32"/>
          <w:szCs w:val="32"/>
          <w:highlight w:val="none"/>
          <w:lang w:val="en-US" w:eastAsia="zh-CN" w:bidi="ar-SA"/>
        </w:rPr>
        <w:t>元。</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报告期内，本行制定了《高安农商银行2024年绩效考核方案》、《高安农商银行2024年主要业务经营质效考评办法》</w:t>
      </w:r>
      <w:r>
        <w:rPr>
          <w:rFonts w:hint="eastAsia" w:ascii="仿宋_GB2312" w:eastAsia="仿宋_GB2312" w:cs="宋体"/>
          <w:color w:val="auto"/>
          <w:kern w:val="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rPr>
        <w:t>报告期内，本行无超出原定薪酬方案的例外情况。</w:t>
      </w:r>
    </w:p>
    <w:p>
      <w:pPr>
        <w:widowControl/>
        <w:shd w:val="clear" w:color="auto" w:fill="FFFFFF"/>
        <w:spacing w:line="48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十、重要事项</w:t>
      </w:r>
    </w:p>
    <w:p>
      <w:pPr>
        <w:spacing w:line="480" w:lineRule="exact"/>
        <w:ind w:firstLine="645"/>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（一）报告期内，注册资本</w:t>
      </w:r>
      <w:r>
        <w:rPr>
          <w:rFonts w:hint="eastAsia" w:ascii="仿宋_GB2312" w:hAnsi="宋体" w:eastAsia="仿宋_GB2312" w:cs="宋体"/>
          <w:color w:val="auto"/>
          <w:kern w:val="0"/>
          <w:sz w:val="32"/>
          <w:szCs w:val="32"/>
          <w:highlight w:val="none"/>
          <w:lang w:eastAsia="zh-CN"/>
        </w:rPr>
        <w:t>未发生变化，为5</w:t>
      </w:r>
      <w:r>
        <w:rPr>
          <w:rFonts w:hint="eastAsia" w:ascii="仿宋_GB2312" w:hAnsi="宋体" w:eastAsia="仿宋_GB2312" w:cs="宋体"/>
          <w:color w:val="auto"/>
          <w:kern w:val="0"/>
          <w:sz w:val="32"/>
          <w:szCs w:val="32"/>
          <w:highlight w:val="none"/>
          <w:lang w:val="en-US" w:eastAsia="zh-CN"/>
        </w:rPr>
        <w:t>97818624</w:t>
      </w:r>
      <w:r>
        <w:rPr>
          <w:rFonts w:hint="eastAsia" w:ascii="仿宋_GB2312" w:hAnsi="宋体" w:eastAsia="仿宋_GB2312" w:cs="宋体"/>
          <w:color w:val="auto"/>
          <w:kern w:val="0"/>
          <w:sz w:val="32"/>
          <w:szCs w:val="32"/>
          <w:highlight w:val="none"/>
          <w:lang w:eastAsia="zh-CN"/>
        </w:rPr>
        <w:t>元。</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（二）报告期内，</w:t>
      </w:r>
      <w:r>
        <w:rPr>
          <w:rFonts w:hint="eastAsia" w:ascii="仿宋_GB2312" w:hAnsi="仿宋" w:eastAsia="仿宋_GB2312" w:cs="仿宋"/>
          <w:color w:val="auto"/>
          <w:kern w:val="0"/>
          <w:sz w:val="32"/>
          <w:szCs w:val="32"/>
          <w:highlight w:val="none"/>
        </w:rPr>
        <w:t>因人事调整，本行</w:t>
      </w:r>
      <w:r>
        <w:rPr>
          <w:rFonts w:hint="eastAsia" w:ascii="仿宋_GB2312" w:hAnsi="仿宋" w:eastAsia="仿宋_GB2312" w:cs="仿宋"/>
          <w:color w:val="auto"/>
          <w:kern w:val="0"/>
          <w:sz w:val="32"/>
          <w:szCs w:val="32"/>
          <w:highlight w:val="none"/>
          <w:lang w:val="en-US" w:eastAsia="zh-CN"/>
        </w:rPr>
        <w:t>副</w:t>
      </w:r>
      <w:r>
        <w:rPr>
          <w:rFonts w:hint="eastAsia" w:ascii="仿宋_GB2312" w:hAnsi="仿宋" w:eastAsia="仿宋_GB2312" w:cs="仿宋"/>
          <w:color w:val="auto"/>
          <w:kern w:val="0"/>
          <w:sz w:val="32"/>
          <w:szCs w:val="32"/>
          <w:highlight w:val="none"/>
          <w:lang w:eastAsia="zh-CN"/>
        </w:rPr>
        <w:t>行长、</w:t>
      </w:r>
      <w:r>
        <w:rPr>
          <w:rFonts w:hint="eastAsia" w:ascii="仿宋_GB2312" w:hAnsi="仿宋" w:eastAsia="仿宋_GB2312" w:cs="仿宋"/>
          <w:color w:val="auto"/>
          <w:kern w:val="0"/>
          <w:sz w:val="32"/>
          <w:szCs w:val="32"/>
          <w:highlight w:val="none"/>
        </w:rPr>
        <w:t>部分网点负责人和部室负责人发生变更。</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三</w:t>
      </w:r>
      <w:r>
        <w:rPr>
          <w:rFonts w:hint="eastAsia" w:ascii="仿宋_GB2312" w:hAnsi="宋体" w:eastAsia="仿宋_GB2312" w:cs="宋体"/>
          <w:color w:val="auto"/>
          <w:kern w:val="0"/>
          <w:sz w:val="32"/>
          <w:szCs w:val="32"/>
          <w:highlight w:val="none"/>
        </w:rPr>
        <w:t>）报告期内，无重大诉讼、仲裁事项；</w:t>
      </w:r>
    </w:p>
    <w:p>
      <w:pPr>
        <w:widowControl/>
        <w:shd w:val="clear" w:color="auto" w:fill="FFFFFF"/>
        <w:tabs>
          <w:tab w:val="left" w:pos="630"/>
        </w:tabs>
        <w:spacing w:line="480" w:lineRule="exact"/>
        <w:ind w:firstLine="640" w:firstLineChars="200"/>
        <w:jc w:val="left"/>
        <w:rPr>
          <w:rFonts w:ascii="宋体"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四</w:t>
      </w:r>
      <w:r>
        <w:rPr>
          <w:rFonts w:hint="eastAsia" w:ascii="仿宋_GB2312" w:hAnsi="宋体" w:eastAsia="仿宋_GB2312" w:cs="宋体"/>
          <w:color w:val="auto"/>
          <w:kern w:val="0"/>
          <w:sz w:val="32"/>
          <w:szCs w:val="32"/>
          <w:highlight w:val="none"/>
        </w:rPr>
        <w:t>）报告期内，未发生重大案件、重大差错等情况；</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五</w:t>
      </w:r>
      <w:r>
        <w:rPr>
          <w:rFonts w:hint="eastAsia" w:ascii="仿宋_GB2312" w:hAnsi="宋体" w:eastAsia="仿宋_GB2312" w:cs="宋体"/>
          <w:color w:val="auto"/>
          <w:kern w:val="0"/>
          <w:sz w:val="32"/>
          <w:szCs w:val="32"/>
          <w:highlight w:val="none"/>
        </w:rPr>
        <w:t>）报告期内，抵贷资产的收购、管理均符合相关的法律、法规和本行的有关规定；</w:t>
      </w:r>
    </w:p>
    <w:p>
      <w:pPr>
        <w:widowControl/>
        <w:shd w:val="clear" w:color="auto" w:fill="FFFFFF"/>
        <w:tabs>
          <w:tab w:val="left" w:pos="630"/>
        </w:tabs>
        <w:spacing w:line="480" w:lineRule="exact"/>
        <w:ind w:firstLine="640" w:firstLineChars="200"/>
        <w:jc w:val="left"/>
        <w:rPr>
          <w:rFonts w:hint="eastAsia" w:ascii="仿宋_GB2312" w:hAnsi="仿宋" w:eastAsia="仿宋_GB2312"/>
          <w:color w:val="auto"/>
          <w:kern w:val="0"/>
          <w:sz w:val="32"/>
          <w:szCs w:val="32"/>
          <w:highlight w:val="none"/>
        </w:rPr>
      </w:pPr>
      <w:r>
        <w:rPr>
          <w:rFonts w:hint="eastAsia" w:ascii="仿宋_GB2312" w:hAnsi="仿宋" w:eastAsia="仿宋_GB2312" w:cs="宋体"/>
          <w:color w:val="auto"/>
          <w:kern w:val="0"/>
          <w:sz w:val="32"/>
          <w:szCs w:val="32"/>
          <w:highlight w:val="none"/>
        </w:rPr>
        <w:t>（</w:t>
      </w:r>
      <w:r>
        <w:rPr>
          <w:rFonts w:hint="eastAsia" w:ascii="仿宋_GB2312" w:hAnsi="仿宋" w:eastAsia="仿宋_GB2312" w:cs="宋体"/>
          <w:color w:val="auto"/>
          <w:kern w:val="0"/>
          <w:sz w:val="32"/>
          <w:szCs w:val="32"/>
          <w:highlight w:val="none"/>
          <w:lang w:eastAsia="zh-CN"/>
        </w:rPr>
        <w:t>六</w:t>
      </w:r>
      <w:r>
        <w:rPr>
          <w:rFonts w:hint="eastAsia" w:ascii="仿宋_GB2312" w:hAnsi="仿宋" w:eastAsia="仿宋_GB2312" w:cs="宋体"/>
          <w:color w:val="auto"/>
          <w:kern w:val="0"/>
          <w:sz w:val="32"/>
          <w:szCs w:val="32"/>
          <w:highlight w:val="none"/>
        </w:rPr>
        <w:t>）报告期内本行各项业务合同履行情况正常，无重大合同纠纷发生。</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七</w:t>
      </w:r>
      <w:r>
        <w:rPr>
          <w:rFonts w:hint="eastAsia" w:ascii="仿宋_GB2312" w:hAnsi="宋体" w:eastAsia="仿宋_GB2312" w:cs="宋体"/>
          <w:color w:val="auto"/>
          <w:kern w:val="0"/>
          <w:sz w:val="32"/>
          <w:szCs w:val="32"/>
          <w:highlight w:val="none"/>
        </w:rPr>
        <w:t>）报告期内，本行董事、监事未受到监管部门和司法部门处罚。</w:t>
      </w:r>
    </w:p>
    <w:p>
      <w:pPr>
        <w:widowControl/>
        <w:shd w:val="clear" w:color="auto" w:fill="FFFFFF"/>
        <w:tabs>
          <w:tab w:val="left" w:pos="630"/>
        </w:tabs>
        <w:spacing w:line="480" w:lineRule="exact"/>
        <w:ind w:firstLine="640" w:firstLineChars="200"/>
        <w:jc w:val="left"/>
        <w:rPr>
          <w:rFonts w:ascii="宋体" w:cs="宋体"/>
          <w:color w:val="auto"/>
          <w:kern w:val="0"/>
          <w:sz w:val="32"/>
          <w:szCs w:val="32"/>
          <w:highlight w:val="none"/>
        </w:rPr>
      </w:pPr>
      <w:r>
        <w:rPr>
          <w:rFonts w:hint="eastAsia" w:ascii="仿宋_GB2312" w:hAnsi="宋体" w:eastAsia="仿宋_GB2312" w:cs="宋体"/>
          <w:color w:val="auto"/>
          <w:kern w:val="0"/>
          <w:sz w:val="32"/>
          <w:szCs w:val="32"/>
          <w:highlight w:val="none"/>
        </w:rPr>
        <w:t>除上述事项外，截至</w:t>
      </w:r>
      <w:r>
        <w:rPr>
          <w:rFonts w:ascii="仿宋_GB2312" w:hAnsi="宋体" w:eastAsia="仿宋_GB2312" w:cs="宋体"/>
          <w:color w:val="auto"/>
          <w:kern w:val="0"/>
          <w:sz w:val="32"/>
          <w:szCs w:val="32"/>
          <w:highlight w:val="none"/>
        </w:rPr>
        <w:t>20</w:t>
      </w:r>
      <w:r>
        <w:rPr>
          <w:rFonts w:hint="eastAsia" w:ascii="仿宋_GB2312" w:hAnsi="宋体" w:eastAsia="仿宋_GB2312" w:cs="宋体"/>
          <w:color w:val="auto"/>
          <w:kern w:val="0"/>
          <w:sz w:val="32"/>
          <w:szCs w:val="32"/>
          <w:highlight w:val="none"/>
        </w:rPr>
        <w:t>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w:t>
      </w:r>
      <w:r>
        <w:rPr>
          <w:rFonts w:ascii="仿宋_GB2312" w:hAnsi="宋体" w:eastAsia="仿宋_GB2312" w:cs="宋体"/>
          <w:color w:val="auto"/>
          <w:kern w:val="0"/>
          <w:sz w:val="32"/>
          <w:szCs w:val="32"/>
          <w:highlight w:val="none"/>
        </w:rPr>
        <w:t>12</w:t>
      </w:r>
      <w:r>
        <w:rPr>
          <w:rFonts w:hint="eastAsia" w:ascii="仿宋_GB2312" w:hAnsi="宋体" w:eastAsia="仿宋_GB2312" w:cs="宋体"/>
          <w:color w:val="auto"/>
          <w:kern w:val="0"/>
          <w:sz w:val="32"/>
          <w:szCs w:val="32"/>
          <w:highlight w:val="none"/>
        </w:rPr>
        <w:t>月</w:t>
      </w:r>
      <w:r>
        <w:rPr>
          <w:rFonts w:ascii="仿宋_GB2312" w:hAnsi="宋体" w:eastAsia="仿宋_GB2312" w:cs="宋体"/>
          <w:color w:val="auto"/>
          <w:kern w:val="0"/>
          <w:sz w:val="32"/>
          <w:szCs w:val="32"/>
          <w:highlight w:val="none"/>
        </w:rPr>
        <w:t>31</w:t>
      </w:r>
      <w:r>
        <w:rPr>
          <w:rFonts w:hint="eastAsia" w:ascii="仿宋_GB2312" w:hAnsi="宋体" w:eastAsia="仿宋_GB2312" w:cs="宋体"/>
          <w:color w:val="auto"/>
          <w:kern w:val="0"/>
          <w:sz w:val="32"/>
          <w:szCs w:val="32"/>
          <w:highlight w:val="none"/>
        </w:rPr>
        <w:t>日，本行无需要披露的其他重要事项。</w:t>
      </w:r>
    </w:p>
    <w:p>
      <w:pPr>
        <w:widowControl/>
        <w:shd w:val="clear" w:color="auto" w:fill="FFFFFF"/>
        <w:spacing w:line="480" w:lineRule="exact"/>
        <w:ind w:firstLine="640" w:firstLineChars="200"/>
        <w:jc w:val="left"/>
        <w:rPr>
          <w:rFonts w:hint="default" w:ascii="宋体" w:eastAsia="黑体" w:cs="宋体"/>
          <w:color w:val="auto"/>
          <w:kern w:val="0"/>
          <w:sz w:val="32"/>
          <w:szCs w:val="32"/>
          <w:highlight w:val="none"/>
          <w:lang w:val="en-US" w:eastAsia="zh-CN"/>
        </w:rPr>
      </w:pPr>
      <w:r>
        <w:rPr>
          <w:rFonts w:hint="eastAsia" w:ascii="黑体" w:hAnsi="宋体" w:eastAsia="黑体" w:cs="宋体"/>
          <w:color w:val="auto"/>
          <w:kern w:val="0"/>
          <w:sz w:val="32"/>
          <w:szCs w:val="32"/>
          <w:highlight w:val="none"/>
        </w:rPr>
        <w:t>十一、审计报告</w:t>
      </w:r>
    </w:p>
    <w:p>
      <w:pPr>
        <w:widowControl/>
        <w:shd w:val="clear" w:color="auto" w:fill="FFFFFF"/>
        <w:tabs>
          <w:tab w:val="left" w:pos="630"/>
        </w:tabs>
        <w:spacing w:line="48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w:t>
      </w: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年度财务报告由江西</w:t>
      </w:r>
      <w:r>
        <w:rPr>
          <w:rFonts w:hint="eastAsia" w:ascii="仿宋_GB2312" w:hAnsi="宋体" w:eastAsia="仿宋_GB2312" w:cs="宋体"/>
          <w:color w:val="auto"/>
          <w:kern w:val="0"/>
          <w:sz w:val="32"/>
          <w:szCs w:val="32"/>
          <w:highlight w:val="none"/>
          <w:lang w:val="en-US" w:eastAsia="zh-CN"/>
        </w:rPr>
        <w:t>惠普</w:t>
      </w:r>
      <w:r>
        <w:rPr>
          <w:rFonts w:hint="eastAsia" w:ascii="仿宋_GB2312" w:hAnsi="宋体" w:eastAsia="仿宋_GB2312" w:cs="宋体"/>
          <w:color w:val="auto"/>
          <w:kern w:val="0"/>
          <w:sz w:val="32"/>
          <w:szCs w:val="32"/>
          <w:highlight w:val="none"/>
        </w:rPr>
        <w:t>会计师事务所有限责任公司按中国注册会计师审计准则的规定执行了审计工作，注册会计师</w:t>
      </w:r>
      <w:r>
        <w:rPr>
          <w:rFonts w:hint="eastAsia" w:ascii="仿宋_GB2312" w:hAnsi="宋体" w:eastAsia="仿宋_GB2312" w:cs="宋体"/>
          <w:color w:val="auto"/>
          <w:kern w:val="0"/>
          <w:sz w:val="32"/>
          <w:szCs w:val="32"/>
          <w:highlight w:val="none"/>
          <w:lang w:val="en-US" w:eastAsia="zh-CN"/>
        </w:rPr>
        <w:t>黎莉莉</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夏亲亲出具了标</w:t>
      </w:r>
      <w:r>
        <w:rPr>
          <w:rFonts w:hint="eastAsia" w:ascii="仿宋_GB2312" w:hAnsi="宋体" w:eastAsia="仿宋_GB2312" w:cs="宋体"/>
          <w:color w:val="auto"/>
          <w:kern w:val="0"/>
          <w:sz w:val="32"/>
          <w:szCs w:val="32"/>
          <w:highlight w:val="none"/>
        </w:rPr>
        <w:t>准无保留意见的审计报告书（见附件）。</w:t>
      </w:r>
    </w:p>
    <w:p>
      <w:pPr>
        <w:pStyle w:val="2"/>
        <w:ind w:left="0" w:leftChars="0" w:firstLine="0" w:firstLineChars="0"/>
        <w:rPr>
          <w:rFonts w:hint="eastAsia" w:ascii="仿宋_GB2312" w:hAnsi="宋体" w:eastAsia="仿宋_GB2312"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s="宋体"/>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江西高安农村商业银行股份有限公司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color w:val="auto"/>
          <w:highlight w:val="none"/>
        </w:rPr>
      </w:pPr>
      <w:r>
        <w:rPr>
          <w:rFonts w:hint="eastAsia" w:ascii="仿宋_GB2312" w:hAnsi="仿宋_GB2312" w:eastAsia="仿宋_GB2312" w:cs="仿宋_GB2312"/>
          <w:color w:val="auto"/>
          <w:sz w:val="32"/>
          <w:szCs w:val="32"/>
          <w:highlight w:val="none"/>
          <w:lang w:val="en-US" w:eastAsia="zh-CN"/>
        </w:rPr>
        <w:t xml:space="preserve">                           2025年4月28日</w:t>
      </w:r>
    </w:p>
    <w:sectPr>
      <w:foot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PUA">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DotumChe">
    <w:altName w:val="Malgun Gothic"/>
    <w:panose1 w:val="020B0609000101010101"/>
    <w:charset w:val="81"/>
    <w:family w:val="modern"/>
    <w:pitch w:val="default"/>
    <w:sig w:usb0="00000000" w:usb1="00000000" w:usb2="00000030" w:usb3="00000000" w:csb0="4008009F" w:csb1="DFD70000"/>
  </w:font>
  <w:font w:name="??_GB2312">
    <w:altName w:val="Times New Roman"/>
    <w:panose1 w:val="00000000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23</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ZDNjZTllOWZmMDY0NzAyZTZmMzQ4YzgxNzMwNmEifQ=="/>
  </w:docVars>
  <w:rsids>
    <w:rsidRoot w:val="00172A27"/>
    <w:rsid w:val="00040267"/>
    <w:rsid w:val="00076225"/>
    <w:rsid w:val="00097541"/>
    <w:rsid w:val="001006A2"/>
    <w:rsid w:val="00143E0A"/>
    <w:rsid w:val="001A1C80"/>
    <w:rsid w:val="002E653A"/>
    <w:rsid w:val="002E7EBE"/>
    <w:rsid w:val="0031753B"/>
    <w:rsid w:val="00375DFD"/>
    <w:rsid w:val="003C5804"/>
    <w:rsid w:val="00480197"/>
    <w:rsid w:val="00492407"/>
    <w:rsid w:val="0049509F"/>
    <w:rsid w:val="004B002C"/>
    <w:rsid w:val="004B231D"/>
    <w:rsid w:val="005110CA"/>
    <w:rsid w:val="0056011A"/>
    <w:rsid w:val="00583418"/>
    <w:rsid w:val="00584B81"/>
    <w:rsid w:val="00633A58"/>
    <w:rsid w:val="00656206"/>
    <w:rsid w:val="00675C8E"/>
    <w:rsid w:val="00694D5C"/>
    <w:rsid w:val="00745F63"/>
    <w:rsid w:val="00753B00"/>
    <w:rsid w:val="007728C3"/>
    <w:rsid w:val="00784988"/>
    <w:rsid w:val="007E4150"/>
    <w:rsid w:val="008711B7"/>
    <w:rsid w:val="008923B0"/>
    <w:rsid w:val="009328E9"/>
    <w:rsid w:val="00953553"/>
    <w:rsid w:val="00957102"/>
    <w:rsid w:val="009743A9"/>
    <w:rsid w:val="00994EB6"/>
    <w:rsid w:val="009A031E"/>
    <w:rsid w:val="009A25BE"/>
    <w:rsid w:val="009A73DF"/>
    <w:rsid w:val="00A30407"/>
    <w:rsid w:val="00B34517"/>
    <w:rsid w:val="00BC4F1C"/>
    <w:rsid w:val="00C16866"/>
    <w:rsid w:val="00C23328"/>
    <w:rsid w:val="00C72F0A"/>
    <w:rsid w:val="00C94BE2"/>
    <w:rsid w:val="00CD6FA2"/>
    <w:rsid w:val="00D517D3"/>
    <w:rsid w:val="00D7750F"/>
    <w:rsid w:val="00DD471A"/>
    <w:rsid w:val="00E609A8"/>
    <w:rsid w:val="00E62D51"/>
    <w:rsid w:val="00E71EC9"/>
    <w:rsid w:val="00E95868"/>
    <w:rsid w:val="00F110C7"/>
    <w:rsid w:val="00F2383F"/>
    <w:rsid w:val="00F61EE6"/>
    <w:rsid w:val="013F0ADE"/>
    <w:rsid w:val="014F73DF"/>
    <w:rsid w:val="017B7193"/>
    <w:rsid w:val="02964E7A"/>
    <w:rsid w:val="033A22FE"/>
    <w:rsid w:val="0359543A"/>
    <w:rsid w:val="03817138"/>
    <w:rsid w:val="038E60FA"/>
    <w:rsid w:val="03B777A0"/>
    <w:rsid w:val="03CC1BBF"/>
    <w:rsid w:val="04076D52"/>
    <w:rsid w:val="042F39F0"/>
    <w:rsid w:val="04331FDE"/>
    <w:rsid w:val="04810A64"/>
    <w:rsid w:val="048B38B7"/>
    <w:rsid w:val="04B37B78"/>
    <w:rsid w:val="05147FDE"/>
    <w:rsid w:val="05390285"/>
    <w:rsid w:val="05400987"/>
    <w:rsid w:val="059E4DBD"/>
    <w:rsid w:val="05C74B7D"/>
    <w:rsid w:val="05D558C7"/>
    <w:rsid w:val="06134639"/>
    <w:rsid w:val="062404E9"/>
    <w:rsid w:val="064718AB"/>
    <w:rsid w:val="068B5FE5"/>
    <w:rsid w:val="06920CB3"/>
    <w:rsid w:val="06C631B9"/>
    <w:rsid w:val="06D104EA"/>
    <w:rsid w:val="07030F0F"/>
    <w:rsid w:val="07671E42"/>
    <w:rsid w:val="077C18DB"/>
    <w:rsid w:val="078A3410"/>
    <w:rsid w:val="07AE74DC"/>
    <w:rsid w:val="07BE248F"/>
    <w:rsid w:val="0820126E"/>
    <w:rsid w:val="082B308C"/>
    <w:rsid w:val="083D0F07"/>
    <w:rsid w:val="08FE4B9B"/>
    <w:rsid w:val="09024364"/>
    <w:rsid w:val="092D6ADB"/>
    <w:rsid w:val="094C55D1"/>
    <w:rsid w:val="098813CA"/>
    <w:rsid w:val="09B01BC1"/>
    <w:rsid w:val="0A1C117B"/>
    <w:rsid w:val="0A727F02"/>
    <w:rsid w:val="0A767876"/>
    <w:rsid w:val="0AB96C39"/>
    <w:rsid w:val="0ABE0BD3"/>
    <w:rsid w:val="0ADF6E84"/>
    <w:rsid w:val="0B2C10C4"/>
    <w:rsid w:val="0B6C7A57"/>
    <w:rsid w:val="0B702236"/>
    <w:rsid w:val="0B713A68"/>
    <w:rsid w:val="0B9151E0"/>
    <w:rsid w:val="0BD74256"/>
    <w:rsid w:val="0BF21776"/>
    <w:rsid w:val="0C422552"/>
    <w:rsid w:val="0C7B798C"/>
    <w:rsid w:val="0C89450F"/>
    <w:rsid w:val="0CDD5B27"/>
    <w:rsid w:val="0D281E9F"/>
    <w:rsid w:val="0D29366B"/>
    <w:rsid w:val="0D315835"/>
    <w:rsid w:val="0D494944"/>
    <w:rsid w:val="0D543B50"/>
    <w:rsid w:val="0D614586"/>
    <w:rsid w:val="0D8F1B84"/>
    <w:rsid w:val="0DEB6ADB"/>
    <w:rsid w:val="0E0B2B40"/>
    <w:rsid w:val="0E18733E"/>
    <w:rsid w:val="0E6E2B56"/>
    <w:rsid w:val="0E971C55"/>
    <w:rsid w:val="0E972280"/>
    <w:rsid w:val="0E9C7CF7"/>
    <w:rsid w:val="0EE55856"/>
    <w:rsid w:val="0EFE43E7"/>
    <w:rsid w:val="0F1B6124"/>
    <w:rsid w:val="0F2E449A"/>
    <w:rsid w:val="0F6E08ED"/>
    <w:rsid w:val="0F7C31BF"/>
    <w:rsid w:val="0F9F497B"/>
    <w:rsid w:val="0FB81308"/>
    <w:rsid w:val="0FBA7A94"/>
    <w:rsid w:val="0FC44FEA"/>
    <w:rsid w:val="10FB326B"/>
    <w:rsid w:val="11715CC0"/>
    <w:rsid w:val="11B64637"/>
    <w:rsid w:val="12907D5D"/>
    <w:rsid w:val="12DF4EBE"/>
    <w:rsid w:val="133A7AAF"/>
    <w:rsid w:val="139E571C"/>
    <w:rsid w:val="13C06B52"/>
    <w:rsid w:val="13EC2E03"/>
    <w:rsid w:val="143D44A1"/>
    <w:rsid w:val="148253DE"/>
    <w:rsid w:val="148E6A46"/>
    <w:rsid w:val="14B809FC"/>
    <w:rsid w:val="14E00B74"/>
    <w:rsid w:val="14E23681"/>
    <w:rsid w:val="156F13EE"/>
    <w:rsid w:val="158A4EF2"/>
    <w:rsid w:val="15957F4C"/>
    <w:rsid w:val="15C44691"/>
    <w:rsid w:val="15D52182"/>
    <w:rsid w:val="160C603A"/>
    <w:rsid w:val="16703673"/>
    <w:rsid w:val="168B04F5"/>
    <w:rsid w:val="16AB5D10"/>
    <w:rsid w:val="16AC5483"/>
    <w:rsid w:val="16FB4DAE"/>
    <w:rsid w:val="17414050"/>
    <w:rsid w:val="176B18B2"/>
    <w:rsid w:val="177C5712"/>
    <w:rsid w:val="17D65BAB"/>
    <w:rsid w:val="17E340A8"/>
    <w:rsid w:val="18057823"/>
    <w:rsid w:val="185927C1"/>
    <w:rsid w:val="18805751"/>
    <w:rsid w:val="189609F4"/>
    <w:rsid w:val="19122A02"/>
    <w:rsid w:val="19645248"/>
    <w:rsid w:val="19C61CDB"/>
    <w:rsid w:val="1A4F4434"/>
    <w:rsid w:val="1B155046"/>
    <w:rsid w:val="1B746A50"/>
    <w:rsid w:val="1B75279B"/>
    <w:rsid w:val="1BD27D9A"/>
    <w:rsid w:val="1C4A44DB"/>
    <w:rsid w:val="1C5430C5"/>
    <w:rsid w:val="1C651231"/>
    <w:rsid w:val="1C6870A4"/>
    <w:rsid w:val="1CCD005E"/>
    <w:rsid w:val="1D010D24"/>
    <w:rsid w:val="1D2574EA"/>
    <w:rsid w:val="1D425166"/>
    <w:rsid w:val="1D8507D0"/>
    <w:rsid w:val="1D9E7CEC"/>
    <w:rsid w:val="1DD6570D"/>
    <w:rsid w:val="1DD84793"/>
    <w:rsid w:val="1DEB21C6"/>
    <w:rsid w:val="1DFD199A"/>
    <w:rsid w:val="1E151945"/>
    <w:rsid w:val="1E6B507A"/>
    <w:rsid w:val="1E7A30CB"/>
    <w:rsid w:val="1EA6775E"/>
    <w:rsid w:val="1ED51756"/>
    <w:rsid w:val="1F0B69E9"/>
    <w:rsid w:val="1F0C7B1F"/>
    <w:rsid w:val="1F2966A5"/>
    <w:rsid w:val="204D6564"/>
    <w:rsid w:val="2069780D"/>
    <w:rsid w:val="207B0635"/>
    <w:rsid w:val="209B14F5"/>
    <w:rsid w:val="20F54853"/>
    <w:rsid w:val="21145EC7"/>
    <w:rsid w:val="213137F0"/>
    <w:rsid w:val="2148491E"/>
    <w:rsid w:val="215A13A4"/>
    <w:rsid w:val="215E03E3"/>
    <w:rsid w:val="217345FD"/>
    <w:rsid w:val="21D91749"/>
    <w:rsid w:val="22415242"/>
    <w:rsid w:val="234C3464"/>
    <w:rsid w:val="2365585F"/>
    <w:rsid w:val="24343CCD"/>
    <w:rsid w:val="245C52E0"/>
    <w:rsid w:val="25376F2C"/>
    <w:rsid w:val="25432F04"/>
    <w:rsid w:val="259856D8"/>
    <w:rsid w:val="25EB5F21"/>
    <w:rsid w:val="25F35C39"/>
    <w:rsid w:val="263A4FCB"/>
    <w:rsid w:val="264669B9"/>
    <w:rsid w:val="277C5755"/>
    <w:rsid w:val="27BC4C34"/>
    <w:rsid w:val="27ED23F0"/>
    <w:rsid w:val="284D29DE"/>
    <w:rsid w:val="28660CB7"/>
    <w:rsid w:val="287913F6"/>
    <w:rsid w:val="28B61A60"/>
    <w:rsid w:val="29302602"/>
    <w:rsid w:val="29382ED0"/>
    <w:rsid w:val="294620A0"/>
    <w:rsid w:val="29AF1D79"/>
    <w:rsid w:val="29C46256"/>
    <w:rsid w:val="29CF33DF"/>
    <w:rsid w:val="29EC66D5"/>
    <w:rsid w:val="2A3D2AB4"/>
    <w:rsid w:val="2A8B596B"/>
    <w:rsid w:val="2AB60771"/>
    <w:rsid w:val="2AEE0A1E"/>
    <w:rsid w:val="2C1D7F75"/>
    <w:rsid w:val="2C99074A"/>
    <w:rsid w:val="2CF91DF8"/>
    <w:rsid w:val="2D250914"/>
    <w:rsid w:val="2D83682A"/>
    <w:rsid w:val="2E694561"/>
    <w:rsid w:val="2EA45502"/>
    <w:rsid w:val="2EAC1CBC"/>
    <w:rsid w:val="2F240283"/>
    <w:rsid w:val="2F333E46"/>
    <w:rsid w:val="2FD67A43"/>
    <w:rsid w:val="2FF21DC8"/>
    <w:rsid w:val="3062028A"/>
    <w:rsid w:val="30DB3288"/>
    <w:rsid w:val="30E8708D"/>
    <w:rsid w:val="30E970CE"/>
    <w:rsid w:val="30FE3A44"/>
    <w:rsid w:val="3147402B"/>
    <w:rsid w:val="31A378CC"/>
    <w:rsid w:val="33390AFF"/>
    <w:rsid w:val="334D3606"/>
    <w:rsid w:val="33B15017"/>
    <w:rsid w:val="33B76B24"/>
    <w:rsid w:val="33CA3A8D"/>
    <w:rsid w:val="33DD46F2"/>
    <w:rsid w:val="3434661B"/>
    <w:rsid w:val="34423A0E"/>
    <w:rsid w:val="344E70CC"/>
    <w:rsid w:val="346D392D"/>
    <w:rsid w:val="349223A6"/>
    <w:rsid w:val="34A45309"/>
    <w:rsid w:val="352F0E17"/>
    <w:rsid w:val="35344D31"/>
    <w:rsid w:val="35AA27F9"/>
    <w:rsid w:val="35BBFEC3"/>
    <w:rsid w:val="36073D3E"/>
    <w:rsid w:val="36366C6B"/>
    <w:rsid w:val="366E0DA6"/>
    <w:rsid w:val="36A81E18"/>
    <w:rsid w:val="36C10FAB"/>
    <w:rsid w:val="37537983"/>
    <w:rsid w:val="379E07C4"/>
    <w:rsid w:val="381C4EA7"/>
    <w:rsid w:val="386B7009"/>
    <w:rsid w:val="387E389A"/>
    <w:rsid w:val="38AC41E9"/>
    <w:rsid w:val="38CE0AD7"/>
    <w:rsid w:val="39225E50"/>
    <w:rsid w:val="39303301"/>
    <w:rsid w:val="393D00FD"/>
    <w:rsid w:val="394D5953"/>
    <w:rsid w:val="39845CCA"/>
    <w:rsid w:val="39CB2BF1"/>
    <w:rsid w:val="39FF5E4D"/>
    <w:rsid w:val="3A9248E0"/>
    <w:rsid w:val="3A983B1A"/>
    <w:rsid w:val="3AC2108B"/>
    <w:rsid w:val="3B1B0781"/>
    <w:rsid w:val="3B5D3A1D"/>
    <w:rsid w:val="3B825C49"/>
    <w:rsid w:val="3B851586"/>
    <w:rsid w:val="3BAE6094"/>
    <w:rsid w:val="3BC177FA"/>
    <w:rsid w:val="3BCA7064"/>
    <w:rsid w:val="3C4617DF"/>
    <w:rsid w:val="3C5A1C4D"/>
    <w:rsid w:val="3C6645A2"/>
    <w:rsid w:val="3C7C52D2"/>
    <w:rsid w:val="3C924972"/>
    <w:rsid w:val="3D0F7D73"/>
    <w:rsid w:val="3D1D1AAE"/>
    <w:rsid w:val="3D2F405D"/>
    <w:rsid w:val="3D4A5754"/>
    <w:rsid w:val="3D74606C"/>
    <w:rsid w:val="3D7675C9"/>
    <w:rsid w:val="3D7A0325"/>
    <w:rsid w:val="3DB249A2"/>
    <w:rsid w:val="3DFB7438"/>
    <w:rsid w:val="3E1E4423"/>
    <w:rsid w:val="3E200B50"/>
    <w:rsid w:val="3EA85723"/>
    <w:rsid w:val="3EFC0AF6"/>
    <w:rsid w:val="3F127B2B"/>
    <w:rsid w:val="3F503E68"/>
    <w:rsid w:val="3F5E5813"/>
    <w:rsid w:val="3FAB7DD9"/>
    <w:rsid w:val="3FC0419A"/>
    <w:rsid w:val="400A4B09"/>
    <w:rsid w:val="401F7D10"/>
    <w:rsid w:val="406C6C4C"/>
    <w:rsid w:val="407176B6"/>
    <w:rsid w:val="416740CB"/>
    <w:rsid w:val="419F71B9"/>
    <w:rsid w:val="41AA3E41"/>
    <w:rsid w:val="41AF7931"/>
    <w:rsid w:val="41FD5835"/>
    <w:rsid w:val="42152699"/>
    <w:rsid w:val="42E52170"/>
    <w:rsid w:val="42FE1278"/>
    <w:rsid w:val="42FF0D44"/>
    <w:rsid w:val="431C2954"/>
    <w:rsid w:val="438B5A79"/>
    <w:rsid w:val="43E53D0C"/>
    <w:rsid w:val="448368C6"/>
    <w:rsid w:val="44A10BCD"/>
    <w:rsid w:val="457C22D9"/>
    <w:rsid w:val="45B61046"/>
    <w:rsid w:val="45D202F2"/>
    <w:rsid w:val="463959DF"/>
    <w:rsid w:val="463B3CFC"/>
    <w:rsid w:val="46586218"/>
    <w:rsid w:val="46703788"/>
    <w:rsid w:val="46FA678A"/>
    <w:rsid w:val="47173FE6"/>
    <w:rsid w:val="47476B06"/>
    <w:rsid w:val="475E181E"/>
    <w:rsid w:val="478A3159"/>
    <w:rsid w:val="47AA5E67"/>
    <w:rsid w:val="47DB1EB4"/>
    <w:rsid w:val="47DF486B"/>
    <w:rsid w:val="4851140F"/>
    <w:rsid w:val="48DA794B"/>
    <w:rsid w:val="490725E2"/>
    <w:rsid w:val="4919206A"/>
    <w:rsid w:val="4957290B"/>
    <w:rsid w:val="49620EC7"/>
    <w:rsid w:val="49773DAE"/>
    <w:rsid w:val="499549CA"/>
    <w:rsid w:val="49A55A94"/>
    <w:rsid w:val="4A367FE3"/>
    <w:rsid w:val="4A3C7679"/>
    <w:rsid w:val="4A76047D"/>
    <w:rsid w:val="4A9275A0"/>
    <w:rsid w:val="4AFF6A2D"/>
    <w:rsid w:val="4B8702FE"/>
    <w:rsid w:val="4BB62B2E"/>
    <w:rsid w:val="4BB65E30"/>
    <w:rsid w:val="4BB82AB4"/>
    <w:rsid w:val="4BC27856"/>
    <w:rsid w:val="4C0559D7"/>
    <w:rsid w:val="4C087E6F"/>
    <w:rsid w:val="4C3B20CB"/>
    <w:rsid w:val="4C637C9D"/>
    <w:rsid w:val="4C733166"/>
    <w:rsid w:val="4D3F4B3F"/>
    <w:rsid w:val="4DD060D7"/>
    <w:rsid w:val="4DD96408"/>
    <w:rsid w:val="4E02323C"/>
    <w:rsid w:val="4E586D87"/>
    <w:rsid w:val="4E6576A1"/>
    <w:rsid w:val="4E88637C"/>
    <w:rsid w:val="4E9A2360"/>
    <w:rsid w:val="4EC0477E"/>
    <w:rsid w:val="4EEA7B8F"/>
    <w:rsid w:val="4F1516ED"/>
    <w:rsid w:val="4F320C38"/>
    <w:rsid w:val="4F736820"/>
    <w:rsid w:val="4FAC5CC4"/>
    <w:rsid w:val="4FFF5E74"/>
    <w:rsid w:val="50292D33"/>
    <w:rsid w:val="50515B62"/>
    <w:rsid w:val="5117173B"/>
    <w:rsid w:val="51386BCB"/>
    <w:rsid w:val="5174398C"/>
    <w:rsid w:val="51A46AD1"/>
    <w:rsid w:val="51B31F27"/>
    <w:rsid w:val="51D77E12"/>
    <w:rsid w:val="525F2898"/>
    <w:rsid w:val="527329A3"/>
    <w:rsid w:val="53360110"/>
    <w:rsid w:val="53505999"/>
    <w:rsid w:val="535C3A00"/>
    <w:rsid w:val="536770A1"/>
    <w:rsid w:val="53F00A6D"/>
    <w:rsid w:val="541E4D54"/>
    <w:rsid w:val="542D5D67"/>
    <w:rsid w:val="54EE1A3F"/>
    <w:rsid w:val="54FA53FE"/>
    <w:rsid w:val="554D1EF5"/>
    <w:rsid w:val="55974C4E"/>
    <w:rsid w:val="55B60004"/>
    <w:rsid w:val="56EA558C"/>
    <w:rsid w:val="577607F8"/>
    <w:rsid w:val="578E7293"/>
    <w:rsid w:val="57A86143"/>
    <w:rsid w:val="57D24EA1"/>
    <w:rsid w:val="57E91888"/>
    <w:rsid w:val="582F17A1"/>
    <w:rsid w:val="583C7B79"/>
    <w:rsid w:val="58415017"/>
    <w:rsid w:val="58783E7E"/>
    <w:rsid w:val="58D02BE3"/>
    <w:rsid w:val="591C4F81"/>
    <w:rsid w:val="591F686D"/>
    <w:rsid w:val="5A083293"/>
    <w:rsid w:val="5A293F19"/>
    <w:rsid w:val="5A671B9D"/>
    <w:rsid w:val="5A957D2F"/>
    <w:rsid w:val="5AA117B0"/>
    <w:rsid w:val="5AA326A9"/>
    <w:rsid w:val="5B1643F8"/>
    <w:rsid w:val="5B292239"/>
    <w:rsid w:val="5B6612CA"/>
    <w:rsid w:val="5B993F86"/>
    <w:rsid w:val="5BBD185D"/>
    <w:rsid w:val="5BEF47A4"/>
    <w:rsid w:val="5C054FC1"/>
    <w:rsid w:val="5C2A3F12"/>
    <w:rsid w:val="5C5811DA"/>
    <w:rsid w:val="5C905953"/>
    <w:rsid w:val="5CBB22F1"/>
    <w:rsid w:val="5CD41628"/>
    <w:rsid w:val="5D020449"/>
    <w:rsid w:val="5D037D6C"/>
    <w:rsid w:val="5D3822A1"/>
    <w:rsid w:val="5D55295E"/>
    <w:rsid w:val="5D5A0B83"/>
    <w:rsid w:val="5D940AEC"/>
    <w:rsid w:val="5DA61B1E"/>
    <w:rsid w:val="5DBA2389"/>
    <w:rsid w:val="5E025A3D"/>
    <w:rsid w:val="5E161A50"/>
    <w:rsid w:val="5E1D18C7"/>
    <w:rsid w:val="5E2C4251"/>
    <w:rsid w:val="5E483971"/>
    <w:rsid w:val="5E893A28"/>
    <w:rsid w:val="5EFF0400"/>
    <w:rsid w:val="5F182C00"/>
    <w:rsid w:val="5F2B6736"/>
    <w:rsid w:val="5F2E5F97"/>
    <w:rsid w:val="5F357C35"/>
    <w:rsid w:val="5FA156E8"/>
    <w:rsid w:val="600759A6"/>
    <w:rsid w:val="60220488"/>
    <w:rsid w:val="603649B5"/>
    <w:rsid w:val="60492805"/>
    <w:rsid w:val="60583E69"/>
    <w:rsid w:val="60667637"/>
    <w:rsid w:val="60824546"/>
    <w:rsid w:val="608A69F8"/>
    <w:rsid w:val="60C7579F"/>
    <w:rsid w:val="60D00912"/>
    <w:rsid w:val="612C1D19"/>
    <w:rsid w:val="61D332AA"/>
    <w:rsid w:val="62B86E50"/>
    <w:rsid w:val="63133E90"/>
    <w:rsid w:val="63600CFD"/>
    <w:rsid w:val="638723FF"/>
    <w:rsid w:val="63EB2864"/>
    <w:rsid w:val="640F39F7"/>
    <w:rsid w:val="64587685"/>
    <w:rsid w:val="6463182B"/>
    <w:rsid w:val="64752246"/>
    <w:rsid w:val="647A7A14"/>
    <w:rsid w:val="64836295"/>
    <w:rsid w:val="64A6134A"/>
    <w:rsid w:val="64CF06FB"/>
    <w:rsid w:val="64EB6B76"/>
    <w:rsid w:val="64ED19DF"/>
    <w:rsid w:val="65D34335"/>
    <w:rsid w:val="65EE16FF"/>
    <w:rsid w:val="660A2052"/>
    <w:rsid w:val="666767EF"/>
    <w:rsid w:val="66931BA9"/>
    <w:rsid w:val="66FE09E7"/>
    <w:rsid w:val="680935B1"/>
    <w:rsid w:val="68173274"/>
    <w:rsid w:val="681B7856"/>
    <w:rsid w:val="684F42B7"/>
    <w:rsid w:val="688A7B07"/>
    <w:rsid w:val="693937A5"/>
    <w:rsid w:val="69A553AF"/>
    <w:rsid w:val="69FC053A"/>
    <w:rsid w:val="6AA04025"/>
    <w:rsid w:val="6AC906F7"/>
    <w:rsid w:val="6ACA4FCC"/>
    <w:rsid w:val="6B005C9A"/>
    <w:rsid w:val="6B525223"/>
    <w:rsid w:val="6BB80F04"/>
    <w:rsid w:val="6BFF21EC"/>
    <w:rsid w:val="6C884A48"/>
    <w:rsid w:val="6D096D53"/>
    <w:rsid w:val="6D3927A0"/>
    <w:rsid w:val="6D48168B"/>
    <w:rsid w:val="6D632409"/>
    <w:rsid w:val="6D730C26"/>
    <w:rsid w:val="6D7C0FC6"/>
    <w:rsid w:val="6D863072"/>
    <w:rsid w:val="6D876073"/>
    <w:rsid w:val="6DA81FFD"/>
    <w:rsid w:val="6DB13B79"/>
    <w:rsid w:val="6E1D4407"/>
    <w:rsid w:val="6E585C1D"/>
    <w:rsid w:val="6E744FD8"/>
    <w:rsid w:val="6E9F158A"/>
    <w:rsid w:val="6EBA5C97"/>
    <w:rsid w:val="6F1C7CDA"/>
    <w:rsid w:val="6F2A7412"/>
    <w:rsid w:val="6F2C3A97"/>
    <w:rsid w:val="6F5343CF"/>
    <w:rsid w:val="6F8A6704"/>
    <w:rsid w:val="6FA6336C"/>
    <w:rsid w:val="6FC96090"/>
    <w:rsid w:val="7010201E"/>
    <w:rsid w:val="709E3E2A"/>
    <w:rsid w:val="70BC66E5"/>
    <w:rsid w:val="70C32865"/>
    <w:rsid w:val="70F963CC"/>
    <w:rsid w:val="71323160"/>
    <w:rsid w:val="713D51DA"/>
    <w:rsid w:val="71BA5D36"/>
    <w:rsid w:val="71FE50B4"/>
    <w:rsid w:val="720038F5"/>
    <w:rsid w:val="72621E43"/>
    <w:rsid w:val="72835596"/>
    <w:rsid w:val="72B41E8B"/>
    <w:rsid w:val="72C1436B"/>
    <w:rsid w:val="72D4117E"/>
    <w:rsid w:val="72EA4C93"/>
    <w:rsid w:val="735346A3"/>
    <w:rsid w:val="737A3E19"/>
    <w:rsid w:val="73A25005"/>
    <w:rsid w:val="73B7696F"/>
    <w:rsid w:val="73C012BA"/>
    <w:rsid w:val="73E67CAF"/>
    <w:rsid w:val="74620BD9"/>
    <w:rsid w:val="74855D5C"/>
    <w:rsid w:val="74882B28"/>
    <w:rsid w:val="75250B1F"/>
    <w:rsid w:val="759F0442"/>
    <w:rsid w:val="75E62600"/>
    <w:rsid w:val="76495703"/>
    <w:rsid w:val="76603F1E"/>
    <w:rsid w:val="767B6613"/>
    <w:rsid w:val="769B0985"/>
    <w:rsid w:val="76B4341A"/>
    <w:rsid w:val="77C31BEB"/>
    <w:rsid w:val="77E11902"/>
    <w:rsid w:val="782F1270"/>
    <w:rsid w:val="78403338"/>
    <w:rsid w:val="784B4667"/>
    <w:rsid w:val="785B49F5"/>
    <w:rsid w:val="78963F2F"/>
    <w:rsid w:val="78AF2B65"/>
    <w:rsid w:val="790215A0"/>
    <w:rsid w:val="79480700"/>
    <w:rsid w:val="794F12DB"/>
    <w:rsid w:val="797A39DC"/>
    <w:rsid w:val="79AB396E"/>
    <w:rsid w:val="79DF58FF"/>
    <w:rsid w:val="79F41828"/>
    <w:rsid w:val="7A584C98"/>
    <w:rsid w:val="7A6557C4"/>
    <w:rsid w:val="7A811B4A"/>
    <w:rsid w:val="7A8A769D"/>
    <w:rsid w:val="7AB15E37"/>
    <w:rsid w:val="7ABC2EB6"/>
    <w:rsid w:val="7B0C3C29"/>
    <w:rsid w:val="7B3F234A"/>
    <w:rsid w:val="7B7E7343"/>
    <w:rsid w:val="7B824330"/>
    <w:rsid w:val="7BBC0BB7"/>
    <w:rsid w:val="7BE0414B"/>
    <w:rsid w:val="7C083BC0"/>
    <w:rsid w:val="7C2E4E9C"/>
    <w:rsid w:val="7C3E2562"/>
    <w:rsid w:val="7C6E1606"/>
    <w:rsid w:val="7CA52CDA"/>
    <w:rsid w:val="7CDA2A1E"/>
    <w:rsid w:val="7DA94798"/>
    <w:rsid w:val="7DC946D5"/>
    <w:rsid w:val="7DF27566"/>
    <w:rsid w:val="7DF42FF7"/>
    <w:rsid w:val="7E1560A8"/>
    <w:rsid w:val="7E1D36F5"/>
    <w:rsid w:val="7E2D2D23"/>
    <w:rsid w:val="7EEA5DF1"/>
    <w:rsid w:val="7F592F6D"/>
    <w:rsid w:val="7FAB0644"/>
    <w:rsid w:val="D5DDF8F4"/>
    <w:rsid w:val="FDFBA2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样式 正文 小四 行距: 1.5 倍行距 + 首行缩进:  2 字符"/>
    <w:basedOn w:val="1"/>
    <w:qFormat/>
    <w:uiPriority w:val="0"/>
    <w:pPr>
      <w:spacing w:line="360" w:lineRule="auto"/>
      <w:ind w:firstLine="480" w:firstLineChars="200"/>
    </w:pPr>
    <w:rPr>
      <w:rFonts w:ascii="宋体" w:hAnsi="宋体" w:cs="宋体"/>
      <w:color w:val="000000"/>
      <w:sz w:val="24"/>
    </w:rPr>
  </w:style>
  <w:style w:type="paragraph" w:styleId="3">
    <w:name w:val="Normal Indent"/>
    <w:basedOn w:val="1"/>
    <w:qFormat/>
    <w:uiPriority w:val="99"/>
    <w:pPr>
      <w:ind w:firstLine="420" w:firstLineChars="200"/>
    </w:pPr>
  </w:style>
  <w:style w:type="paragraph" w:styleId="4">
    <w:name w:val="Body Text"/>
    <w:basedOn w:val="1"/>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line="360" w:lineRule="auto"/>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16"/>
    <w:basedOn w:val="9"/>
    <w:qFormat/>
    <w:uiPriority w:val="0"/>
    <w:rPr>
      <w:rFonts w:hint="eastAsia" w:ascii="黑体" w:hAnsi="宋体" w:eastAsia="黑体" w:cs="黑体"/>
      <w:b/>
      <w:color w:val="000000"/>
      <w:sz w:val="28"/>
      <w:szCs w:val="28"/>
    </w:rPr>
  </w:style>
  <w:style w:type="character" w:customStyle="1" w:styleId="11">
    <w:name w:val="10"/>
    <w:basedOn w:val="9"/>
    <w:qFormat/>
    <w:uiPriority w:val="0"/>
    <w:rPr>
      <w:rFonts w:hint="default" w:ascii="Times New Roman" w:hAnsi="Times New Roman" w:cs="Times New Roman"/>
    </w:rPr>
  </w:style>
  <w:style w:type="character" w:customStyle="1" w:styleId="12">
    <w:name w:val="15"/>
    <w:basedOn w:val="9"/>
    <w:qFormat/>
    <w:uiPriority w:val="0"/>
    <w:rPr>
      <w:rFonts w:hint="eastAsia" w:ascii="仿宋" w:hAnsi="仿宋" w:eastAsia="仿宋" w:cs="仿宋"/>
      <w:b/>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User</Company>
  <Pages>1</Pages>
  <Words>2328</Words>
  <Characters>13272</Characters>
  <Lines>1</Lines>
  <Paragraphs>1</Paragraphs>
  <TotalTime>0</TotalTime>
  <ScaleCrop>false</ScaleCrop>
  <LinksUpToDate>false</LinksUpToDate>
  <CharactersWithSpaces>15569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2023-05-16T11:11:00Z</dcterms:created>
  <dc:creator>匿名用户</dc:creator>
  <cp:lastModifiedBy>Administrator</cp:lastModifiedBy>
  <dcterms:modified xsi:type="dcterms:W3CDTF">2025-05-08T01:12:16Z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EF1B67D3CE7C459E9419C9A9CE196D03_12</vt:lpwstr>
  </property>
</Properties>
</file>