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江西赣昌农村商业银行股份有限公司</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2024年上半年第三支柱信息披露报告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根据国家金融监督管理总局令第4号发布的《商业银行资本管理办法》(以下简称“办法”)附件22《商业银行信息披露内容和要求》的规定，</w:t>
      </w:r>
      <w:r>
        <w:rPr>
          <w:rFonts w:hint="eastAsia" w:ascii="仿宋_GB2312" w:hAnsi="仿宋_GB2312" w:cs="仿宋_GB2312"/>
          <w:spacing w:val="0"/>
          <w:sz w:val="32"/>
          <w:szCs w:val="32"/>
          <w:lang w:val="en-US" w:eastAsia="zh-CN"/>
        </w:rPr>
        <w:t>特披露如下：</w:t>
      </w:r>
    </w:p>
    <w:p>
      <w:pPr>
        <w:spacing w:line="560" w:lineRule="exact"/>
        <w:ind w:firstLine="696" w:firstLineChars="200"/>
        <w:rPr>
          <w:rFonts w:ascii="黑体" w:hAnsi="黑体" w:eastAsia="黑体" w:cs="黑体"/>
          <w:sz w:val="36"/>
          <w:szCs w:val="36"/>
        </w:rPr>
      </w:pPr>
      <w:r>
        <w:rPr>
          <w:rFonts w:hint="eastAsia" w:ascii="黑体" w:hAnsi="黑体" w:eastAsia="黑体" w:cs="黑体"/>
          <w:sz w:val="36"/>
          <w:szCs w:val="36"/>
        </w:rPr>
        <w:t>一、上半年资本充足率及风险资产情况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按照办法规定划分，本行为非上市第二档商业银行，其中信用风险采用权重法计量，市场风险采用简化标准法计量，操作风险采用基本指标法计量。截至2024年6月30日，本行核心一级资本净额221137.07万元，一级资本净额221137.07万元，资本净额221137.07万元，风险加权资产1897821.16万元，核心一级资本充足率为11.65%，一级资本充足率为11.65%，资本充足率为11.65%；调整后表内外资产余额3219498.48万元，杠杆率为6.87%。核心资本充足率、一级资本充足率、资本充足率和杠杆率均优于监管部门要求的法定值。</w:t>
      </w:r>
    </w:p>
    <w:p>
      <w:pPr>
        <w:spacing w:line="560" w:lineRule="exact"/>
        <w:ind w:firstLine="696" w:firstLineChars="200"/>
        <w:rPr>
          <w:rFonts w:ascii="黑体" w:hAnsi="黑体" w:eastAsia="黑体" w:cs="黑体"/>
          <w:sz w:val="36"/>
          <w:szCs w:val="36"/>
        </w:rPr>
      </w:pPr>
      <w:r>
        <w:rPr>
          <w:rFonts w:hint="eastAsia" w:ascii="黑体" w:hAnsi="黑体" w:eastAsia="黑体" w:cs="黑体"/>
          <w:sz w:val="36"/>
          <w:szCs w:val="36"/>
        </w:rPr>
        <w:t>二、上半年需披露的报表如下</w:t>
      </w:r>
    </w:p>
    <w:p>
      <w:pPr>
        <w:ind w:firstLine="616" w:firstLineChars="200"/>
        <w:rPr>
          <w:szCs w:val="22"/>
        </w:rPr>
      </w:pPr>
      <w:r>
        <w:rPr>
          <w:rFonts w:hint="eastAsia"/>
          <w:szCs w:val="22"/>
        </w:rPr>
        <w:t>（一）KM1表</w:t>
      </w:r>
    </w:p>
    <w:tbl>
      <w:tblPr>
        <w:tblStyle w:val="4"/>
        <w:tblpPr w:leftFromText="180" w:rightFromText="180" w:vertAnchor="text" w:horzAnchor="page" w:tblpX="1832" w:tblpY="99"/>
        <w:tblOverlap w:val="never"/>
        <w:tblW w:w="836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329"/>
        <w:gridCol w:w="1725"/>
        <w:gridCol w:w="149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146" w:type="dxa"/>
            <w:gridSpan w:val="2"/>
            <w:vMerge w:val="restart"/>
          </w:tcPr>
          <w:p>
            <w:pPr>
              <w:pStyle w:val="5"/>
            </w:pPr>
          </w:p>
        </w:tc>
        <w:tc>
          <w:tcPr>
            <w:tcW w:w="1725" w:type="dxa"/>
            <w:vAlign w:val="center"/>
          </w:tcPr>
          <w:p>
            <w:pPr>
              <w:pStyle w:val="5"/>
              <w:jc w:val="center"/>
              <w:rPr>
                <w:b/>
                <w:bCs w:val="0"/>
              </w:rPr>
            </w:pPr>
            <w:r>
              <w:rPr>
                <w:b/>
                <w:bCs w:val="0"/>
              </w:rPr>
              <w:t>a</w:t>
            </w:r>
          </w:p>
        </w:tc>
        <w:tc>
          <w:tcPr>
            <w:tcW w:w="1493" w:type="dxa"/>
            <w:vAlign w:val="center"/>
          </w:tcPr>
          <w:p>
            <w:pPr>
              <w:pStyle w:val="5"/>
              <w:jc w:val="center"/>
              <w:rPr>
                <w:b/>
                <w:bCs w:val="0"/>
              </w:rPr>
            </w:pPr>
            <w:r>
              <w:rPr>
                <w:b/>
                <w:bCs w:val="0"/>
              </w:rPr>
              <w:t>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5146" w:type="dxa"/>
            <w:gridSpan w:val="2"/>
            <w:vMerge w:val="continue"/>
          </w:tcPr>
          <w:p>
            <w:pPr>
              <w:pStyle w:val="5"/>
            </w:pPr>
          </w:p>
        </w:tc>
        <w:tc>
          <w:tcPr>
            <w:tcW w:w="1725" w:type="dxa"/>
            <w:vAlign w:val="center"/>
          </w:tcPr>
          <w:p>
            <w:pPr>
              <w:pStyle w:val="5"/>
              <w:jc w:val="center"/>
              <w:rPr>
                <w:b/>
                <w:bCs w:val="0"/>
              </w:rPr>
            </w:pPr>
            <w:r>
              <w:rPr>
                <w:b/>
                <w:bCs w:val="0"/>
              </w:rPr>
              <w:t>T</w:t>
            </w:r>
          </w:p>
        </w:tc>
        <w:tc>
          <w:tcPr>
            <w:tcW w:w="1493" w:type="dxa"/>
            <w:vAlign w:val="center"/>
          </w:tcPr>
          <w:p>
            <w:pPr>
              <w:pStyle w:val="5"/>
              <w:jc w:val="center"/>
              <w:rPr>
                <w:b/>
                <w:bCs w:val="0"/>
              </w:rPr>
            </w:pPr>
            <w:r>
              <w:rPr>
                <w:b/>
                <w:bCs w:val="0"/>
              </w:rPr>
              <w:t>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8364" w:type="dxa"/>
            <w:gridSpan w:val="4"/>
            <w:shd w:val="clear" w:color="000000" w:fill="D9D9D9"/>
          </w:tcPr>
          <w:p>
            <w:pPr>
              <w:pStyle w:val="5"/>
            </w:pPr>
            <w:r>
              <w:rPr>
                <w:rFonts w:hint="eastAsia"/>
                <w:b/>
              </w:rPr>
              <w:t>可用资本（数额）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t>1</w:t>
            </w:r>
          </w:p>
        </w:tc>
        <w:tc>
          <w:tcPr>
            <w:tcW w:w="4329" w:type="dxa"/>
            <w:vAlign w:val="center"/>
          </w:tcPr>
          <w:p>
            <w:pPr>
              <w:pStyle w:val="5"/>
            </w:pPr>
            <w:r>
              <w:rPr>
                <w:rFonts w:hint="eastAsia"/>
              </w:rPr>
              <w:t>核心一级资本净额</w:t>
            </w:r>
          </w:p>
        </w:tc>
        <w:tc>
          <w:tcPr>
            <w:tcW w:w="1725" w:type="dxa"/>
            <w:vAlign w:val="center"/>
          </w:tcPr>
          <w:p>
            <w:pPr>
              <w:pStyle w:val="5"/>
              <w:rPr>
                <w:lang w:val="en-US"/>
              </w:rPr>
            </w:pPr>
            <w:r>
              <w:rPr>
                <w:rFonts w:cs="宋体"/>
              </w:rPr>
              <w:t>221137.07</w:t>
            </w:r>
          </w:p>
        </w:tc>
        <w:tc>
          <w:tcPr>
            <w:tcW w:w="1493" w:type="dxa"/>
            <w:vAlign w:val="center"/>
          </w:tcPr>
          <w:p>
            <w:pPr>
              <w:pStyle w:val="5"/>
            </w:pPr>
            <w:r>
              <w:t>202912.72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t>2</w:t>
            </w:r>
          </w:p>
        </w:tc>
        <w:tc>
          <w:tcPr>
            <w:tcW w:w="4329" w:type="dxa"/>
            <w:vAlign w:val="center"/>
          </w:tcPr>
          <w:p>
            <w:pPr>
              <w:pStyle w:val="5"/>
            </w:pPr>
            <w:r>
              <w:rPr>
                <w:rFonts w:hint="eastAsia"/>
              </w:rPr>
              <w:t>一级资本净额</w:t>
            </w:r>
          </w:p>
        </w:tc>
        <w:tc>
          <w:tcPr>
            <w:tcW w:w="1725" w:type="dxa"/>
            <w:vAlign w:val="center"/>
          </w:tcPr>
          <w:p>
            <w:pPr>
              <w:pStyle w:val="5"/>
            </w:pPr>
            <w:r>
              <w:rPr>
                <w:rFonts w:cs="宋体"/>
              </w:rPr>
              <w:t>221137.07</w:t>
            </w:r>
          </w:p>
        </w:tc>
        <w:tc>
          <w:tcPr>
            <w:tcW w:w="1493" w:type="dxa"/>
            <w:vAlign w:val="center"/>
          </w:tcPr>
          <w:p>
            <w:pPr>
              <w:pStyle w:val="5"/>
            </w:pPr>
            <w:r>
              <w:t>202912.72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t>3</w:t>
            </w:r>
          </w:p>
        </w:tc>
        <w:tc>
          <w:tcPr>
            <w:tcW w:w="4329" w:type="dxa"/>
            <w:vAlign w:val="center"/>
          </w:tcPr>
          <w:p>
            <w:pPr>
              <w:pStyle w:val="5"/>
            </w:pPr>
            <w:r>
              <w:rPr>
                <w:rFonts w:hint="eastAsia"/>
              </w:rPr>
              <w:t>资本净额</w:t>
            </w:r>
          </w:p>
        </w:tc>
        <w:tc>
          <w:tcPr>
            <w:tcW w:w="1725" w:type="dxa"/>
            <w:vAlign w:val="center"/>
          </w:tcPr>
          <w:p>
            <w:pPr>
              <w:pStyle w:val="5"/>
              <w:rPr>
                <w:lang w:val="en-US"/>
              </w:rPr>
            </w:pPr>
            <w:r>
              <w:rPr>
                <w:rFonts w:cs="宋体"/>
              </w:rPr>
              <w:t>221137.07</w:t>
            </w:r>
          </w:p>
        </w:tc>
        <w:tc>
          <w:tcPr>
            <w:tcW w:w="1493" w:type="dxa"/>
            <w:vAlign w:val="center"/>
          </w:tcPr>
          <w:p>
            <w:pPr>
              <w:pStyle w:val="5"/>
            </w:pPr>
            <w:r>
              <w:t>202912.72</w:t>
            </w:r>
          </w:p>
        </w:tc>
      </w:tr>
      <w:tr>
        <w:tblPrEx>
          <w:tblLayout w:type="fixed"/>
          <w:tblCellMar>
            <w:top w:w="0" w:type="dxa"/>
            <w:left w:w="108" w:type="dxa"/>
            <w:bottom w:w="0" w:type="dxa"/>
            <w:right w:w="108" w:type="dxa"/>
          </w:tblCellMar>
        </w:tblPrEx>
        <w:trPr>
          <w:trHeight w:val="261" w:hRule="atLeast"/>
        </w:trPr>
        <w:tc>
          <w:tcPr>
            <w:tcW w:w="8364" w:type="dxa"/>
            <w:gridSpan w:val="4"/>
            <w:shd w:val="clear" w:color="000000" w:fill="D9D9D9"/>
          </w:tcPr>
          <w:p>
            <w:pPr>
              <w:pStyle w:val="5"/>
            </w:pPr>
            <w:r>
              <w:rPr>
                <w:rFonts w:hint="eastAsia"/>
                <w:b/>
              </w:rPr>
              <w:t>风险加权资产（数额）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t>4</w:t>
            </w:r>
          </w:p>
        </w:tc>
        <w:tc>
          <w:tcPr>
            <w:tcW w:w="4329" w:type="dxa"/>
            <w:vAlign w:val="center"/>
          </w:tcPr>
          <w:p>
            <w:pPr>
              <w:pStyle w:val="5"/>
            </w:pPr>
            <w:r>
              <w:rPr>
                <w:rFonts w:hint="eastAsia"/>
              </w:rPr>
              <w:t>风险加权资产</w:t>
            </w:r>
          </w:p>
        </w:tc>
        <w:tc>
          <w:tcPr>
            <w:tcW w:w="1725" w:type="dxa"/>
            <w:vAlign w:val="center"/>
          </w:tcPr>
          <w:p>
            <w:pPr>
              <w:pStyle w:val="5"/>
            </w:pPr>
            <w:r>
              <w:rPr>
                <w:rFonts w:cs="宋体"/>
              </w:rPr>
              <w:t>1897821.16</w:t>
            </w:r>
          </w:p>
        </w:tc>
        <w:tc>
          <w:tcPr>
            <w:tcW w:w="1493" w:type="dxa"/>
            <w:vAlign w:val="center"/>
          </w:tcPr>
          <w:p>
            <w:pPr>
              <w:pStyle w:val="5"/>
            </w:pPr>
            <w:r>
              <w:t>1873502.36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8364" w:type="dxa"/>
            <w:gridSpan w:val="4"/>
            <w:shd w:val="clear" w:color="000000" w:fill="D9D9D9"/>
          </w:tcPr>
          <w:p>
            <w:pPr>
              <w:pStyle w:val="5"/>
            </w:pPr>
            <w:r>
              <w:rPr>
                <w:rFonts w:hint="eastAsia"/>
                <w:b/>
              </w:rPr>
              <w:t>资本充足率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17" w:type="dxa"/>
            <w:vAlign w:val="center"/>
          </w:tcPr>
          <w:p>
            <w:pPr>
              <w:pStyle w:val="5"/>
            </w:pPr>
            <w:r>
              <w:t>5</w:t>
            </w:r>
          </w:p>
        </w:tc>
        <w:tc>
          <w:tcPr>
            <w:tcW w:w="4329" w:type="dxa"/>
            <w:vAlign w:val="center"/>
          </w:tcPr>
          <w:p>
            <w:pPr>
              <w:pStyle w:val="5"/>
            </w:pPr>
            <w:r>
              <w:rPr>
                <w:rFonts w:hint="eastAsia"/>
              </w:rPr>
              <w:t>核心一级资本充足率（</w:t>
            </w:r>
            <w:r>
              <w:t>%）</w:t>
            </w:r>
          </w:p>
        </w:tc>
        <w:tc>
          <w:tcPr>
            <w:tcW w:w="1725" w:type="dxa"/>
            <w:vAlign w:val="center"/>
          </w:tcPr>
          <w:p>
            <w:pPr>
              <w:pStyle w:val="5"/>
              <w:rPr>
                <w:lang w:val="en-US"/>
              </w:rPr>
            </w:pPr>
            <w:r>
              <w:rPr>
                <w:rFonts w:cs="宋体"/>
              </w:rPr>
              <w:t>11.65</w:t>
            </w:r>
          </w:p>
        </w:tc>
        <w:tc>
          <w:tcPr>
            <w:tcW w:w="1493" w:type="dxa"/>
            <w:vAlign w:val="center"/>
          </w:tcPr>
          <w:p>
            <w:pPr>
              <w:pStyle w:val="5"/>
              <w:rPr>
                <w:rFonts w:eastAsia="PMingLiU"/>
                <w:lang w:eastAsia="zh-TW"/>
              </w:rPr>
            </w:pPr>
            <w:r>
              <w:rPr>
                <w:rFonts w:eastAsia="PMingLiU"/>
                <w:lang w:eastAsia="zh-TW"/>
              </w:rPr>
              <w:t>10.83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t>6</w:t>
            </w:r>
          </w:p>
        </w:tc>
        <w:tc>
          <w:tcPr>
            <w:tcW w:w="4329" w:type="dxa"/>
            <w:vAlign w:val="center"/>
          </w:tcPr>
          <w:p>
            <w:pPr>
              <w:pStyle w:val="5"/>
            </w:pPr>
            <w:r>
              <w:rPr>
                <w:rFonts w:hint="eastAsia"/>
              </w:rPr>
              <w:t>一级资本充足率（</w:t>
            </w:r>
            <w:r>
              <w:t>%）</w:t>
            </w:r>
          </w:p>
        </w:tc>
        <w:tc>
          <w:tcPr>
            <w:tcW w:w="1725" w:type="dxa"/>
            <w:vAlign w:val="center"/>
          </w:tcPr>
          <w:p>
            <w:pPr>
              <w:pStyle w:val="5"/>
              <w:rPr>
                <w:lang w:val="en-US"/>
              </w:rPr>
            </w:pPr>
            <w:r>
              <w:rPr>
                <w:rFonts w:cs="宋体"/>
              </w:rPr>
              <w:t>11.65</w:t>
            </w:r>
          </w:p>
        </w:tc>
        <w:tc>
          <w:tcPr>
            <w:tcW w:w="1493" w:type="dxa"/>
            <w:vAlign w:val="center"/>
          </w:tcPr>
          <w:p>
            <w:pPr>
              <w:pStyle w:val="5"/>
              <w:rPr>
                <w:lang w:val="en-US"/>
              </w:rPr>
            </w:pPr>
            <w:r>
              <w:rPr>
                <w:rFonts w:eastAsia="PMingLiU"/>
                <w:lang w:eastAsia="zh-TW"/>
              </w:rPr>
              <w:t>10.83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t>7</w:t>
            </w:r>
          </w:p>
        </w:tc>
        <w:tc>
          <w:tcPr>
            <w:tcW w:w="4329" w:type="dxa"/>
            <w:vAlign w:val="center"/>
          </w:tcPr>
          <w:p>
            <w:pPr>
              <w:pStyle w:val="5"/>
            </w:pPr>
            <w:r>
              <w:rPr>
                <w:rFonts w:hint="eastAsia"/>
              </w:rPr>
              <w:t>资本充足率（</w:t>
            </w:r>
            <w:r>
              <w:t>%）</w:t>
            </w:r>
          </w:p>
        </w:tc>
        <w:tc>
          <w:tcPr>
            <w:tcW w:w="1725" w:type="dxa"/>
            <w:vAlign w:val="center"/>
          </w:tcPr>
          <w:p>
            <w:pPr>
              <w:pStyle w:val="5"/>
              <w:rPr>
                <w:lang w:val="en-US"/>
              </w:rPr>
            </w:pPr>
            <w:r>
              <w:rPr>
                <w:rFonts w:cs="宋体"/>
              </w:rPr>
              <w:t>11.65</w:t>
            </w:r>
          </w:p>
        </w:tc>
        <w:tc>
          <w:tcPr>
            <w:tcW w:w="1493" w:type="dxa"/>
            <w:vAlign w:val="center"/>
          </w:tcPr>
          <w:p>
            <w:pPr>
              <w:pStyle w:val="5"/>
              <w:rPr>
                <w:lang w:val="en-US"/>
              </w:rPr>
            </w:pPr>
            <w:r>
              <w:rPr>
                <w:rFonts w:eastAsia="PMingLiU"/>
                <w:lang w:eastAsia="zh-TW"/>
              </w:rPr>
              <w:t>10.83</w:t>
            </w:r>
          </w:p>
        </w:tc>
      </w:tr>
      <w:tr>
        <w:tblPrEx>
          <w:tblLayout w:type="fixed"/>
          <w:tblCellMar>
            <w:top w:w="0" w:type="dxa"/>
            <w:left w:w="108" w:type="dxa"/>
            <w:bottom w:w="0" w:type="dxa"/>
            <w:right w:w="108" w:type="dxa"/>
          </w:tblCellMar>
        </w:tblPrEx>
        <w:trPr>
          <w:trHeight w:val="312" w:hRule="atLeast"/>
        </w:trPr>
        <w:tc>
          <w:tcPr>
            <w:tcW w:w="8364" w:type="dxa"/>
            <w:gridSpan w:val="4"/>
            <w:shd w:val="clear" w:color="000000" w:fill="D9D9D9"/>
          </w:tcPr>
          <w:p>
            <w:pPr>
              <w:pStyle w:val="5"/>
            </w:pPr>
            <w:r>
              <w:rPr>
                <w:rFonts w:hint="eastAsia"/>
                <w:b/>
              </w:rPr>
              <w:t>其他各级资本要求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817" w:type="dxa"/>
            <w:vAlign w:val="center"/>
          </w:tcPr>
          <w:p>
            <w:pPr>
              <w:pStyle w:val="5"/>
            </w:pPr>
            <w:r>
              <w:t>8</w:t>
            </w:r>
          </w:p>
        </w:tc>
        <w:tc>
          <w:tcPr>
            <w:tcW w:w="4329" w:type="dxa"/>
            <w:vAlign w:val="center"/>
          </w:tcPr>
          <w:p>
            <w:pPr>
              <w:pStyle w:val="5"/>
            </w:pPr>
            <w:r>
              <w:rPr>
                <w:rFonts w:hint="eastAsia"/>
              </w:rPr>
              <w:t>储备资本要求</w:t>
            </w:r>
            <w:r>
              <w:t>（%）</w:t>
            </w:r>
          </w:p>
        </w:tc>
        <w:tc>
          <w:tcPr>
            <w:tcW w:w="1725" w:type="dxa"/>
            <w:vAlign w:val="center"/>
          </w:tcPr>
          <w:p>
            <w:pPr>
              <w:pStyle w:val="5"/>
              <w:rPr>
                <w:lang w:val="en-US"/>
              </w:rPr>
            </w:pPr>
            <w:r>
              <w:rPr>
                <w:rFonts w:hint="eastAsia"/>
                <w:lang w:val="en-US"/>
              </w:rPr>
              <w:t>2.5</w:t>
            </w:r>
          </w:p>
        </w:tc>
        <w:tc>
          <w:tcPr>
            <w:tcW w:w="1493" w:type="dxa"/>
            <w:vAlign w:val="center"/>
          </w:tcPr>
          <w:p>
            <w:pPr>
              <w:pStyle w:val="5"/>
              <w:rPr>
                <w:lang w:val="en-US"/>
              </w:rPr>
            </w:pPr>
            <w:r>
              <w:rPr>
                <w:rFonts w:hint="eastAsia"/>
                <w:lang w:val="en-US"/>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t>9</w:t>
            </w:r>
          </w:p>
        </w:tc>
        <w:tc>
          <w:tcPr>
            <w:tcW w:w="4329" w:type="dxa"/>
            <w:vAlign w:val="center"/>
          </w:tcPr>
          <w:p>
            <w:pPr>
              <w:pStyle w:val="5"/>
            </w:pPr>
            <w:r>
              <w:rPr>
                <w:rFonts w:hint="eastAsia"/>
              </w:rPr>
              <w:t>逆周期资本要求（</w:t>
            </w:r>
            <w:r>
              <w:t>%）</w:t>
            </w:r>
          </w:p>
        </w:tc>
        <w:tc>
          <w:tcPr>
            <w:tcW w:w="1725" w:type="dxa"/>
            <w:vAlign w:val="center"/>
          </w:tcPr>
          <w:p>
            <w:pPr>
              <w:pStyle w:val="5"/>
              <w:rPr>
                <w:lang w:val="en-US"/>
              </w:rPr>
            </w:pPr>
            <w:r>
              <w:rPr>
                <w:rFonts w:hint="eastAsia"/>
                <w:lang w:val="en-US"/>
              </w:rPr>
              <w:t>0</w:t>
            </w:r>
          </w:p>
        </w:tc>
        <w:tc>
          <w:tcPr>
            <w:tcW w:w="1493" w:type="dxa"/>
            <w:vAlign w:val="center"/>
          </w:tcPr>
          <w:p>
            <w:pPr>
              <w:pStyle w:val="5"/>
              <w:rPr>
                <w:lang w:val="en-US"/>
              </w:rPr>
            </w:pPr>
            <w:r>
              <w:rPr>
                <w:rFonts w:hint="eastAsia"/>
                <w:lang w:val="en-US"/>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17" w:type="dxa"/>
            <w:shd w:val="clear" w:color="auto" w:fill="auto"/>
            <w:vAlign w:val="center"/>
          </w:tcPr>
          <w:p>
            <w:pPr>
              <w:pStyle w:val="5"/>
            </w:pPr>
            <w:r>
              <w:t>10</w:t>
            </w:r>
          </w:p>
        </w:tc>
        <w:tc>
          <w:tcPr>
            <w:tcW w:w="4329" w:type="dxa"/>
            <w:shd w:val="clear" w:color="auto" w:fill="auto"/>
            <w:vAlign w:val="center"/>
          </w:tcPr>
          <w:p>
            <w:pPr>
              <w:pStyle w:val="5"/>
            </w:pPr>
            <w:r>
              <w:rPr>
                <w:rFonts w:hint="eastAsia"/>
              </w:rPr>
              <w:t>全球系统重要性银行或国内系统重要性银行附加资本要求（</w:t>
            </w:r>
            <w:r>
              <w:t>%）</w:t>
            </w:r>
          </w:p>
        </w:tc>
        <w:tc>
          <w:tcPr>
            <w:tcW w:w="1725" w:type="dxa"/>
            <w:shd w:val="clear" w:color="auto" w:fill="BEBEBE"/>
            <w:vAlign w:val="center"/>
          </w:tcPr>
          <w:p>
            <w:pPr>
              <w:pStyle w:val="5"/>
            </w:pPr>
          </w:p>
        </w:tc>
        <w:tc>
          <w:tcPr>
            <w:tcW w:w="1493" w:type="dxa"/>
            <w:shd w:val="clear" w:color="auto" w:fill="BEBEBE"/>
            <w:vAlign w:val="center"/>
          </w:tcPr>
          <w:p>
            <w:pPr>
              <w:pStyle w:val="5"/>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817" w:type="dxa"/>
            <w:vAlign w:val="center"/>
          </w:tcPr>
          <w:p>
            <w:pPr>
              <w:pStyle w:val="5"/>
            </w:pPr>
            <w:r>
              <w:t>11</w:t>
            </w:r>
          </w:p>
        </w:tc>
        <w:tc>
          <w:tcPr>
            <w:tcW w:w="4329" w:type="dxa"/>
            <w:vAlign w:val="center"/>
          </w:tcPr>
          <w:p>
            <w:pPr>
              <w:pStyle w:val="5"/>
            </w:pPr>
            <w:r>
              <w:rPr>
                <w:rFonts w:hint="eastAsia"/>
              </w:rPr>
              <w:t>其他各级资本要求（</w:t>
            </w:r>
            <w:r>
              <w:t>%）（8+9+10）</w:t>
            </w:r>
          </w:p>
        </w:tc>
        <w:tc>
          <w:tcPr>
            <w:tcW w:w="1725" w:type="dxa"/>
            <w:vAlign w:val="center"/>
          </w:tcPr>
          <w:p>
            <w:pPr>
              <w:pStyle w:val="5"/>
              <w:rPr>
                <w:lang w:val="en-US"/>
              </w:rPr>
            </w:pPr>
            <w:r>
              <w:rPr>
                <w:rFonts w:hint="eastAsia"/>
                <w:lang w:val="en-US"/>
              </w:rPr>
              <w:t>2.5</w:t>
            </w:r>
          </w:p>
        </w:tc>
        <w:tc>
          <w:tcPr>
            <w:tcW w:w="1493" w:type="dxa"/>
            <w:vAlign w:val="center"/>
          </w:tcPr>
          <w:p>
            <w:pPr>
              <w:pStyle w:val="5"/>
              <w:rPr>
                <w:lang w:val="en-US"/>
              </w:rPr>
            </w:pPr>
            <w:r>
              <w:rPr>
                <w:rFonts w:hint="eastAsia"/>
                <w:lang w:val="en-US"/>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17" w:type="dxa"/>
            <w:vAlign w:val="center"/>
          </w:tcPr>
          <w:p>
            <w:pPr>
              <w:pStyle w:val="5"/>
            </w:pPr>
            <w:r>
              <w:t>12</w:t>
            </w:r>
          </w:p>
        </w:tc>
        <w:tc>
          <w:tcPr>
            <w:tcW w:w="4329" w:type="dxa"/>
            <w:vAlign w:val="center"/>
          </w:tcPr>
          <w:p>
            <w:pPr>
              <w:pStyle w:val="5"/>
            </w:pPr>
            <w:r>
              <w:rPr>
                <w:rFonts w:hint="eastAsia"/>
              </w:rPr>
              <w:t>满足最低资本要求后的可用核心一级资本净额占风险加权资产的比例（</w:t>
            </w:r>
            <w:r>
              <w:t>%）</w:t>
            </w:r>
          </w:p>
        </w:tc>
        <w:tc>
          <w:tcPr>
            <w:tcW w:w="1725" w:type="dxa"/>
            <w:vAlign w:val="center"/>
          </w:tcPr>
          <w:p>
            <w:pPr>
              <w:pStyle w:val="5"/>
              <w:rPr>
                <w:lang w:val="en-US"/>
              </w:rPr>
            </w:pPr>
            <w:r>
              <w:rPr>
                <w:lang w:val="en-US"/>
              </w:rPr>
              <w:t>3.65</w:t>
            </w:r>
          </w:p>
        </w:tc>
        <w:tc>
          <w:tcPr>
            <w:tcW w:w="1493" w:type="dxa"/>
            <w:vAlign w:val="center"/>
          </w:tcPr>
          <w:p>
            <w:pPr>
              <w:pStyle w:val="5"/>
              <w:rPr>
                <w:lang w:val="en-US"/>
              </w:rPr>
            </w:pPr>
            <w:r>
              <w:rPr>
                <w:lang w:val="en-US"/>
              </w:rPr>
              <w:t>2.83</w:t>
            </w:r>
          </w:p>
        </w:tc>
      </w:tr>
      <w:tr>
        <w:tblPrEx>
          <w:tblLayout w:type="fixed"/>
          <w:tblCellMar>
            <w:top w:w="0" w:type="dxa"/>
            <w:left w:w="108" w:type="dxa"/>
            <w:bottom w:w="0" w:type="dxa"/>
            <w:right w:w="108" w:type="dxa"/>
          </w:tblCellMar>
        </w:tblPrEx>
        <w:trPr>
          <w:trHeight w:val="263" w:hRule="atLeast"/>
        </w:trPr>
        <w:tc>
          <w:tcPr>
            <w:tcW w:w="8364" w:type="dxa"/>
            <w:gridSpan w:val="4"/>
            <w:shd w:val="clear" w:color="000000" w:fill="D9D9D9"/>
          </w:tcPr>
          <w:p>
            <w:pPr>
              <w:pStyle w:val="5"/>
            </w:pPr>
            <w:r>
              <w:rPr>
                <w:rFonts w:hint="eastAsia"/>
                <w:b/>
              </w:rPr>
              <w:t>杠杆率</w:t>
            </w:r>
          </w:p>
        </w:tc>
      </w:tr>
      <w:tr>
        <w:tblPrEx>
          <w:tblLayout w:type="fixed"/>
          <w:tblCellMar>
            <w:top w:w="0" w:type="dxa"/>
            <w:left w:w="108" w:type="dxa"/>
            <w:bottom w:w="0" w:type="dxa"/>
            <w:right w:w="108" w:type="dxa"/>
          </w:tblCellMar>
        </w:tblPrEx>
        <w:trPr>
          <w:trHeight w:val="330" w:hRule="atLeast"/>
        </w:trPr>
        <w:tc>
          <w:tcPr>
            <w:tcW w:w="817" w:type="dxa"/>
            <w:vAlign w:val="center"/>
          </w:tcPr>
          <w:p>
            <w:pPr>
              <w:pStyle w:val="5"/>
            </w:pPr>
            <w:r>
              <w:t>13</w:t>
            </w:r>
          </w:p>
        </w:tc>
        <w:tc>
          <w:tcPr>
            <w:tcW w:w="4329" w:type="dxa"/>
            <w:vAlign w:val="center"/>
          </w:tcPr>
          <w:p>
            <w:pPr>
              <w:pStyle w:val="5"/>
            </w:pPr>
            <w:r>
              <w:rPr>
                <w:rFonts w:hint="eastAsia"/>
              </w:rPr>
              <w:t>调整后表内外资产余额</w:t>
            </w:r>
          </w:p>
        </w:tc>
        <w:tc>
          <w:tcPr>
            <w:tcW w:w="1725" w:type="dxa"/>
            <w:vAlign w:val="center"/>
          </w:tcPr>
          <w:p>
            <w:pPr>
              <w:pStyle w:val="5"/>
              <w:rPr>
                <w:lang w:val="en-US"/>
              </w:rPr>
            </w:pPr>
            <w:r>
              <w:rPr>
                <w:rFonts w:cs="宋体"/>
              </w:rPr>
              <w:t>3219498.48</w:t>
            </w:r>
          </w:p>
        </w:tc>
        <w:tc>
          <w:tcPr>
            <w:tcW w:w="1493" w:type="dxa"/>
            <w:vAlign w:val="center"/>
          </w:tcPr>
          <w:p>
            <w:pPr>
              <w:pStyle w:val="5"/>
            </w:pPr>
            <w:r>
              <w:rPr>
                <w:lang w:val="en-US"/>
              </w:rPr>
              <w:t>3265059.56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t>14</w:t>
            </w:r>
          </w:p>
        </w:tc>
        <w:tc>
          <w:tcPr>
            <w:tcW w:w="4329" w:type="dxa"/>
            <w:vAlign w:val="center"/>
          </w:tcPr>
          <w:p>
            <w:pPr>
              <w:pStyle w:val="5"/>
            </w:pPr>
            <w:r>
              <w:rPr>
                <w:rFonts w:hint="eastAsia" w:cs="仿宋_GB2312"/>
              </w:rPr>
              <w:t>杠杆率</w:t>
            </w:r>
            <w:r>
              <w:rPr>
                <w:rFonts w:hint="eastAsia"/>
              </w:rPr>
              <w:t>（</w:t>
            </w:r>
            <w:r>
              <w:t>%）</w:t>
            </w:r>
          </w:p>
        </w:tc>
        <w:tc>
          <w:tcPr>
            <w:tcW w:w="1725" w:type="dxa"/>
            <w:vAlign w:val="center"/>
          </w:tcPr>
          <w:p>
            <w:pPr>
              <w:pStyle w:val="5"/>
              <w:rPr>
                <w:lang w:val="en-US"/>
              </w:rPr>
            </w:pPr>
            <w:r>
              <w:rPr>
                <w:rFonts w:hint="eastAsia"/>
                <w:lang w:val="en-US"/>
              </w:rPr>
              <w:t>0</w:t>
            </w:r>
          </w:p>
        </w:tc>
        <w:tc>
          <w:tcPr>
            <w:tcW w:w="1493" w:type="dxa"/>
            <w:vAlign w:val="center"/>
          </w:tcPr>
          <w:p>
            <w:pPr>
              <w:pStyle w:val="5"/>
              <w:rPr>
                <w:lang w:val="en-US"/>
              </w:rPr>
            </w:pPr>
            <w:r>
              <w:rPr>
                <w:rFonts w:hint="eastAsia"/>
                <w:lang w:val="en-US"/>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rPr>
                <w:rFonts w:hint="eastAsia"/>
              </w:rPr>
              <w:t>1</w:t>
            </w:r>
            <w:r>
              <w:t>4</w:t>
            </w:r>
            <w:r>
              <w:rPr>
                <w:rFonts w:hint="eastAsia"/>
              </w:rPr>
              <w:t>a</w:t>
            </w:r>
          </w:p>
        </w:tc>
        <w:tc>
          <w:tcPr>
            <w:tcW w:w="4329" w:type="dxa"/>
            <w:vAlign w:val="center"/>
          </w:tcPr>
          <w:p>
            <w:pPr>
              <w:pStyle w:val="5"/>
            </w:pPr>
            <w:r>
              <w:rPr>
                <w:rFonts w:hint="eastAsia" w:cs="仿宋_GB2312"/>
              </w:rPr>
              <w:t>杠杆率a</w:t>
            </w:r>
            <w:r>
              <w:rPr>
                <w:rFonts w:hint="eastAsia"/>
              </w:rPr>
              <w:t>（</w:t>
            </w:r>
            <w:r>
              <w:t>%）</w:t>
            </w:r>
          </w:p>
        </w:tc>
        <w:tc>
          <w:tcPr>
            <w:tcW w:w="1725" w:type="dxa"/>
            <w:vAlign w:val="center"/>
          </w:tcPr>
          <w:p>
            <w:pPr>
              <w:pStyle w:val="5"/>
              <w:rPr>
                <w:lang w:val="en-US"/>
              </w:rPr>
            </w:pPr>
            <w:r>
              <w:rPr>
                <w:rFonts w:hint="eastAsia"/>
                <w:lang w:val="en-US"/>
              </w:rPr>
              <w:t>6.</w:t>
            </w:r>
            <w:r>
              <w:rPr>
                <w:lang w:val="en-US"/>
              </w:rPr>
              <w:t>87</w:t>
            </w:r>
          </w:p>
        </w:tc>
        <w:tc>
          <w:tcPr>
            <w:tcW w:w="1493" w:type="dxa"/>
            <w:vAlign w:val="center"/>
          </w:tcPr>
          <w:p>
            <w:pPr>
              <w:pStyle w:val="5"/>
              <w:rPr>
                <w:lang w:val="en-US"/>
              </w:rPr>
            </w:pPr>
            <w:r>
              <w:rPr>
                <w:rFonts w:hint="eastAsia"/>
                <w:lang w:val="en-US"/>
              </w:rPr>
              <w:t>6.</w:t>
            </w:r>
            <w:r>
              <w:rPr>
                <w:lang w:val="en-US"/>
              </w:rPr>
              <w:t>21</w:t>
            </w:r>
          </w:p>
        </w:tc>
      </w:tr>
      <w:tr>
        <w:tblPrEx>
          <w:tblLayout w:type="fixed"/>
          <w:tblCellMar>
            <w:top w:w="0" w:type="dxa"/>
            <w:left w:w="108" w:type="dxa"/>
            <w:bottom w:w="0" w:type="dxa"/>
            <w:right w:w="108" w:type="dxa"/>
          </w:tblCellMar>
        </w:tblPrEx>
        <w:trPr>
          <w:trHeight w:val="330" w:hRule="atLeast"/>
        </w:trPr>
        <w:tc>
          <w:tcPr>
            <w:tcW w:w="8364" w:type="dxa"/>
            <w:gridSpan w:val="4"/>
            <w:shd w:val="clear" w:color="000000" w:fill="D9D9D9"/>
          </w:tcPr>
          <w:p>
            <w:pPr>
              <w:pStyle w:val="5"/>
            </w:pPr>
            <w:r>
              <w:rPr>
                <w:rFonts w:hint="eastAsia"/>
                <w:b/>
              </w:rPr>
              <w:t>流动性覆盖率</w:t>
            </w:r>
          </w:p>
        </w:tc>
      </w:tr>
      <w:tr>
        <w:tblPrEx>
          <w:tblLayout w:type="fixed"/>
          <w:tblCellMar>
            <w:top w:w="0" w:type="dxa"/>
            <w:left w:w="108" w:type="dxa"/>
            <w:bottom w:w="0" w:type="dxa"/>
            <w:right w:w="108" w:type="dxa"/>
          </w:tblCellMar>
        </w:tblPrEx>
        <w:trPr>
          <w:trHeight w:val="330" w:hRule="atLeast"/>
        </w:trPr>
        <w:tc>
          <w:tcPr>
            <w:tcW w:w="817" w:type="dxa"/>
            <w:vAlign w:val="center"/>
          </w:tcPr>
          <w:p>
            <w:pPr>
              <w:pStyle w:val="5"/>
            </w:pPr>
            <w:r>
              <w:t>15</w:t>
            </w:r>
          </w:p>
        </w:tc>
        <w:tc>
          <w:tcPr>
            <w:tcW w:w="4329" w:type="dxa"/>
            <w:vAlign w:val="center"/>
          </w:tcPr>
          <w:p>
            <w:pPr>
              <w:pStyle w:val="5"/>
            </w:pPr>
            <w:r>
              <w:rPr>
                <w:rFonts w:hint="eastAsia"/>
              </w:rPr>
              <w:t>合格优质流动性资产</w:t>
            </w:r>
          </w:p>
        </w:tc>
        <w:tc>
          <w:tcPr>
            <w:tcW w:w="1725" w:type="dxa"/>
            <w:vAlign w:val="center"/>
          </w:tcPr>
          <w:p>
            <w:pPr>
              <w:pStyle w:val="5"/>
              <w:rPr>
                <w:lang w:val="en-US"/>
              </w:rPr>
            </w:pPr>
            <w:r>
              <w:rPr>
                <w:rFonts w:hint="eastAsia"/>
                <w:lang w:val="en-US"/>
              </w:rPr>
              <w:t>不适用</w:t>
            </w:r>
          </w:p>
        </w:tc>
        <w:tc>
          <w:tcPr>
            <w:tcW w:w="1493" w:type="dxa"/>
            <w:vAlign w:val="center"/>
          </w:tcPr>
          <w:p>
            <w:pPr>
              <w:pStyle w:val="5"/>
              <w:rPr>
                <w:lang w:val="en-US"/>
              </w:rPr>
            </w:pPr>
            <w:r>
              <w:rPr>
                <w:rFonts w:hint="eastAsia"/>
                <w:lang w:val="en-US"/>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t>16</w:t>
            </w:r>
          </w:p>
        </w:tc>
        <w:tc>
          <w:tcPr>
            <w:tcW w:w="4329" w:type="dxa"/>
            <w:vAlign w:val="center"/>
          </w:tcPr>
          <w:p>
            <w:pPr>
              <w:pStyle w:val="5"/>
            </w:pPr>
            <w:r>
              <w:rPr>
                <w:rFonts w:hint="eastAsia"/>
              </w:rPr>
              <w:t>现金净流出量</w:t>
            </w:r>
          </w:p>
        </w:tc>
        <w:tc>
          <w:tcPr>
            <w:tcW w:w="1725" w:type="dxa"/>
            <w:vAlign w:val="center"/>
          </w:tcPr>
          <w:p>
            <w:pPr>
              <w:pStyle w:val="5"/>
              <w:rPr>
                <w:lang w:val="en-US"/>
              </w:rPr>
            </w:pPr>
            <w:r>
              <w:rPr>
                <w:rFonts w:hint="eastAsia"/>
                <w:lang w:val="en-US"/>
              </w:rPr>
              <w:t>不适用</w:t>
            </w:r>
          </w:p>
        </w:tc>
        <w:tc>
          <w:tcPr>
            <w:tcW w:w="1493" w:type="dxa"/>
            <w:vAlign w:val="center"/>
          </w:tcPr>
          <w:p>
            <w:pPr>
              <w:pStyle w:val="5"/>
              <w:rPr>
                <w:lang w:val="en-US"/>
              </w:rPr>
            </w:pPr>
            <w:r>
              <w:rPr>
                <w:rFonts w:hint="eastAsia"/>
                <w:lang w:val="en-US"/>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t>17</w:t>
            </w:r>
          </w:p>
        </w:tc>
        <w:tc>
          <w:tcPr>
            <w:tcW w:w="4329" w:type="dxa"/>
            <w:vAlign w:val="center"/>
          </w:tcPr>
          <w:p>
            <w:pPr>
              <w:pStyle w:val="5"/>
            </w:pPr>
            <w:r>
              <w:rPr>
                <w:rFonts w:hint="eastAsia"/>
              </w:rPr>
              <w:t>流动性覆盖率（</w:t>
            </w:r>
            <w:r>
              <w:t>%）</w:t>
            </w:r>
          </w:p>
        </w:tc>
        <w:tc>
          <w:tcPr>
            <w:tcW w:w="1725" w:type="dxa"/>
            <w:vAlign w:val="center"/>
          </w:tcPr>
          <w:p>
            <w:pPr>
              <w:pStyle w:val="5"/>
              <w:rPr>
                <w:lang w:val="en-US"/>
              </w:rPr>
            </w:pPr>
            <w:r>
              <w:rPr>
                <w:rFonts w:hint="eastAsia"/>
                <w:lang w:val="en-US"/>
              </w:rPr>
              <w:t>不适用</w:t>
            </w:r>
          </w:p>
        </w:tc>
        <w:tc>
          <w:tcPr>
            <w:tcW w:w="1493" w:type="dxa"/>
            <w:vAlign w:val="center"/>
          </w:tcPr>
          <w:p>
            <w:pPr>
              <w:pStyle w:val="5"/>
              <w:rPr>
                <w:lang w:val="en-US"/>
              </w:rPr>
            </w:pPr>
            <w:r>
              <w:rPr>
                <w:rFonts w:hint="eastAsia"/>
                <w:lang w:val="en-US"/>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364" w:type="dxa"/>
            <w:gridSpan w:val="4"/>
            <w:shd w:val="clear" w:color="000000" w:fill="D9D9D9"/>
          </w:tcPr>
          <w:p>
            <w:pPr>
              <w:pStyle w:val="5"/>
            </w:pPr>
            <w:r>
              <w:rPr>
                <w:rFonts w:hint="eastAsia"/>
                <w:b/>
              </w:rPr>
              <w:t>净稳定资金比例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t>18</w:t>
            </w:r>
          </w:p>
        </w:tc>
        <w:tc>
          <w:tcPr>
            <w:tcW w:w="4329" w:type="dxa"/>
            <w:vAlign w:val="center"/>
          </w:tcPr>
          <w:p>
            <w:pPr>
              <w:pStyle w:val="5"/>
            </w:pPr>
            <w:r>
              <w:rPr>
                <w:rFonts w:hint="eastAsia"/>
              </w:rPr>
              <w:t>可用稳定资金合计</w:t>
            </w:r>
          </w:p>
        </w:tc>
        <w:tc>
          <w:tcPr>
            <w:tcW w:w="1725" w:type="dxa"/>
            <w:vAlign w:val="center"/>
          </w:tcPr>
          <w:p>
            <w:pPr>
              <w:pStyle w:val="5"/>
              <w:rPr>
                <w:lang w:val="en-US"/>
              </w:rPr>
            </w:pPr>
            <w:r>
              <w:rPr>
                <w:rFonts w:hint="eastAsia"/>
                <w:lang w:val="en-US"/>
              </w:rPr>
              <w:t>不适用</w:t>
            </w:r>
          </w:p>
        </w:tc>
        <w:tc>
          <w:tcPr>
            <w:tcW w:w="1493" w:type="dxa"/>
            <w:vAlign w:val="center"/>
          </w:tcPr>
          <w:p>
            <w:pPr>
              <w:pStyle w:val="5"/>
              <w:rPr>
                <w:lang w:val="en-US"/>
              </w:rPr>
            </w:pPr>
            <w:r>
              <w:rPr>
                <w:rFonts w:hint="eastAsia"/>
                <w:lang w:val="en-US"/>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t>19</w:t>
            </w:r>
          </w:p>
        </w:tc>
        <w:tc>
          <w:tcPr>
            <w:tcW w:w="4329" w:type="dxa"/>
            <w:vAlign w:val="center"/>
          </w:tcPr>
          <w:p>
            <w:pPr>
              <w:pStyle w:val="5"/>
            </w:pPr>
            <w:r>
              <w:rPr>
                <w:rFonts w:hint="eastAsia"/>
              </w:rPr>
              <w:t>所需稳定资金合计</w:t>
            </w:r>
          </w:p>
        </w:tc>
        <w:tc>
          <w:tcPr>
            <w:tcW w:w="1725" w:type="dxa"/>
            <w:vAlign w:val="center"/>
          </w:tcPr>
          <w:p>
            <w:pPr>
              <w:pStyle w:val="5"/>
              <w:rPr>
                <w:lang w:val="en-US"/>
              </w:rPr>
            </w:pPr>
            <w:r>
              <w:rPr>
                <w:rFonts w:hint="eastAsia"/>
                <w:lang w:val="en-US"/>
              </w:rPr>
              <w:t>不适用</w:t>
            </w:r>
          </w:p>
        </w:tc>
        <w:tc>
          <w:tcPr>
            <w:tcW w:w="1493" w:type="dxa"/>
            <w:vAlign w:val="center"/>
          </w:tcPr>
          <w:p>
            <w:pPr>
              <w:pStyle w:val="5"/>
              <w:rPr>
                <w:lang w:val="en-US"/>
              </w:rPr>
            </w:pPr>
            <w:r>
              <w:rPr>
                <w:rFonts w:hint="eastAsia"/>
                <w:lang w:val="en-US"/>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pStyle w:val="5"/>
            </w:pPr>
            <w:r>
              <w:t>20</w:t>
            </w:r>
          </w:p>
        </w:tc>
        <w:tc>
          <w:tcPr>
            <w:tcW w:w="4329" w:type="dxa"/>
            <w:vAlign w:val="center"/>
          </w:tcPr>
          <w:p>
            <w:pPr>
              <w:pStyle w:val="5"/>
            </w:pPr>
            <w:r>
              <w:rPr>
                <w:rFonts w:hint="eastAsia"/>
              </w:rPr>
              <w:t>净稳定资金比例（</w:t>
            </w:r>
            <w:r>
              <w:t>%）</w:t>
            </w:r>
          </w:p>
        </w:tc>
        <w:tc>
          <w:tcPr>
            <w:tcW w:w="1725" w:type="dxa"/>
            <w:vAlign w:val="center"/>
          </w:tcPr>
          <w:p>
            <w:pPr>
              <w:pStyle w:val="5"/>
              <w:rPr>
                <w:lang w:val="en-US"/>
              </w:rPr>
            </w:pPr>
            <w:r>
              <w:rPr>
                <w:rFonts w:hint="eastAsia"/>
                <w:lang w:val="en-US"/>
              </w:rPr>
              <w:t>不适用</w:t>
            </w:r>
          </w:p>
        </w:tc>
        <w:tc>
          <w:tcPr>
            <w:tcW w:w="1493" w:type="dxa"/>
            <w:vAlign w:val="center"/>
          </w:tcPr>
          <w:p>
            <w:pPr>
              <w:pStyle w:val="5"/>
              <w:rPr>
                <w:lang w:val="en-US"/>
              </w:rPr>
            </w:pPr>
            <w:r>
              <w:rPr>
                <w:rFonts w:hint="eastAsia"/>
                <w:lang w:val="en-US"/>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364" w:type="dxa"/>
            <w:gridSpan w:val="4"/>
            <w:shd w:val="clear" w:color="auto" w:fill="D8D8D8"/>
          </w:tcPr>
          <w:p>
            <w:pPr>
              <w:pStyle w:val="5"/>
            </w:pPr>
            <w:r>
              <w:rPr>
                <w:rFonts w:hint="eastAsia"/>
                <w:b/>
              </w:rPr>
              <w:t>流动性比例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shd w:val="clear" w:color="auto" w:fill="FFFFFF"/>
            <w:vAlign w:val="center"/>
          </w:tcPr>
          <w:p>
            <w:pPr>
              <w:pStyle w:val="5"/>
            </w:pPr>
            <w:r>
              <w:t>21</w:t>
            </w:r>
          </w:p>
        </w:tc>
        <w:tc>
          <w:tcPr>
            <w:tcW w:w="4329" w:type="dxa"/>
            <w:shd w:val="clear" w:color="auto" w:fill="FFFFFF"/>
            <w:vAlign w:val="center"/>
          </w:tcPr>
          <w:p>
            <w:pPr>
              <w:pStyle w:val="5"/>
            </w:pPr>
            <w:r>
              <w:rPr>
                <w:rFonts w:hint="eastAsia"/>
              </w:rPr>
              <w:t>流动性比例（</w:t>
            </w:r>
            <w:r>
              <w:t>%）</w:t>
            </w:r>
          </w:p>
        </w:tc>
        <w:tc>
          <w:tcPr>
            <w:tcW w:w="1725" w:type="dxa"/>
            <w:shd w:val="clear" w:color="auto" w:fill="FFFFFF"/>
            <w:vAlign w:val="center"/>
          </w:tcPr>
          <w:p>
            <w:pPr>
              <w:pStyle w:val="5"/>
              <w:rPr>
                <w:rFonts w:eastAsia="PMingLiU"/>
                <w:lang w:val="en-US" w:eastAsia="zh-TW"/>
              </w:rPr>
            </w:pPr>
            <w:r>
              <w:rPr>
                <w:rFonts w:eastAsia="PMingLiU"/>
                <w:lang w:eastAsia="zh-TW"/>
              </w:rPr>
              <w:t>74.05</w:t>
            </w:r>
          </w:p>
        </w:tc>
        <w:tc>
          <w:tcPr>
            <w:tcW w:w="1493" w:type="dxa"/>
            <w:shd w:val="clear" w:color="auto" w:fill="FFFFFF"/>
            <w:vAlign w:val="center"/>
          </w:tcPr>
          <w:p>
            <w:pPr>
              <w:pStyle w:val="5"/>
              <w:rPr>
                <w:lang w:val="en-US"/>
              </w:rPr>
            </w:pPr>
            <w:r>
              <w:rPr>
                <w:lang w:val="en-US"/>
              </w:rPr>
              <w:t>63.86</w:t>
            </w:r>
          </w:p>
        </w:tc>
      </w:tr>
    </w:tbl>
    <w:p/>
    <w:p>
      <w:r>
        <w:rPr>
          <w:rFonts w:hint="eastAsia"/>
        </w:rPr>
        <w:t>（二）CC1表</w:t>
      </w:r>
    </w:p>
    <w:tbl>
      <w:tblPr>
        <w:tblStyle w:val="4"/>
        <w:tblW w:w="8153"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918"/>
        <w:gridCol w:w="2552"/>
        <w:gridCol w:w="95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4644" w:type="dxa"/>
            <w:gridSpan w:val="2"/>
            <w:vMerge w:val="restart"/>
            <w:tcBorders>
              <w:top w:val="single" w:color="auto" w:sz="4" w:space="0"/>
              <w:bottom w:val="single" w:color="auto" w:sz="4" w:space="0"/>
              <w:right w:val="single" w:color="auto" w:sz="4" w:space="0"/>
            </w:tcBorders>
            <w:shd w:val="clear" w:color="auto" w:fill="auto"/>
            <w:vAlign w:val="center"/>
          </w:tcPr>
          <w:p>
            <w:pPr>
              <w:pStyle w:val="5"/>
              <w:rPr>
                <w:rFonts w:cs="宋体"/>
              </w:rPr>
            </w:pPr>
            <w:r>
              <w:rPr>
                <w:rFonts w:hint="eastAsia" w:cs="宋体"/>
              </w:rPr>
              <w:t>　</w:t>
            </w:r>
          </w:p>
        </w:tc>
        <w:tc>
          <w:tcPr>
            <w:tcW w:w="2552" w:type="dxa"/>
            <w:tcBorders>
              <w:top w:val="single" w:color="auto" w:sz="4" w:space="0"/>
              <w:left w:val="nil"/>
              <w:bottom w:val="single" w:color="auto" w:sz="4" w:space="0"/>
              <w:right w:val="single" w:color="auto" w:sz="4" w:space="0"/>
            </w:tcBorders>
            <w:shd w:val="clear" w:color="auto" w:fill="auto"/>
            <w:vAlign w:val="center"/>
          </w:tcPr>
          <w:p>
            <w:pPr>
              <w:pStyle w:val="5"/>
              <w:jc w:val="center"/>
              <w:rPr>
                <w:rFonts w:cs="宋体"/>
                <w:b/>
                <w:bCs w:val="0"/>
              </w:rPr>
            </w:pPr>
            <w:r>
              <w:rPr>
                <w:rFonts w:cs="宋体"/>
                <w:b/>
                <w:bCs w:val="0"/>
              </w:rPr>
              <w:t>a</w:t>
            </w:r>
          </w:p>
        </w:tc>
        <w:tc>
          <w:tcPr>
            <w:tcW w:w="957" w:type="dxa"/>
            <w:tcBorders>
              <w:top w:val="single" w:color="auto" w:sz="4" w:space="0"/>
              <w:left w:val="nil"/>
              <w:bottom w:val="single" w:color="auto" w:sz="4" w:space="0"/>
            </w:tcBorders>
            <w:shd w:val="clear" w:color="auto" w:fill="auto"/>
            <w:vAlign w:val="center"/>
          </w:tcPr>
          <w:p>
            <w:pPr>
              <w:pStyle w:val="5"/>
              <w:jc w:val="center"/>
              <w:rPr>
                <w:rFonts w:cs="宋体"/>
                <w:b/>
                <w:bCs w:val="0"/>
              </w:rPr>
            </w:pPr>
            <w:r>
              <w:rPr>
                <w:rFonts w:cs="宋体"/>
                <w:b/>
                <w:bCs w:val="0"/>
              </w:rPr>
              <w:t>b</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4" w:type="dxa"/>
            <w:gridSpan w:val="2"/>
            <w:vMerge w:val="continue"/>
            <w:tcBorders>
              <w:top w:val="single" w:color="auto" w:sz="4" w:space="0"/>
              <w:bottom w:val="single" w:color="auto" w:sz="4" w:space="0"/>
              <w:right w:val="single" w:color="auto" w:sz="4" w:space="0"/>
            </w:tcBorders>
            <w:shd w:val="clear" w:color="auto" w:fill="auto"/>
            <w:vAlign w:val="center"/>
          </w:tcPr>
          <w:p>
            <w:pPr>
              <w:pStyle w:val="5"/>
              <w:rPr>
                <w:rFonts w:cs="宋体"/>
              </w:rPr>
            </w:pPr>
          </w:p>
        </w:tc>
        <w:tc>
          <w:tcPr>
            <w:tcW w:w="2552" w:type="dxa"/>
            <w:tcBorders>
              <w:top w:val="nil"/>
              <w:left w:val="nil"/>
              <w:bottom w:val="single" w:color="auto" w:sz="4" w:space="0"/>
              <w:right w:val="single" w:color="auto" w:sz="4" w:space="0"/>
            </w:tcBorders>
            <w:shd w:val="clear" w:color="auto" w:fill="auto"/>
            <w:vAlign w:val="center"/>
          </w:tcPr>
          <w:p>
            <w:pPr>
              <w:pStyle w:val="5"/>
              <w:jc w:val="center"/>
              <w:rPr>
                <w:rFonts w:cs="宋体"/>
                <w:b/>
                <w:bCs w:val="0"/>
              </w:rPr>
            </w:pPr>
            <w:r>
              <w:rPr>
                <w:rFonts w:hint="eastAsia" w:cs="宋体"/>
                <w:b/>
                <w:bCs w:val="0"/>
              </w:rPr>
              <w:t>数额</w:t>
            </w:r>
          </w:p>
        </w:tc>
        <w:tc>
          <w:tcPr>
            <w:tcW w:w="957" w:type="dxa"/>
            <w:tcBorders>
              <w:top w:val="nil"/>
              <w:left w:val="nil"/>
              <w:bottom w:val="single" w:color="auto" w:sz="4" w:space="0"/>
            </w:tcBorders>
            <w:shd w:val="clear" w:color="auto" w:fill="auto"/>
            <w:vAlign w:val="center"/>
          </w:tcPr>
          <w:p>
            <w:pPr>
              <w:pStyle w:val="5"/>
              <w:jc w:val="center"/>
              <w:rPr>
                <w:rFonts w:cs="宋体"/>
                <w:b/>
                <w:bCs w:val="0"/>
              </w:rPr>
            </w:pPr>
            <w:r>
              <w:rPr>
                <w:rFonts w:hint="eastAsia" w:cs="宋体"/>
                <w:b/>
                <w:bCs w:val="0"/>
              </w:rPr>
              <w:t>代码</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8153" w:type="dxa"/>
            <w:gridSpan w:val="4"/>
            <w:tcBorders>
              <w:top w:val="nil"/>
              <w:bottom w:val="single" w:color="auto" w:sz="4" w:space="0"/>
            </w:tcBorders>
            <w:shd w:val="clear" w:color="auto" w:fill="auto"/>
            <w:vAlign w:val="center"/>
          </w:tcPr>
          <w:p>
            <w:pPr>
              <w:pStyle w:val="5"/>
              <w:rPr>
                <w:rFonts w:cs="宋体"/>
              </w:rPr>
            </w:pPr>
            <w:r>
              <w:rPr>
                <w:rFonts w:hint="eastAsia" w:cs="宋体"/>
                <w:b/>
              </w:rPr>
              <w:t>核心一级资本</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cs="宋体"/>
              </w:rPr>
              <w:t>1</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实收资本和资本公积可计入部分</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lang w:val="en-US"/>
              </w:rPr>
              <w:t>132725.04</w:t>
            </w:r>
          </w:p>
        </w:tc>
        <w:tc>
          <w:tcPr>
            <w:tcW w:w="957" w:type="dxa"/>
            <w:tcBorders>
              <w:top w:val="nil"/>
              <w:left w:val="nil"/>
              <w:bottom w:val="single" w:color="auto" w:sz="4" w:space="0"/>
            </w:tcBorders>
            <w:shd w:val="clear" w:color="auto" w:fill="auto"/>
            <w:vAlign w:val="center"/>
          </w:tcPr>
          <w:p>
            <w:pPr>
              <w:pStyle w:val="5"/>
              <w:jc w:val="center"/>
            </w:pPr>
            <w:r>
              <w:rPr>
                <w:rFonts w:hint="eastAsia"/>
              </w:rPr>
              <w:t>e+g</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cs="宋体"/>
              </w:rPr>
              <w:t>2</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lang w:eastAsia="zh-TW"/>
              </w:rPr>
              <w:t>留存收益</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cs="宋体"/>
              </w:rPr>
              <w:t>2a</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盈余公积</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lang w:val="en-US"/>
              </w:rPr>
              <w:t>25753.6</w:t>
            </w:r>
          </w:p>
        </w:tc>
        <w:tc>
          <w:tcPr>
            <w:tcW w:w="957" w:type="dxa"/>
            <w:tcBorders>
              <w:top w:val="nil"/>
              <w:left w:val="nil"/>
              <w:bottom w:val="single" w:color="auto" w:sz="4" w:space="0"/>
            </w:tcBorders>
            <w:shd w:val="clear" w:color="auto" w:fill="auto"/>
            <w:vAlign w:val="center"/>
          </w:tcPr>
          <w:p>
            <w:pPr>
              <w:pStyle w:val="5"/>
              <w:jc w:val="center"/>
            </w:pPr>
            <w:r>
              <w:rPr>
                <w:rFonts w:hint="eastAsia"/>
              </w:rPr>
              <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cs="宋体"/>
              </w:rPr>
              <w:t>2b</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一般风险准备</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t>36258.43</w:t>
            </w:r>
          </w:p>
        </w:tc>
        <w:tc>
          <w:tcPr>
            <w:tcW w:w="957" w:type="dxa"/>
            <w:tcBorders>
              <w:top w:val="nil"/>
              <w:left w:val="nil"/>
              <w:bottom w:val="single" w:color="auto" w:sz="4" w:space="0"/>
            </w:tcBorders>
            <w:shd w:val="clear" w:color="auto" w:fill="auto"/>
            <w:vAlign w:val="center"/>
          </w:tcPr>
          <w:p>
            <w:pPr>
              <w:pStyle w:val="5"/>
              <w:jc w:val="center"/>
            </w:pPr>
            <w:r>
              <w:rPr>
                <w:rFonts w:hint="eastAsia"/>
              </w:rPr>
              <w:t>i</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cs="宋体"/>
              </w:rPr>
              <w:t>2c</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未分配利润</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t>43038.15</w:t>
            </w:r>
          </w:p>
        </w:tc>
        <w:tc>
          <w:tcPr>
            <w:tcW w:w="957" w:type="dxa"/>
            <w:tcBorders>
              <w:top w:val="nil"/>
              <w:left w:val="nil"/>
              <w:bottom w:val="single" w:color="auto" w:sz="4" w:space="0"/>
            </w:tcBorders>
            <w:shd w:val="clear" w:color="auto" w:fill="auto"/>
            <w:vAlign w:val="center"/>
          </w:tcPr>
          <w:p>
            <w:pPr>
              <w:pStyle w:val="5"/>
              <w:jc w:val="center"/>
            </w:pPr>
            <w:r>
              <w:rPr>
                <w:rFonts w:hint="eastAsia"/>
              </w:rPr>
              <w:t>j</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726" w:type="dxa"/>
            <w:tcBorders>
              <w:top w:val="nil"/>
              <w:bottom w:val="single" w:color="auto" w:sz="4" w:space="0"/>
              <w:right w:val="single" w:color="auto" w:sz="4" w:space="0"/>
            </w:tcBorders>
            <w:shd w:val="clear" w:color="auto" w:fill="auto"/>
          </w:tcPr>
          <w:p>
            <w:pPr>
              <w:pStyle w:val="5"/>
              <w:rPr>
                <w:rFonts w:cs="宋体"/>
              </w:rPr>
            </w:pPr>
            <w:r>
              <w:t>3</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累计其他综合收益</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t>3688.08</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tcPr>
          <w:p>
            <w:pPr>
              <w:pStyle w:val="5"/>
              <w:rPr>
                <w:rFonts w:cs="宋体"/>
              </w:rPr>
            </w:pPr>
            <w:r>
              <w:rPr>
                <w:rFonts w:hint="eastAsia"/>
              </w:rPr>
              <w:t>4</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少数股东资本可计入部分</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tcPr>
          <w:p>
            <w:pPr>
              <w:pStyle w:val="5"/>
              <w:rPr>
                <w:rFonts w:cs="宋体"/>
              </w:rPr>
            </w:pPr>
            <w:r>
              <w:rPr>
                <w:rFonts w:hint="eastAsia"/>
              </w:rPr>
              <w:t>5</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rPr>
              <w:t>扣除前的核心一级资本</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lang w:val="en-US"/>
              </w:rPr>
              <w:t>241463.3</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8153" w:type="dxa"/>
            <w:gridSpan w:val="4"/>
            <w:tcBorders>
              <w:top w:val="nil"/>
              <w:bottom w:val="single" w:color="auto" w:sz="4" w:space="0"/>
            </w:tcBorders>
            <w:shd w:val="clear" w:color="auto" w:fill="auto"/>
          </w:tcPr>
          <w:p>
            <w:pPr>
              <w:pStyle w:val="5"/>
              <w:jc w:val="center"/>
            </w:pPr>
            <w:r>
              <w:rPr>
                <w:rFonts w:hint="eastAsia" w:cs="宋体"/>
                <w:b/>
              </w:rPr>
              <w:t>核心一级资本：扣除项</w:t>
            </w:r>
            <w:r>
              <w:rPr>
                <w:rFonts w:hint="eastAsia" w:cs="宋体"/>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6</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lang w:eastAsia="zh-TW"/>
              </w:rPr>
              <w:t>审慎估值调整</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7</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商誉（扣除递延税负债）</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r>
              <w:rPr>
                <w:rFonts w:hint="eastAsia"/>
              </w:rPr>
              <w:t>a-c</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8</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其他无形资产（土地使用权除外）（扣除递延税负债）</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lang w:val="en-US"/>
              </w:rPr>
              <w:t>783.36</w:t>
            </w:r>
          </w:p>
        </w:tc>
        <w:tc>
          <w:tcPr>
            <w:tcW w:w="957" w:type="dxa"/>
            <w:tcBorders>
              <w:top w:val="nil"/>
              <w:left w:val="nil"/>
              <w:bottom w:val="single" w:color="auto" w:sz="4" w:space="0"/>
            </w:tcBorders>
            <w:shd w:val="clear" w:color="auto" w:fill="auto"/>
            <w:vAlign w:val="center"/>
          </w:tcPr>
          <w:p>
            <w:pPr>
              <w:pStyle w:val="5"/>
              <w:jc w:val="center"/>
            </w:pPr>
            <w:r>
              <w:rPr>
                <w:rFonts w:hint="eastAsia"/>
              </w:rPr>
              <w:t>b-d</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cs="宋体"/>
              </w:rPr>
              <w:t>9</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依赖未来盈利的由经营亏损引起的净递延税资产</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1</w:t>
            </w:r>
            <w:r>
              <w:rPr>
                <w:rFonts w:hint="eastAsia"/>
              </w:rPr>
              <w:t>0</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对未按公允价值计量的项目进行套期形成的现金流储备</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1</w:t>
            </w:r>
            <w:r>
              <w:rPr>
                <w:rFonts w:hint="eastAsia"/>
              </w:rPr>
              <w:t>1</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lang w:eastAsia="zh-TW"/>
              </w:rPr>
              <w:t>损失准备缺口</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lang w:val="en-US"/>
              </w:rPr>
              <w:t>19542.87</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1</w:t>
            </w:r>
            <w:r>
              <w:rPr>
                <w:rFonts w:hint="eastAsia"/>
              </w:rPr>
              <w:t>2</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lang w:eastAsia="zh-TW"/>
              </w:rPr>
              <w:t>资产证券化销售利得</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1</w:t>
            </w:r>
            <w:r>
              <w:rPr>
                <w:rFonts w:hint="eastAsia"/>
              </w:rPr>
              <w:t>3</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自身信用风险变化导致其负债公允价值变化带来的未实现损益</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1</w:t>
            </w:r>
            <w:r>
              <w:rPr>
                <w:rFonts w:hint="eastAsia"/>
              </w:rPr>
              <w:t>4</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确定受益类的养老金资产净额（扣除递延税负债）</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1</w:t>
            </w:r>
            <w:r>
              <w:rPr>
                <w:rFonts w:hint="eastAsia"/>
              </w:rPr>
              <w:t>5</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直接或间接持有本银行的股票</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1</w:t>
            </w:r>
            <w:r>
              <w:rPr>
                <w:rFonts w:hint="eastAsia"/>
              </w:rPr>
              <w:t>6</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银行间或银行与其他金融机构间通过协议相互持有的核心一级资本</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1</w:t>
            </w:r>
            <w:r>
              <w:rPr>
                <w:rFonts w:hint="eastAsia"/>
              </w:rPr>
              <w:t>7</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对未并表金融机构小额少数资本投资中的核心一级资本中应扣除金额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1</w:t>
            </w:r>
            <w:r>
              <w:rPr>
                <w:rFonts w:hint="eastAsia"/>
              </w:rPr>
              <w:t>8</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对未并表金融机构大额少数资本投资中的核心一级资本中应扣除金额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19</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其他依赖于银行未来盈利的净递延税资产中应扣除金额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726" w:type="dxa"/>
            <w:tcBorders>
              <w:top w:val="single" w:color="auto" w:sz="4" w:space="0"/>
              <w:bottom w:val="single" w:color="auto" w:sz="4" w:space="0"/>
              <w:right w:val="single" w:color="auto" w:sz="4" w:space="0"/>
            </w:tcBorders>
            <w:shd w:val="clear" w:color="auto" w:fill="auto"/>
            <w:vAlign w:val="center"/>
          </w:tcPr>
          <w:p>
            <w:pPr>
              <w:pStyle w:val="5"/>
              <w:rPr>
                <w:rFonts w:cs="宋体"/>
              </w:rPr>
            </w:pPr>
            <w:r>
              <w:rPr>
                <w:rFonts w:hint="eastAsia"/>
                <w:lang w:bidi="ar"/>
              </w:rPr>
              <w:t>20</w:t>
            </w:r>
          </w:p>
        </w:tc>
        <w:tc>
          <w:tcPr>
            <w:tcW w:w="3918" w:type="dxa"/>
            <w:tcBorders>
              <w:top w:val="single" w:color="auto" w:sz="4" w:space="0"/>
              <w:left w:val="nil"/>
              <w:bottom w:val="single" w:color="auto" w:sz="4" w:space="0"/>
              <w:right w:val="single" w:color="auto" w:sz="4" w:space="0"/>
            </w:tcBorders>
            <w:shd w:val="clear" w:color="auto" w:fill="auto"/>
            <w:vAlign w:val="center"/>
          </w:tcPr>
          <w:p>
            <w:pPr>
              <w:pStyle w:val="5"/>
              <w:rPr>
                <w:rFonts w:cs="宋体"/>
              </w:rPr>
            </w:pPr>
            <w:r>
              <w:rPr>
                <w:rFonts w:hint="eastAsia" w:cs="宋体"/>
              </w:rPr>
              <w:t>对未并表金融机构大额少数资本投资中的核心一级资本和其他依赖于银行未来盈利的净递延税资产的未扣除部分超过核心一级资本</w:t>
            </w:r>
            <w:r>
              <w:rPr>
                <w:rFonts w:cs="Calibri"/>
              </w:rPr>
              <w:t>15%</w:t>
            </w:r>
            <w:r>
              <w:rPr>
                <w:rFonts w:hint="eastAsia" w:cs="宋体"/>
              </w:rPr>
              <w:t>的应扣除金额</w:t>
            </w:r>
          </w:p>
        </w:tc>
        <w:tc>
          <w:tcPr>
            <w:tcW w:w="2552" w:type="dxa"/>
            <w:tcBorders>
              <w:top w:val="single" w:color="auto" w:sz="4" w:space="0"/>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single" w:color="auto" w:sz="4" w:space="0"/>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26" w:type="dxa"/>
            <w:tcBorders>
              <w:top w:val="single" w:color="auto" w:sz="4" w:space="0"/>
              <w:bottom w:val="single" w:color="auto" w:sz="4" w:space="0"/>
              <w:right w:val="single" w:color="auto" w:sz="4" w:space="0"/>
            </w:tcBorders>
            <w:shd w:val="clear" w:color="auto" w:fill="auto"/>
            <w:vAlign w:val="center"/>
          </w:tcPr>
          <w:p>
            <w:pPr>
              <w:pStyle w:val="5"/>
              <w:rPr>
                <w:rFonts w:cs="宋体"/>
              </w:rPr>
            </w:pPr>
            <w:r>
              <w:rPr>
                <w:rFonts w:hint="eastAsia"/>
                <w:lang w:bidi="ar"/>
              </w:rPr>
              <w:t>21</w:t>
            </w:r>
          </w:p>
        </w:tc>
        <w:tc>
          <w:tcPr>
            <w:tcW w:w="3918" w:type="dxa"/>
            <w:tcBorders>
              <w:top w:val="single" w:color="auto" w:sz="4" w:space="0"/>
              <w:left w:val="nil"/>
              <w:bottom w:val="single" w:color="auto" w:sz="4" w:space="0"/>
              <w:right w:val="single" w:color="auto" w:sz="4" w:space="0"/>
            </w:tcBorders>
            <w:shd w:val="clear" w:color="auto" w:fill="auto"/>
            <w:vAlign w:val="center"/>
          </w:tcPr>
          <w:p>
            <w:pPr>
              <w:pStyle w:val="5"/>
              <w:rPr>
                <w:rFonts w:cs="Calibri"/>
              </w:rPr>
            </w:pPr>
            <w:r>
              <w:rPr>
                <w:rFonts w:cs="Calibri"/>
              </w:rPr>
              <w:t xml:space="preserve">    </w:t>
            </w:r>
            <w:r>
              <w:rPr>
                <w:rFonts w:hint="eastAsia" w:cs="Calibri"/>
              </w:rPr>
              <w:t>其中：应在对金融机构大额少数资本投资中扣除的金额</w:t>
            </w:r>
          </w:p>
        </w:tc>
        <w:tc>
          <w:tcPr>
            <w:tcW w:w="2552" w:type="dxa"/>
            <w:tcBorders>
              <w:top w:val="single" w:color="auto" w:sz="4" w:space="0"/>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single" w:color="auto" w:sz="4" w:space="0"/>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22</w:t>
            </w:r>
          </w:p>
        </w:tc>
        <w:tc>
          <w:tcPr>
            <w:tcW w:w="3918" w:type="dxa"/>
            <w:tcBorders>
              <w:top w:val="nil"/>
              <w:left w:val="nil"/>
              <w:bottom w:val="single" w:color="auto" w:sz="4" w:space="0"/>
              <w:right w:val="single" w:color="auto" w:sz="4" w:space="0"/>
            </w:tcBorders>
            <w:shd w:val="clear" w:color="auto" w:fill="auto"/>
            <w:vAlign w:val="center"/>
          </w:tcPr>
          <w:p>
            <w:pPr>
              <w:pStyle w:val="5"/>
              <w:rPr>
                <w:rFonts w:cs="Calibri"/>
              </w:rPr>
            </w:pPr>
            <w:r>
              <w:rPr>
                <w:rFonts w:cs="Calibri"/>
              </w:rPr>
              <w:t xml:space="preserve">    </w:t>
            </w:r>
            <w:r>
              <w:rPr>
                <w:rFonts w:hint="eastAsia" w:cs="Calibri"/>
              </w:rPr>
              <w:t>其中：应在其他依赖于银行未来盈利的净递延税资产中扣除的金额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23</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其他应在核心一级资本中扣除的项目合计</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24</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应从其他一级资本和二级资本中扣除的未扣缺口</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25</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rPr>
              <w:t>核心一级资本扣除项总和</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rFonts w:eastAsia="PMingLiU"/>
                <w:lang w:eastAsia="zh-TW"/>
              </w:rPr>
            </w:pPr>
            <w:r>
              <w:rPr>
                <w:rFonts w:eastAsia="PMingLiU"/>
                <w:lang w:eastAsia="zh-TW"/>
              </w:rPr>
              <w:t>20326.23</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26</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lang w:eastAsia="zh-TW"/>
              </w:rPr>
              <w:t>核心一级资本</w:t>
            </w:r>
            <w:r>
              <w:rPr>
                <w:rFonts w:hint="eastAsia" w:cs="宋体"/>
                <w:b/>
              </w:rPr>
              <w:t>净额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t>221137.07</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8153" w:type="dxa"/>
            <w:gridSpan w:val="4"/>
            <w:tcBorders>
              <w:top w:val="nil"/>
              <w:bottom w:val="single" w:color="auto" w:sz="4" w:space="0"/>
            </w:tcBorders>
            <w:shd w:val="clear" w:color="auto" w:fill="auto"/>
          </w:tcPr>
          <w:p>
            <w:pPr>
              <w:pStyle w:val="5"/>
              <w:jc w:val="center"/>
            </w:pPr>
            <w:r>
              <w:rPr>
                <w:rFonts w:hint="eastAsia"/>
                <w:lang w:eastAsia="zh-TW"/>
              </w:rPr>
              <w:t>其他一级资本</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27</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其他一级资本工具及其溢价</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28</w:t>
            </w:r>
          </w:p>
        </w:tc>
        <w:tc>
          <w:tcPr>
            <w:tcW w:w="3918" w:type="dxa"/>
            <w:tcBorders>
              <w:top w:val="nil"/>
              <w:left w:val="nil"/>
              <w:bottom w:val="single" w:color="auto" w:sz="4" w:space="0"/>
              <w:right w:val="single" w:color="auto" w:sz="4" w:space="0"/>
            </w:tcBorders>
            <w:shd w:val="clear" w:color="auto" w:fill="auto"/>
            <w:vAlign w:val="center"/>
          </w:tcPr>
          <w:p>
            <w:pPr>
              <w:pStyle w:val="5"/>
              <w:rPr>
                <w:rFonts w:cs="Calibri"/>
              </w:rPr>
            </w:pPr>
            <w:r>
              <w:rPr>
                <w:rFonts w:cs="Calibri"/>
                <w:lang w:eastAsia="zh-TW"/>
              </w:rPr>
              <w:t xml:space="preserve">    </w:t>
            </w:r>
            <w:r>
              <w:rPr>
                <w:rFonts w:hint="eastAsia" w:cs="Calibri"/>
                <w:lang w:eastAsia="zh-TW"/>
              </w:rPr>
              <w:t>其中：权益部分</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29</w:t>
            </w:r>
          </w:p>
        </w:tc>
        <w:tc>
          <w:tcPr>
            <w:tcW w:w="3918" w:type="dxa"/>
            <w:tcBorders>
              <w:top w:val="nil"/>
              <w:left w:val="nil"/>
              <w:bottom w:val="single" w:color="auto" w:sz="4" w:space="0"/>
              <w:right w:val="single" w:color="auto" w:sz="4" w:space="0"/>
            </w:tcBorders>
            <w:shd w:val="clear" w:color="auto" w:fill="auto"/>
            <w:vAlign w:val="center"/>
          </w:tcPr>
          <w:p>
            <w:pPr>
              <w:pStyle w:val="5"/>
              <w:rPr>
                <w:rFonts w:cs="Calibri"/>
              </w:rPr>
            </w:pPr>
            <w:r>
              <w:rPr>
                <w:rFonts w:cs="Calibri"/>
                <w:lang w:eastAsia="zh-TW"/>
              </w:rPr>
              <w:t xml:space="preserve">    </w:t>
            </w:r>
            <w:r>
              <w:rPr>
                <w:rFonts w:hint="eastAsia" w:cs="Calibri"/>
                <w:lang w:eastAsia="zh-TW"/>
              </w:rPr>
              <w:t>其中：负债部分</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30</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少数股东资本可计入部分</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31</w:t>
            </w:r>
          </w:p>
        </w:tc>
        <w:tc>
          <w:tcPr>
            <w:tcW w:w="3918" w:type="dxa"/>
            <w:tcBorders>
              <w:top w:val="single" w:color="auto" w:sz="4" w:space="0"/>
              <w:left w:val="nil"/>
              <w:bottom w:val="single" w:color="auto" w:sz="4" w:space="0"/>
              <w:right w:val="single" w:color="auto" w:sz="4" w:space="0"/>
            </w:tcBorders>
            <w:shd w:val="clear" w:color="auto" w:fill="auto"/>
            <w:vAlign w:val="center"/>
          </w:tcPr>
          <w:p>
            <w:pPr>
              <w:pStyle w:val="5"/>
              <w:rPr>
                <w:rFonts w:cs="宋体"/>
                <w:b/>
              </w:rPr>
            </w:pPr>
            <w:r>
              <w:rPr>
                <w:rFonts w:hint="eastAsia" w:cs="宋体"/>
                <w:b/>
              </w:rPr>
              <w:t>扣除前的其他一级资本</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8153" w:type="dxa"/>
            <w:gridSpan w:val="4"/>
            <w:tcBorders>
              <w:top w:val="nil"/>
              <w:bottom w:val="single" w:color="auto" w:sz="4" w:space="0"/>
            </w:tcBorders>
            <w:shd w:val="clear" w:color="auto" w:fill="auto"/>
          </w:tcPr>
          <w:p>
            <w:pPr>
              <w:pStyle w:val="5"/>
              <w:jc w:val="center"/>
            </w:pPr>
            <w:r>
              <w:rPr>
                <w:rFonts w:hint="eastAsia"/>
              </w:rPr>
              <w:t>其他一级资本:扣除项</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32</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直接或间接持有的本银行其他一级资本</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33</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银行间或银行与其他金融机构间通过协议相互持有的其他一级资本</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34</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对未并表金融机构小额少数资本投资中的其他一级资本中应扣除金额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35</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对未并表金融机构大额少数资本投资中的其他一级资本中应扣除金额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36</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其他应在其他一级资本中扣除的项目合计</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37</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应从二级资本中扣除的未扣缺口</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38</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rPr>
              <w:t>其他一级资本扣除项总和</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39</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lang w:eastAsia="zh-TW"/>
              </w:rPr>
              <w:t>其他一级资本净额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40</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lang w:eastAsia="zh-TW"/>
              </w:rPr>
              <w:t>一级资本</w:t>
            </w:r>
            <w:r>
              <w:rPr>
                <w:rFonts w:hint="eastAsia" w:cs="宋体"/>
                <w:b/>
              </w:rPr>
              <w:t>净额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t>221137.07</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8153" w:type="dxa"/>
            <w:gridSpan w:val="4"/>
            <w:tcBorders>
              <w:top w:val="nil"/>
              <w:bottom w:val="single" w:color="auto" w:sz="4" w:space="0"/>
            </w:tcBorders>
            <w:shd w:val="clear" w:color="auto" w:fill="auto"/>
          </w:tcPr>
          <w:p>
            <w:pPr>
              <w:pStyle w:val="5"/>
              <w:jc w:val="center"/>
            </w:pPr>
            <w:r>
              <w:rPr>
                <w:rFonts w:hint="eastAsia"/>
              </w:rPr>
              <w:t>二级资本</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41</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二级资本工具及其溢价</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42</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少数股东资本可计入部分</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43</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超额损失准备可计入部分</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rFonts w:eastAsia="PMingLiU"/>
                <w:lang w:eastAsia="zh-TW"/>
              </w:rPr>
            </w:pPr>
            <w:r>
              <w:rPr>
                <w:rFonts w:eastAsia="PMingLiU"/>
                <w:lang w:eastAsia="zh-TW"/>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lang w:bidi="ar"/>
              </w:rPr>
              <w:t>44</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rPr>
              <w:t>扣除前的二级资本</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rFonts w:eastAsia="PMingLiU"/>
                <w:lang w:eastAsia="zh-TW"/>
              </w:rPr>
            </w:pPr>
            <w:r>
              <w:rPr>
                <w:rFonts w:eastAsia="PMingLiU"/>
                <w:lang w:eastAsia="zh-TW"/>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8153" w:type="dxa"/>
            <w:gridSpan w:val="4"/>
            <w:tcBorders>
              <w:top w:val="nil"/>
              <w:bottom w:val="single" w:color="auto" w:sz="4" w:space="0"/>
            </w:tcBorders>
            <w:shd w:val="clear" w:color="auto" w:fill="auto"/>
          </w:tcPr>
          <w:p>
            <w:pPr>
              <w:pStyle w:val="5"/>
              <w:jc w:val="center"/>
            </w:pPr>
            <w:r>
              <w:rPr>
                <w:rFonts w:hint="eastAsia"/>
              </w:rPr>
              <w:t>二级资本：扣除项</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45</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直接或间接持有的本银行的二级资本</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726" w:type="dxa"/>
            <w:tcBorders>
              <w:top w:val="nil"/>
              <w:bottom w:val="single" w:color="auto" w:sz="4" w:space="0"/>
              <w:right w:val="single" w:color="auto" w:sz="4" w:space="0"/>
            </w:tcBorders>
            <w:shd w:val="clear" w:color="auto" w:fill="auto"/>
            <w:vAlign w:val="center"/>
          </w:tcPr>
          <w:p>
            <w:pPr>
              <w:pStyle w:val="5"/>
            </w:pPr>
            <w:r>
              <w:rPr>
                <w:rFonts w:hint="eastAsia" w:cs="宋体"/>
              </w:rPr>
              <w:t>46</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银行间或银行与其他金融机构间通过协议相互持有的其他一级资本</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47</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对未并表金融机构小额少数资本投资中的二级资本中应扣除金额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48</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对未并表金融机构大额少数资本投资中的二级资本</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cs="宋体"/>
              </w:rPr>
              <w:t>49</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其他应在二级资本中扣除的项目合计</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5</w:t>
            </w:r>
            <w:r>
              <w:rPr>
                <w:rFonts w:hint="eastAsia"/>
              </w:rPr>
              <w:t>0</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rPr>
              <w:t>二级资本扣除项总和</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5</w:t>
            </w:r>
            <w:r>
              <w:rPr>
                <w:rFonts w:hint="eastAsia"/>
              </w:rPr>
              <w:t>1</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lang w:eastAsia="zh-TW"/>
              </w:rPr>
              <w:t>二级资本</w:t>
            </w:r>
            <w:r>
              <w:rPr>
                <w:rFonts w:hint="eastAsia" w:cs="宋体"/>
                <w:b/>
              </w:rPr>
              <w:t>净额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rFonts w:eastAsia="PMingLiU"/>
                <w:lang w:eastAsia="zh-TW"/>
              </w:rPr>
            </w:pPr>
            <w:r>
              <w:rPr>
                <w:rFonts w:eastAsia="PMingLiU"/>
                <w:lang w:eastAsia="zh-TW"/>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5</w:t>
            </w:r>
            <w:r>
              <w:rPr>
                <w:rFonts w:hint="eastAsia"/>
              </w:rPr>
              <w:t>2</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rPr>
              <w:t>总资本净额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lang w:val="en-US"/>
              </w:rPr>
              <w:t>221137.07</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53</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lang w:eastAsia="zh-TW"/>
              </w:rPr>
              <w:t>风险加权资产</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lang w:eastAsia="zh-TW"/>
              </w:rPr>
              <w:t>1897821.16</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8153" w:type="dxa"/>
            <w:gridSpan w:val="4"/>
            <w:tcBorders>
              <w:top w:val="nil"/>
              <w:bottom w:val="single" w:color="auto" w:sz="4" w:space="0"/>
            </w:tcBorders>
            <w:shd w:val="clear" w:color="auto" w:fill="auto"/>
          </w:tcPr>
          <w:p>
            <w:pPr>
              <w:pStyle w:val="5"/>
              <w:jc w:val="center"/>
            </w:pPr>
            <w:r>
              <w:rPr>
                <w:rFonts w:hint="eastAsia" w:cs="宋体"/>
                <w:b/>
              </w:rPr>
              <w:t>资本充足率和其他各级资本要求</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54</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lang w:eastAsia="zh-TW"/>
              </w:rPr>
              <w:t>核心一级资本充足率</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lang w:val="en-US"/>
              </w:rPr>
              <w:t>11.65</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55</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lang w:eastAsia="zh-TW"/>
              </w:rPr>
              <w:t>一级资本充足率</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lang w:val="en-US"/>
              </w:rPr>
              <w:t>11.65</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56</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lang w:eastAsia="zh-TW"/>
              </w:rPr>
              <w:t>资本充足率</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lang w:val="en-US"/>
              </w:rPr>
              <w:t>11.65</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57</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cs="宋体"/>
                <w:b/>
              </w:rPr>
              <w:t>其他各级资本要求（</w:t>
            </w:r>
            <w:r>
              <w:rPr>
                <w:rFonts w:cs="宋体"/>
                <w:b/>
              </w:rPr>
              <w:t>%）</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2.5</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58</w:t>
            </w:r>
          </w:p>
        </w:tc>
        <w:tc>
          <w:tcPr>
            <w:tcW w:w="3918" w:type="dxa"/>
            <w:tcBorders>
              <w:top w:val="nil"/>
              <w:left w:val="nil"/>
              <w:bottom w:val="single" w:color="auto" w:sz="4" w:space="0"/>
              <w:right w:val="single" w:color="auto" w:sz="4" w:space="0"/>
            </w:tcBorders>
            <w:shd w:val="clear" w:color="auto" w:fill="auto"/>
            <w:vAlign w:val="center"/>
          </w:tcPr>
          <w:p>
            <w:pPr>
              <w:pStyle w:val="5"/>
              <w:rPr>
                <w:rFonts w:cs="Calibri"/>
              </w:rPr>
            </w:pPr>
            <w:r>
              <w:rPr>
                <w:rFonts w:cs="Calibri"/>
                <w:lang w:eastAsia="zh-TW"/>
              </w:rPr>
              <w:t xml:space="preserve">    </w:t>
            </w:r>
            <w:r>
              <w:rPr>
                <w:rFonts w:hint="eastAsia" w:cs="Calibri"/>
                <w:lang w:eastAsia="zh-TW"/>
              </w:rPr>
              <w:t>其中：储备资本要求</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2.5</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59</w:t>
            </w:r>
          </w:p>
        </w:tc>
        <w:tc>
          <w:tcPr>
            <w:tcW w:w="3918" w:type="dxa"/>
            <w:tcBorders>
              <w:top w:val="nil"/>
              <w:left w:val="nil"/>
              <w:bottom w:val="single" w:color="auto" w:sz="4" w:space="0"/>
              <w:right w:val="single" w:color="auto" w:sz="4" w:space="0"/>
            </w:tcBorders>
            <w:shd w:val="clear" w:color="auto" w:fill="auto"/>
            <w:vAlign w:val="center"/>
          </w:tcPr>
          <w:p>
            <w:pPr>
              <w:pStyle w:val="5"/>
              <w:rPr>
                <w:rFonts w:cs="Calibri"/>
              </w:rPr>
            </w:pPr>
            <w:r>
              <w:rPr>
                <w:rFonts w:cs="Calibri"/>
              </w:rPr>
              <w:t xml:space="preserve">    </w:t>
            </w:r>
            <w:r>
              <w:rPr>
                <w:rFonts w:hint="eastAsia" w:cs="Calibri"/>
              </w:rPr>
              <w:t>其中：逆周期资本要求</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6</w:t>
            </w:r>
            <w:r>
              <w:rPr>
                <w:rFonts w:hint="eastAsia"/>
              </w:rPr>
              <w:t>0</w:t>
            </w:r>
          </w:p>
        </w:tc>
        <w:tc>
          <w:tcPr>
            <w:tcW w:w="3918" w:type="dxa"/>
            <w:tcBorders>
              <w:top w:val="nil"/>
              <w:left w:val="nil"/>
              <w:bottom w:val="single" w:color="auto" w:sz="4" w:space="0"/>
              <w:right w:val="single" w:color="auto" w:sz="4" w:space="0"/>
            </w:tcBorders>
            <w:shd w:val="clear" w:color="auto" w:fill="auto"/>
            <w:vAlign w:val="center"/>
          </w:tcPr>
          <w:p>
            <w:pPr>
              <w:pStyle w:val="5"/>
              <w:rPr>
                <w:rFonts w:cs="Calibri"/>
              </w:rPr>
            </w:pPr>
            <w:r>
              <w:rPr>
                <w:rFonts w:cs="Calibri"/>
              </w:rPr>
              <w:t xml:space="preserve">    </w:t>
            </w:r>
            <w:r>
              <w:rPr>
                <w:rFonts w:hint="eastAsia" w:cs="Calibri"/>
              </w:rPr>
              <w:t>其中：全球系统重要性银行或国内系统重要性银行附加资本要求</w:t>
            </w:r>
          </w:p>
        </w:tc>
        <w:tc>
          <w:tcPr>
            <w:tcW w:w="2552" w:type="dxa"/>
            <w:tcBorders>
              <w:top w:val="nil"/>
              <w:left w:val="nil"/>
              <w:bottom w:val="single" w:color="auto" w:sz="4" w:space="0"/>
              <w:right w:val="single" w:color="auto" w:sz="4" w:space="0"/>
            </w:tcBorders>
            <w:shd w:val="clear" w:color="auto" w:fill="BEBEBE"/>
            <w:vAlign w:val="center"/>
          </w:tcPr>
          <w:p>
            <w:pPr>
              <w:pStyle w:val="5"/>
              <w:jc w:val="center"/>
            </w:pP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t>6</w:t>
            </w:r>
            <w:r>
              <w:rPr>
                <w:rFonts w:hint="eastAsia"/>
              </w:rPr>
              <w:t>1</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b/>
              </w:rPr>
            </w:pPr>
            <w:r>
              <w:rPr>
                <w:rFonts w:hint="eastAsia"/>
                <w:b/>
              </w:rPr>
              <w:t>满足最低资本要求后的可用核心一级资本净额占风险加权资产的比例</w:t>
            </w:r>
            <w:r>
              <w:rPr>
                <w:rFonts w:hint="eastAsia" w:cs="宋体"/>
                <w:b/>
              </w:rPr>
              <w:t>（</w:t>
            </w:r>
            <w:r>
              <w:rPr>
                <w:rFonts w:cs="宋体"/>
                <w:b/>
              </w:rPr>
              <w:t>%</w:t>
            </w:r>
            <w:r>
              <w:rPr>
                <w:rFonts w:hint="eastAsia" w:cs="宋体"/>
                <w:b/>
              </w:rPr>
              <w:t>）</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lang w:val="en-US"/>
              </w:rPr>
              <w:t>3.65</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8153" w:type="dxa"/>
            <w:gridSpan w:val="4"/>
            <w:tcBorders>
              <w:top w:val="nil"/>
              <w:bottom w:val="single" w:color="auto" w:sz="4" w:space="0"/>
            </w:tcBorders>
            <w:shd w:val="clear" w:color="auto" w:fill="auto"/>
          </w:tcPr>
          <w:p>
            <w:pPr>
              <w:pStyle w:val="5"/>
              <w:jc w:val="center"/>
            </w:pPr>
            <w:r>
              <w:rPr>
                <w:rFonts w:hint="eastAsia"/>
              </w:rPr>
              <w:t>我国最低监管资本要求</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tcPr>
          <w:p>
            <w:pPr>
              <w:pStyle w:val="5"/>
              <w:rPr>
                <w:rFonts w:cs="宋体"/>
              </w:rPr>
            </w:pPr>
            <w:r>
              <w:t>6</w:t>
            </w:r>
            <w:r>
              <w:rPr>
                <w:rFonts w:hint="eastAsia"/>
              </w:rPr>
              <w:t>2</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lang w:eastAsia="zh-TW"/>
              </w:rPr>
              <w:t>核心一级资本充足率</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5</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tcPr>
          <w:p>
            <w:pPr>
              <w:pStyle w:val="5"/>
              <w:rPr>
                <w:rFonts w:cs="宋体"/>
              </w:rPr>
            </w:pPr>
            <w:r>
              <w:rPr>
                <w:rFonts w:hint="eastAsia"/>
              </w:rPr>
              <w:t>63</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lang w:eastAsia="zh-TW"/>
              </w:rPr>
              <w:t>一级资本充足率</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6</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tcPr>
          <w:p>
            <w:pPr>
              <w:pStyle w:val="5"/>
              <w:rPr>
                <w:rFonts w:cs="宋体"/>
              </w:rPr>
            </w:pPr>
            <w:r>
              <w:rPr>
                <w:rFonts w:hint="eastAsia"/>
              </w:rPr>
              <w:t>64</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lang w:eastAsia="zh-TW"/>
              </w:rPr>
              <w:t>资本充足率</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8</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8153" w:type="dxa"/>
            <w:gridSpan w:val="4"/>
            <w:tcBorders>
              <w:top w:val="nil"/>
              <w:bottom w:val="single" w:color="auto" w:sz="4" w:space="0"/>
            </w:tcBorders>
            <w:shd w:val="clear" w:color="auto" w:fill="auto"/>
          </w:tcPr>
          <w:p>
            <w:pPr>
              <w:pStyle w:val="5"/>
              <w:jc w:val="center"/>
            </w:pPr>
            <w:r>
              <w:rPr>
                <w:rFonts w:hint="eastAsia" w:cs="宋体"/>
                <w:b/>
              </w:rPr>
              <w:t>门槛扣除项中未扣除部分</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65</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对未并表金融机构的小额少数资本投资中未扣除部分</w:t>
            </w:r>
          </w:p>
        </w:tc>
        <w:tc>
          <w:tcPr>
            <w:tcW w:w="2552" w:type="dxa"/>
            <w:tcBorders>
              <w:top w:val="nil"/>
              <w:left w:val="nil"/>
              <w:bottom w:val="single" w:color="auto" w:sz="4" w:space="0"/>
              <w:right w:val="single" w:color="auto" w:sz="4" w:space="0"/>
            </w:tcBorders>
            <w:shd w:val="clear" w:color="auto" w:fill="auto"/>
            <w:vAlign w:val="center"/>
          </w:tcPr>
          <w:p>
            <w:pPr>
              <w:pStyle w:val="5"/>
              <w:jc w:val="center"/>
              <w:rPr>
                <w:lang w:val="en-US"/>
              </w:rPr>
            </w:pPr>
            <w:r>
              <w:rPr>
                <w:lang w:val="en-US"/>
              </w:rPr>
              <w:t>13100.0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66</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对未并表金融机构的大额少数资本投资中未扣除部分</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67</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其他依赖于银行未来盈利的净递延税资产（扣除递延税负债）</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rFonts w:hint="eastAsia"/>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8153" w:type="dxa"/>
            <w:gridSpan w:val="4"/>
            <w:tcBorders>
              <w:top w:val="nil"/>
              <w:bottom w:val="single" w:color="auto" w:sz="4" w:space="0"/>
            </w:tcBorders>
            <w:shd w:val="clear" w:color="auto" w:fill="auto"/>
          </w:tcPr>
          <w:p>
            <w:pPr>
              <w:pStyle w:val="5"/>
              <w:jc w:val="center"/>
            </w:pPr>
            <w:r>
              <w:rPr>
                <w:rFonts w:hint="eastAsia" w:cs="宋体"/>
                <w:b/>
              </w:rPr>
              <w:t>可计入二级资本的超额损失准备的限额</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68</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权重法下，实际计提的超额损失准备金额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lang w:val="en-US"/>
              </w:rPr>
              <w:t>0</w:t>
            </w:r>
          </w:p>
        </w:tc>
        <w:tc>
          <w:tcPr>
            <w:tcW w:w="957" w:type="dxa"/>
            <w:tcBorders>
              <w:top w:val="nil"/>
              <w:left w:val="nil"/>
              <w:bottom w:val="single" w:color="auto" w:sz="4" w:space="0"/>
            </w:tcBorders>
            <w:shd w:val="clear" w:color="auto" w:fill="auto"/>
            <w:vAlign w:val="center"/>
          </w:tcPr>
          <w:p>
            <w:pPr>
              <w:pStyle w:val="5"/>
              <w:jc w:val="cente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726" w:type="dxa"/>
            <w:tcBorders>
              <w:top w:val="nil"/>
              <w:bottom w:val="single" w:color="auto" w:sz="4" w:space="0"/>
              <w:right w:val="single" w:color="auto" w:sz="4" w:space="0"/>
            </w:tcBorders>
            <w:shd w:val="clear" w:color="auto" w:fill="auto"/>
            <w:vAlign w:val="center"/>
          </w:tcPr>
          <w:p>
            <w:pPr>
              <w:pStyle w:val="5"/>
              <w:rPr>
                <w:rFonts w:cs="宋体"/>
              </w:rPr>
            </w:pPr>
            <w:r>
              <w:rPr>
                <w:rFonts w:hint="eastAsia"/>
              </w:rPr>
              <w:t>69</w:t>
            </w:r>
          </w:p>
        </w:tc>
        <w:tc>
          <w:tcPr>
            <w:tcW w:w="3918" w:type="dxa"/>
            <w:tcBorders>
              <w:top w:val="nil"/>
              <w:left w:val="nil"/>
              <w:bottom w:val="single" w:color="auto" w:sz="4" w:space="0"/>
              <w:right w:val="single" w:color="auto" w:sz="4" w:space="0"/>
            </w:tcBorders>
            <w:shd w:val="clear" w:color="auto" w:fill="auto"/>
            <w:vAlign w:val="center"/>
          </w:tcPr>
          <w:p>
            <w:pPr>
              <w:pStyle w:val="5"/>
              <w:rPr>
                <w:rFonts w:cs="宋体"/>
              </w:rPr>
            </w:pPr>
            <w:r>
              <w:rPr>
                <w:rFonts w:hint="eastAsia" w:cs="宋体"/>
              </w:rPr>
              <w:t>权重法下，可计入二级资本超额损失准备的数额</w:t>
            </w:r>
          </w:p>
        </w:tc>
        <w:tc>
          <w:tcPr>
            <w:tcW w:w="2552" w:type="dxa"/>
            <w:tcBorders>
              <w:top w:val="nil"/>
              <w:left w:val="nil"/>
              <w:bottom w:val="single" w:color="auto" w:sz="4" w:space="0"/>
              <w:right w:val="single" w:color="auto" w:sz="4" w:space="0"/>
            </w:tcBorders>
            <w:shd w:val="clear" w:color="auto" w:fill="auto"/>
            <w:vAlign w:val="center"/>
          </w:tcPr>
          <w:p>
            <w:pPr>
              <w:pStyle w:val="5"/>
              <w:jc w:val="center"/>
            </w:pPr>
            <w:r>
              <w:rPr>
                <w:lang w:val="en-US"/>
              </w:rPr>
              <w:t>0</w:t>
            </w:r>
          </w:p>
        </w:tc>
        <w:tc>
          <w:tcPr>
            <w:tcW w:w="957" w:type="dxa"/>
            <w:tcBorders>
              <w:top w:val="nil"/>
              <w:left w:val="nil"/>
              <w:bottom w:val="single" w:color="auto" w:sz="4" w:space="0"/>
            </w:tcBorders>
            <w:shd w:val="clear" w:color="auto" w:fill="auto"/>
            <w:vAlign w:val="center"/>
          </w:tcPr>
          <w:p>
            <w:pPr>
              <w:pStyle w:val="5"/>
              <w:jc w:val="center"/>
            </w:pPr>
          </w:p>
        </w:tc>
      </w:tr>
    </w:tbl>
    <w:p>
      <w:pPr>
        <w:spacing w:after="78" w:afterLines="25" w:line="240" w:lineRule="auto"/>
        <w:rPr>
          <w:rFonts w:ascii="宋体" w:hAnsi="宋体" w:eastAsia="宋体" w:cs="宋体"/>
          <w:sz w:val="24"/>
          <w:szCs w:val="24"/>
        </w:rPr>
      </w:pPr>
    </w:p>
    <w:p/>
    <w:p/>
    <w:p>
      <w:pPr>
        <w:spacing w:line="560" w:lineRule="exact"/>
        <w:ind w:firstLine="4620" w:firstLineChars="1500"/>
        <w:rPr>
          <w:rFonts w:ascii="宋体" w:hAnsi="宋体" w:eastAsia="宋体" w:cs="宋体"/>
          <w:szCs w:val="32"/>
        </w:rPr>
      </w:pPr>
    </w:p>
    <w:p>
      <w:pPr>
        <w:spacing w:line="560" w:lineRule="exact"/>
        <w:ind w:firstLine="5236" w:firstLineChars="1700"/>
        <w:rPr>
          <w:rFonts w:ascii="宋体" w:hAnsi="宋体" w:eastAsia="宋体" w:cs="宋体"/>
          <w:szCs w:val="32"/>
        </w:rPr>
      </w:pPr>
      <w:r>
        <w:rPr>
          <w:rFonts w:hint="eastAsia" w:ascii="宋体" w:hAnsi="宋体" w:eastAsia="宋体" w:cs="宋体"/>
          <w:szCs w:val="32"/>
        </w:rPr>
        <w:t>赣昌农商银行</w:t>
      </w:r>
    </w:p>
    <w:p>
      <w:pPr>
        <w:spacing w:line="560" w:lineRule="exact"/>
        <w:ind w:firstLine="5236" w:firstLineChars="1700"/>
        <w:rPr>
          <w:rFonts w:ascii="宋体" w:hAnsi="宋体" w:eastAsia="宋体" w:cs="宋体"/>
          <w:szCs w:val="32"/>
        </w:rPr>
      </w:pPr>
      <w:r>
        <w:rPr>
          <w:rFonts w:hint="eastAsia" w:ascii="宋体" w:hAnsi="宋体" w:eastAsia="宋体" w:cs="宋体"/>
          <w:szCs w:val="32"/>
        </w:rPr>
        <w:t>2024年</w:t>
      </w:r>
      <w:r>
        <w:rPr>
          <w:rFonts w:hint="eastAsia" w:ascii="宋体" w:hAnsi="宋体" w:eastAsia="宋体" w:cs="宋体"/>
          <w:szCs w:val="32"/>
          <w:lang w:val="en-US" w:eastAsia="zh-CN"/>
        </w:rPr>
        <w:t>9</w:t>
      </w:r>
      <w:r>
        <w:rPr>
          <w:rFonts w:hint="eastAsia" w:ascii="宋体" w:hAnsi="宋体" w:eastAsia="宋体" w:cs="宋体"/>
          <w:szCs w:val="32"/>
        </w:rPr>
        <w:t>月</w:t>
      </w:r>
      <w:r>
        <w:rPr>
          <w:rFonts w:hint="eastAsia" w:ascii="宋体" w:hAnsi="宋体" w:eastAsia="宋体" w:cs="宋体"/>
          <w:szCs w:val="32"/>
          <w:lang w:val="en-US" w:eastAsia="zh-CN"/>
        </w:rPr>
        <w:t>26</w:t>
      </w:r>
      <w:r>
        <w:rPr>
          <w:rFonts w:hint="eastAsia" w:ascii="宋体" w:hAnsi="宋体" w:eastAsia="宋体" w:cs="宋体"/>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EA"/>
    <w:rsid w:val="000661B9"/>
    <w:rsid w:val="001073CA"/>
    <w:rsid w:val="002606ED"/>
    <w:rsid w:val="005716A7"/>
    <w:rsid w:val="00666ACF"/>
    <w:rsid w:val="00700650"/>
    <w:rsid w:val="008A53AF"/>
    <w:rsid w:val="008B5F68"/>
    <w:rsid w:val="00A26954"/>
    <w:rsid w:val="00AE08EA"/>
    <w:rsid w:val="00BD6587"/>
    <w:rsid w:val="00DF214D"/>
    <w:rsid w:val="00E37360"/>
    <w:rsid w:val="00E95F93"/>
    <w:rsid w:val="08132931"/>
    <w:rsid w:val="11D5392A"/>
    <w:rsid w:val="2BE30CD1"/>
    <w:rsid w:val="314975E7"/>
    <w:rsid w:val="3A9753E2"/>
    <w:rsid w:val="4EC24213"/>
    <w:rsid w:val="59BC17F1"/>
    <w:rsid w:val="5BCD4A26"/>
    <w:rsid w:val="63E319AC"/>
    <w:rsid w:val="659C1D14"/>
    <w:rsid w:val="6F283F22"/>
    <w:rsid w:val="72CD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customStyle="1" w:styleId="5">
    <w:name w:val="表格"/>
    <w:qFormat/>
    <w:uiPriority w:val="0"/>
    <w:pPr>
      <w:spacing w:line="400" w:lineRule="exact"/>
    </w:pPr>
    <w:rPr>
      <w:rFonts w:ascii="宋体" w:hAnsi="宋体" w:eastAsia="宋体" w:cs="Times New Roman"/>
      <w:bCs/>
      <w:kern w:val="28"/>
      <w:sz w:val="21"/>
      <w:szCs w:val="32"/>
      <w:lang w:val="zh-TW"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468</Words>
  <Characters>2674</Characters>
  <Lines>22</Lines>
  <Paragraphs>6</Paragraphs>
  <TotalTime>66</TotalTime>
  <ScaleCrop>false</ScaleCrop>
  <LinksUpToDate>false</LinksUpToDate>
  <CharactersWithSpaces>3136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JXNSH</dc:creator>
  <cp:lastModifiedBy>Administrator</cp:lastModifiedBy>
  <dcterms:modified xsi:type="dcterms:W3CDTF">2024-10-11T08:36:48Z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