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江西赣昌农村商业银行股份有限公司</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2024年一季度第三支柱信息披露报告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金融监督管理总局令第4号发布的《商业银行资本管理办法》(以下简称“办法”)附件22《商业银行信息披露内容和要求》的规定，本行严格按照要求披露信息，本行不存在子公司或投资金融机构，因此不存在并表现象。本次披露的报告经本行董事会确认。</w:t>
      </w:r>
    </w:p>
    <w:p>
      <w:pPr>
        <w:pStyle w:val="7"/>
        <w:spacing w:line="560" w:lineRule="exact"/>
        <w:ind w:firstLine="720"/>
        <w:rPr>
          <w:rFonts w:ascii="黑体" w:hAnsi="黑体" w:eastAsia="黑体" w:cs="黑体"/>
          <w:sz w:val="36"/>
          <w:szCs w:val="36"/>
        </w:rPr>
      </w:pPr>
      <w:r>
        <w:rPr>
          <w:rFonts w:hint="eastAsia" w:ascii="黑体" w:hAnsi="黑体" w:eastAsia="黑体" w:cs="黑体"/>
          <w:sz w:val="36"/>
          <w:szCs w:val="36"/>
        </w:rPr>
        <w:t>一、监管对资本的要求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国家金融监督管理总局对商业银行各级资本充足率最低要求（含储备资本2.5%）如下:(1)核心一级资本充足率不得低于7.50%;(2)一级资本充足率不得低于8.50%;(3)资本充足率不得低于10.50%。</w:t>
      </w:r>
    </w:p>
    <w:p>
      <w:pPr>
        <w:spacing w:line="560" w:lineRule="exact"/>
        <w:ind w:firstLine="720" w:firstLineChars="200"/>
        <w:rPr>
          <w:rFonts w:ascii="黑体" w:hAnsi="黑体" w:eastAsia="黑体" w:cs="黑体"/>
          <w:sz w:val="36"/>
          <w:szCs w:val="36"/>
        </w:rPr>
      </w:pPr>
      <w:r>
        <w:rPr>
          <w:rFonts w:hint="eastAsia" w:ascii="黑体" w:hAnsi="黑体" w:eastAsia="黑体" w:cs="黑体"/>
          <w:sz w:val="36"/>
          <w:szCs w:val="36"/>
        </w:rPr>
        <w:t>二、资产充足率及风险资产情况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办法规定来划分，本行为非上市第二档商业银行，其中信用风险采用权重法计量，市场风险采用简化标准法计量，操作风险采用基本指标法计量。截至2024年3月31日，本行核心一级资本净额202912.72万元，一级资本净额202912.72万元，资本净额202912.72万元，风险加权资产1873502.36万元，核心一级资本充足率为10.83%，一级资本充足率为10.83%，资本充足率为10.83%；调整后表内外资产余额3265059.56万元，杠杆率为6.21%。核心资本充足率、一级资本充足率、资本充足率和杠杆率均优于监管部门要求的法定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根据办法规定，本行首次披露相关信息，无需对前期数据追溯披露。本季度本行需披露的报表如下:</w:t>
      </w:r>
    </w:p>
    <w:p>
      <w:pPr>
        <w:spacing w:line="56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单位：万元、%</w:t>
      </w:r>
    </w:p>
    <w:tbl>
      <w:tblPr>
        <w:tblStyle w:val="6"/>
        <w:tblW w:w="8994" w:type="dxa"/>
        <w:tblInd w:w="0" w:type="dxa"/>
        <w:tblLayout w:type="fixed"/>
        <w:tblCellMar>
          <w:top w:w="0" w:type="dxa"/>
          <w:left w:w="108" w:type="dxa"/>
          <w:bottom w:w="0" w:type="dxa"/>
          <w:right w:w="108" w:type="dxa"/>
        </w:tblCellMar>
      </w:tblPr>
      <w:tblGrid>
        <w:gridCol w:w="643"/>
        <w:gridCol w:w="6236"/>
        <w:gridCol w:w="2115"/>
      </w:tblGrid>
      <w:tr>
        <w:tblPrEx>
          <w:tblLayout w:type="fixed"/>
          <w:tblCellMar>
            <w:top w:w="0" w:type="dxa"/>
            <w:left w:w="108" w:type="dxa"/>
            <w:bottom w:w="0" w:type="dxa"/>
            <w:right w:w="108" w:type="dxa"/>
          </w:tblCellMar>
        </w:tblPrEx>
        <w:trPr>
          <w:trHeight w:val="440" w:hRule="atLeast"/>
        </w:trPr>
        <w:tc>
          <w:tcPr>
            <w:tcW w:w="6879"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项目</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202</w:t>
            </w:r>
            <w:r>
              <w:rPr>
                <w:rFonts w:ascii="仿宋_GB2312" w:hAnsi="宋体" w:eastAsia="仿宋_GB2312" w:cs="仿宋_GB2312"/>
                <w:color w:val="000000"/>
                <w:kern w:val="0"/>
                <w:sz w:val="22"/>
                <w:lang w:bidi="ar"/>
              </w:rPr>
              <w:t>4</w:t>
            </w:r>
            <w:r>
              <w:rPr>
                <w:rFonts w:hint="eastAsia" w:ascii="仿宋_GB2312" w:hAnsi="宋体" w:eastAsia="仿宋_GB2312" w:cs="仿宋_GB2312"/>
                <w:color w:val="000000"/>
                <w:kern w:val="0"/>
                <w:sz w:val="22"/>
                <w:lang w:bidi="ar"/>
              </w:rPr>
              <w:t>年3月</w:t>
            </w:r>
          </w:p>
        </w:tc>
      </w:tr>
      <w:tr>
        <w:tblPrEx>
          <w:tblLayout w:type="fixed"/>
          <w:tblCellMar>
            <w:top w:w="0" w:type="dxa"/>
            <w:left w:w="108" w:type="dxa"/>
            <w:bottom w:w="0" w:type="dxa"/>
            <w:right w:w="108" w:type="dxa"/>
          </w:tblCellMar>
        </w:tblPrEx>
        <w:trPr>
          <w:trHeight w:val="440" w:hRule="atLeast"/>
        </w:trPr>
        <w:tc>
          <w:tcPr>
            <w:tcW w:w="643" w:type="dxa"/>
            <w:tcBorders>
              <w:top w:val="single" w:color="000000" w:sz="4" w:space="0"/>
              <w:left w:val="single" w:color="000000" w:sz="4" w:space="0"/>
              <w:bottom w:val="single" w:color="000000" w:sz="4" w:space="0"/>
              <w:right w:val="single" w:color="000000" w:sz="4" w:space="0"/>
            </w:tcBorders>
            <w:shd w:val="clear" w:color="auto" w:fill="D9D9D9"/>
          </w:tcPr>
          <w:p>
            <w:pPr>
              <w:rPr>
                <w:rFonts w:ascii="仿宋_GB2312" w:hAnsi="宋体" w:eastAsia="仿宋_GB2312" w:cs="仿宋_GB2312"/>
                <w:b/>
                <w:bCs/>
                <w:color w:val="000000"/>
                <w:sz w:val="22"/>
              </w:rPr>
            </w:pP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D9D9D9"/>
          </w:tcPr>
          <w:p>
            <w:pPr>
              <w:widowControl/>
              <w:textAlignment w:val="top"/>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lang w:bidi="ar"/>
              </w:rPr>
              <w:t>可用资本（数额）</w:t>
            </w:r>
          </w:p>
        </w:tc>
      </w:tr>
      <w:tr>
        <w:tblPrEx>
          <w:tblLayout w:type="fixed"/>
          <w:tblCellMar>
            <w:top w:w="0" w:type="dxa"/>
            <w:left w:w="108" w:type="dxa"/>
            <w:bottom w:w="0" w:type="dxa"/>
            <w:right w:w="108" w:type="dxa"/>
          </w:tblCellMar>
        </w:tblPrEx>
        <w:trPr>
          <w:trHeight w:val="28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核心一级资本净额</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rPr>
              <w:t>202912.72</w:t>
            </w:r>
          </w:p>
        </w:tc>
      </w:tr>
      <w:tr>
        <w:tblPrEx>
          <w:tblLayout w:type="fixed"/>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2</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一级资本净额</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rPr>
              <w:t>202912.72</w:t>
            </w:r>
          </w:p>
        </w:tc>
      </w:tr>
      <w:tr>
        <w:tblPrEx>
          <w:tblLayout w:type="fixed"/>
          <w:tblCellMar>
            <w:top w:w="0" w:type="dxa"/>
            <w:left w:w="108" w:type="dxa"/>
            <w:bottom w:w="0" w:type="dxa"/>
            <w:right w:w="108" w:type="dxa"/>
          </w:tblCellMar>
        </w:tblPrEx>
        <w:trPr>
          <w:trHeight w:val="242"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3</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资本净额</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rPr>
              <w:t>202912.72</w:t>
            </w:r>
          </w:p>
        </w:tc>
      </w:tr>
      <w:tr>
        <w:tblPrEx>
          <w:tblLayout w:type="fixed"/>
          <w:tblCellMar>
            <w:top w:w="0" w:type="dxa"/>
            <w:left w:w="108" w:type="dxa"/>
            <w:bottom w:w="0" w:type="dxa"/>
            <w:right w:w="108" w:type="dxa"/>
          </w:tblCellMar>
        </w:tblPrEx>
        <w:trPr>
          <w:trHeight w:val="579" w:hRule="atLeast"/>
        </w:trPr>
        <w:tc>
          <w:tcPr>
            <w:tcW w:w="643" w:type="dxa"/>
            <w:tcBorders>
              <w:top w:val="single" w:color="000000" w:sz="4" w:space="0"/>
              <w:left w:val="single" w:color="000000" w:sz="4" w:space="0"/>
              <w:bottom w:val="single" w:color="000000" w:sz="4" w:space="0"/>
              <w:right w:val="single" w:color="000000" w:sz="4" w:space="0"/>
            </w:tcBorders>
            <w:shd w:val="clear" w:color="auto" w:fill="D9D9D9"/>
          </w:tcPr>
          <w:p>
            <w:pPr>
              <w:rPr>
                <w:rFonts w:ascii="仿宋_GB2312" w:hAnsi="宋体" w:eastAsia="仿宋_GB2312" w:cs="仿宋_GB2312"/>
                <w:b/>
                <w:bCs/>
                <w:color w:val="000000"/>
                <w:sz w:val="22"/>
              </w:rPr>
            </w:pP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D9D9D9"/>
          </w:tcPr>
          <w:p>
            <w:pPr>
              <w:widowControl/>
              <w:textAlignment w:val="top"/>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lang w:bidi="ar"/>
              </w:rPr>
              <w:t>风险加权资产（数额）</w:t>
            </w:r>
          </w:p>
        </w:tc>
      </w:tr>
      <w:tr>
        <w:tblPrEx>
          <w:tblLayout w:type="fixed"/>
          <w:tblCellMar>
            <w:top w:w="0" w:type="dxa"/>
            <w:left w:w="108" w:type="dxa"/>
            <w:bottom w:w="0" w:type="dxa"/>
            <w:right w:w="108" w:type="dxa"/>
          </w:tblCellMar>
        </w:tblPrEx>
        <w:trPr>
          <w:trHeight w:val="29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4</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风险加权资产</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仿宋_GB2312" w:eastAsia="仿宋_GB2312" w:cs="仿宋_GB2312"/>
              </w:rPr>
              <w:t>1873502.36</w:t>
            </w:r>
          </w:p>
        </w:tc>
      </w:tr>
      <w:tr>
        <w:tblPrEx>
          <w:tblLayout w:type="fixed"/>
          <w:tblCellMar>
            <w:top w:w="0" w:type="dxa"/>
            <w:left w:w="108" w:type="dxa"/>
            <w:bottom w:w="0" w:type="dxa"/>
            <w:right w:w="108" w:type="dxa"/>
          </w:tblCellMar>
        </w:tblPrEx>
        <w:trPr>
          <w:trHeight w:val="440" w:hRule="atLeast"/>
        </w:trPr>
        <w:tc>
          <w:tcPr>
            <w:tcW w:w="643" w:type="dxa"/>
            <w:tcBorders>
              <w:top w:val="single" w:color="000000" w:sz="4" w:space="0"/>
              <w:left w:val="single" w:color="000000" w:sz="4" w:space="0"/>
              <w:bottom w:val="single" w:color="000000" w:sz="4" w:space="0"/>
              <w:right w:val="single" w:color="000000" w:sz="4" w:space="0"/>
            </w:tcBorders>
            <w:shd w:val="clear" w:color="auto" w:fill="D9D9D9"/>
          </w:tcPr>
          <w:p>
            <w:pPr>
              <w:rPr>
                <w:rFonts w:ascii="仿宋_GB2312" w:hAnsi="宋体" w:eastAsia="仿宋_GB2312" w:cs="仿宋_GB2312"/>
                <w:b/>
                <w:bCs/>
                <w:color w:val="000000"/>
                <w:sz w:val="22"/>
              </w:rPr>
            </w:pP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D9D9D9"/>
          </w:tcPr>
          <w:p>
            <w:pPr>
              <w:widowControl/>
              <w:jc w:val="left"/>
              <w:textAlignment w:val="top"/>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lang w:bidi="ar"/>
              </w:rPr>
              <w:t>资本充足率</w:t>
            </w:r>
            <w:bookmarkStart w:id="0" w:name="_GoBack"/>
            <w:bookmarkEnd w:id="0"/>
          </w:p>
        </w:tc>
      </w:tr>
      <w:tr>
        <w:tblPrEx>
          <w:tblLayout w:type="fixed"/>
          <w:tblCellMar>
            <w:top w:w="0" w:type="dxa"/>
            <w:left w:w="108" w:type="dxa"/>
            <w:bottom w:w="0" w:type="dxa"/>
            <w:right w:w="108" w:type="dxa"/>
          </w:tblCellMar>
        </w:tblPrEx>
        <w:trPr>
          <w:trHeight w:val="377"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5</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核心一级资本充足率（%）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rPr>
              <w:t>10.83</w:t>
            </w:r>
          </w:p>
        </w:tc>
      </w:tr>
      <w:tr>
        <w:tblPrEx>
          <w:tblLayout w:type="fixed"/>
          <w:tblCellMar>
            <w:top w:w="0" w:type="dxa"/>
            <w:left w:w="108" w:type="dxa"/>
            <w:bottom w:w="0" w:type="dxa"/>
            <w:right w:w="108" w:type="dxa"/>
          </w:tblCellMar>
        </w:tblPrEx>
        <w:trPr>
          <w:trHeight w:val="41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6</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一级资本充足率（%）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rPr>
              <w:t>10.83</w:t>
            </w:r>
          </w:p>
        </w:tc>
      </w:tr>
      <w:tr>
        <w:tblPrEx>
          <w:tblLayout w:type="fixed"/>
          <w:tblCellMar>
            <w:top w:w="0" w:type="dxa"/>
            <w:left w:w="108" w:type="dxa"/>
            <w:bottom w:w="0" w:type="dxa"/>
            <w:right w:w="108" w:type="dxa"/>
          </w:tblCellMar>
        </w:tblPrEx>
        <w:trPr>
          <w:trHeight w:val="41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7</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资本充足率（%）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rPr>
              <w:t>10.83</w:t>
            </w:r>
          </w:p>
        </w:tc>
      </w:tr>
      <w:tr>
        <w:tblPrEx>
          <w:tblLayout w:type="fixed"/>
          <w:tblCellMar>
            <w:top w:w="0" w:type="dxa"/>
            <w:left w:w="108" w:type="dxa"/>
            <w:bottom w:w="0" w:type="dxa"/>
            <w:right w:w="108" w:type="dxa"/>
          </w:tblCellMar>
        </w:tblPrEx>
        <w:trPr>
          <w:trHeight w:val="440" w:hRule="atLeast"/>
        </w:trPr>
        <w:tc>
          <w:tcPr>
            <w:tcW w:w="643" w:type="dxa"/>
            <w:tcBorders>
              <w:top w:val="single" w:color="000000" w:sz="4" w:space="0"/>
              <w:left w:val="single" w:color="000000" w:sz="4" w:space="0"/>
              <w:bottom w:val="single" w:color="000000" w:sz="4" w:space="0"/>
              <w:right w:val="single" w:color="000000" w:sz="4" w:space="0"/>
            </w:tcBorders>
            <w:shd w:val="clear" w:color="auto" w:fill="D9D9D9"/>
          </w:tcPr>
          <w:p>
            <w:pPr>
              <w:rPr>
                <w:rFonts w:ascii="仿宋_GB2312" w:hAnsi="宋体" w:eastAsia="仿宋_GB2312" w:cs="仿宋_GB2312"/>
                <w:b/>
                <w:bCs/>
                <w:color w:val="000000"/>
                <w:sz w:val="22"/>
              </w:rPr>
            </w:pP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D9D9D9"/>
          </w:tcPr>
          <w:p>
            <w:pPr>
              <w:widowControl/>
              <w:jc w:val="center"/>
              <w:textAlignment w:val="top"/>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lang w:bidi="ar"/>
              </w:rPr>
              <w:t>其他各级资本要求</w:t>
            </w:r>
          </w:p>
        </w:tc>
      </w:tr>
      <w:tr>
        <w:tblPrEx>
          <w:tblLayout w:type="fixed"/>
          <w:tblCellMar>
            <w:top w:w="0" w:type="dxa"/>
            <w:left w:w="108" w:type="dxa"/>
            <w:bottom w:w="0" w:type="dxa"/>
            <w:right w:w="108" w:type="dxa"/>
          </w:tblCellMar>
        </w:tblPrEx>
        <w:trPr>
          <w:trHeight w:val="387"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8</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324"/>
              </w:tabs>
              <w:jc w:val="left"/>
              <w:textAlignment w:val="center"/>
              <w:rPr>
                <w:rFonts w:hint="eastAsia" w:ascii="仿宋_GB2312" w:hAnsi="宋体" w:eastAsia="仿宋_GB2312" w:cs="仿宋_GB2312"/>
                <w:color w:val="000000"/>
                <w:sz w:val="22"/>
                <w:lang w:eastAsia="zh-CN"/>
              </w:rPr>
            </w:pPr>
            <w:r>
              <w:rPr>
                <w:rFonts w:hint="eastAsia" w:ascii="仿宋_GB2312" w:hAnsi="宋体" w:eastAsia="仿宋_GB2312" w:cs="仿宋_GB2312"/>
                <w:color w:val="000000"/>
                <w:kern w:val="0"/>
                <w:sz w:val="22"/>
                <w:lang w:bidi="ar"/>
              </w:rPr>
              <w:t>储备资本要求（%）</w:t>
            </w:r>
            <w:r>
              <w:rPr>
                <w:rFonts w:hint="eastAsia" w:ascii="仿宋_GB2312" w:hAnsi="宋体" w:eastAsia="仿宋_GB2312" w:cs="仿宋_GB2312"/>
                <w:color w:val="000000"/>
                <w:kern w:val="0"/>
                <w:sz w:val="22"/>
                <w:lang w:eastAsia="zh-CN" w:bidi="ar"/>
              </w:rPr>
              <w:tab/>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2"/>
              </w:rPr>
            </w:pPr>
            <w:r>
              <w:rPr>
                <w:rFonts w:hint="eastAsia" w:ascii="仿宋_GB2312" w:hAnsi="宋体" w:eastAsia="仿宋_GB2312" w:cs="仿宋_GB2312"/>
                <w:sz w:val="22"/>
              </w:rPr>
              <w:t>2.5</w:t>
            </w:r>
          </w:p>
        </w:tc>
      </w:tr>
      <w:tr>
        <w:tblPrEx>
          <w:tblLayout w:type="fixed"/>
          <w:tblCellMar>
            <w:top w:w="0" w:type="dxa"/>
            <w:left w:w="108" w:type="dxa"/>
            <w:bottom w:w="0" w:type="dxa"/>
            <w:right w:w="108" w:type="dxa"/>
          </w:tblCellMar>
        </w:tblPrEx>
        <w:trPr>
          <w:trHeight w:val="556"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9</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逆周期资本要求（%）</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2"/>
              </w:rPr>
            </w:pPr>
            <w:r>
              <w:rPr>
                <w:rFonts w:hint="eastAsia" w:ascii="仿宋_GB2312" w:hAnsi="宋体" w:eastAsia="仿宋_GB2312" w:cs="仿宋_GB2312"/>
                <w:sz w:val="22"/>
              </w:rPr>
              <w:t>0</w:t>
            </w:r>
          </w:p>
        </w:tc>
      </w:tr>
      <w:tr>
        <w:tblPrEx>
          <w:tblLayout w:type="fixed"/>
          <w:tblCellMar>
            <w:top w:w="0" w:type="dxa"/>
            <w:left w:w="108" w:type="dxa"/>
            <w:bottom w:w="0" w:type="dxa"/>
            <w:right w:w="108" w:type="dxa"/>
          </w:tblCellMar>
        </w:tblPrEx>
        <w:trPr>
          <w:trHeight w:val="69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10</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全球系统重要性银行或国内系统重要性银行附加资本要求（%）</w:t>
            </w:r>
          </w:p>
        </w:tc>
        <w:tc>
          <w:tcPr>
            <w:tcW w:w="2115"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ascii="仿宋_GB2312" w:hAnsi="宋体" w:eastAsia="仿宋_GB2312" w:cs="仿宋_GB2312"/>
                <w:color w:val="000000"/>
                <w:sz w:val="22"/>
              </w:rPr>
            </w:pPr>
          </w:p>
        </w:tc>
      </w:tr>
      <w:tr>
        <w:tblPrEx>
          <w:tblLayout w:type="fixed"/>
          <w:tblCellMar>
            <w:top w:w="0" w:type="dxa"/>
            <w:left w:w="108" w:type="dxa"/>
            <w:bottom w:w="0" w:type="dxa"/>
            <w:right w:w="108" w:type="dxa"/>
          </w:tblCellMar>
        </w:tblPrEx>
        <w:trPr>
          <w:trHeight w:val="58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11</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其他各级资本要求（%）（8+9+10）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2"/>
              </w:rPr>
            </w:pPr>
            <w:r>
              <w:rPr>
                <w:rFonts w:hint="eastAsia" w:ascii="仿宋_GB2312" w:hAnsi="宋体" w:eastAsia="仿宋_GB2312" w:cs="仿宋_GB2312"/>
                <w:sz w:val="22"/>
              </w:rPr>
              <w:t>2.5</w:t>
            </w:r>
          </w:p>
        </w:tc>
      </w:tr>
      <w:tr>
        <w:tblPrEx>
          <w:tblLayout w:type="fixed"/>
          <w:tblCellMar>
            <w:top w:w="0" w:type="dxa"/>
            <w:left w:w="108" w:type="dxa"/>
            <w:bottom w:w="0" w:type="dxa"/>
            <w:right w:w="108" w:type="dxa"/>
          </w:tblCellMar>
        </w:tblPrEx>
        <w:trPr>
          <w:trHeight w:val="66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12</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满足最低资本要求后的可用核心一级资本净额占风险加权资产的比例（%）</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FF0000"/>
                <w:sz w:val="22"/>
              </w:rPr>
            </w:pPr>
            <w:r>
              <w:t>2.83</w:t>
            </w:r>
          </w:p>
        </w:tc>
      </w:tr>
      <w:tr>
        <w:tblPrEx>
          <w:tblLayout w:type="fixed"/>
          <w:tblCellMar>
            <w:top w:w="0" w:type="dxa"/>
            <w:left w:w="108" w:type="dxa"/>
            <w:bottom w:w="0" w:type="dxa"/>
            <w:right w:w="108" w:type="dxa"/>
          </w:tblCellMar>
        </w:tblPrEx>
        <w:trPr>
          <w:trHeight w:val="440" w:hRule="atLeast"/>
        </w:trPr>
        <w:tc>
          <w:tcPr>
            <w:tcW w:w="643" w:type="dxa"/>
            <w:tcBorders>
              <w:top w:val="single" w:color="000000" w:sz="4" w:space="0"/>
              <w:left w:val="single" w:color="000000" w:sz="4" w:space="0"/>
              <w:bottom w:val="single" w:color="000000" w:sz="4" w:space="0"/>
              <w:right w:val="single" w:color="000000" w:sz="4" w:space="0"/>
            </w:tcBorders>
            <w:shd w:val="clear" w:color="auto" w:fill="D9D9D9"/>
          </w:tcPr>
          <w:p>
            <w:pPr>
              <w:rPr>
                <w:rFonts w:ascii="仿宋_GB2312" w:hAnsi="宋体" w:eastAsia="仿宋_GB2312" w:cs="仿宋_GB2312"/>
                <w:b/>
                <w:bCs/>
                <w:color w:val="000000"/>
                <w:sz w:val="22"/>
              </w:rPr>
            </w:pP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D9D9D9"/>
          </w:tcPr>
          <w:p>
            <w:pPr>
              <w:widowControl/>
              <w:jc w:val="left"/>
              <w:textAlignment w:val="top"/>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lang w:bidi="ar"/>
              </w:rPr>
              <w:t>杠杆率</w:t>
            </w:r>
          </w:p>
        </w:tc>
      </w:tr>
      <w:tr>
        <w:tblPrEx>
          <w:tblLayout w:type="fixed"/>
          <w:tblCellMar>
            <w:top w:w="0" w:type="dxa"/>
            <w:left w:w="108" w:type="dxa"/>
            <w:bottom w:w="0" w:type="dxa"/>
            <w:right w:w="108" w:type="dxa"/>
          </w:tblCellMar>
        </w:tblPrEx>
        <w:trPr>
          <w:trHeight w:val="397"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13</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调整后表内外资产余额</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rPr>
              <w:t>3265059.56</w:t>
            </w:r>
          </w:p>
        </w:tc>
      </w:tr>
      <w:tr>
        <w:tblPrEx>
          <w:tblLayout w:type="fixed"/>
          <w:tblCellMar>
            <w:top w:w="0" w:type="dxa"/>
            <w:left w:w="108" w:type="dxa"/>
            <w:bottom w:w="0" w:type="dxa"/>
            <w:right w:w="108" w:type="dxa"/>
          </w:tblCellMar>
        </w:tblPrEx>
        <w:trPr>
          <w:trHeight w:val="416"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14</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杠杆率（%）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6.21</w:t>
            </w:r>
          </w:p>
        </w:tc>
      </w:tr>
      <w:tr>
        <w:tblPrEx>
          <w:tblLayout w:type="fixed"/>
          <w:tblCellMar>
            <w:top w:w="0" w:type="dxa"/>
            <w:left w:w="108" w:type="dxa"/>
            <w:bottom w:w="0" w:type="dxa"/>
            <w:right w:w="108" w:type="dxa"/>
          </w:tblCellMar>
        </w:tblPrEx>
        <w:trPr>
          <w:trHeight w:val="42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14a</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杠杆率a（%）</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rPr>
              <w:t>6.21</w:t>
            </w:r>
          </w:p>
        </w:tc>
      </w:tr>
      <w:tr>
        <w:tblPrEx>
          <w:tblLayout w:type="fixed"/>
          <w:tblCellMar>
            <w:top w:w="0" w:type="dxa"/>
            <w:left w:w="108" w:type="dxa"/>
            <w:bottom w:w="0" w:type="dxa"/>
            <w:right w:w="108" w:type="dxa"/>
          </w:tblCellMar>
        </w:tblPrEx>
        <w:trPr>
          <w:trHeight w:val="4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D9D9D9"/>
          </w:tcPr>
          <w:p>
            <w:pPr>
              <w:rPr>
                <w:rFonts w:ascii="仿宋_GB2312" w:hAnsi="宋体" w:eastAsia="仿宋_GB2312" w:cs="仿宋_GB2312"/>
                <w:b/>
                <w:bCs/>
                <w:color w:val="000000"/>
                <w:sz w:val="22"/>
              </w:rPr>
            </w:pP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D9D9D9"/>
          </w:tcPr>
          <w:p>
            <w:pPr>
              <w:widowControl/>
              <w:jc w:val="left"/>
              <w:textAlignment w:val="top"/>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lang w:bidi="ar"/>
              </w:rPr>
              <w:t>流动性覆盖率</w:t>
            </w:r>
          </w:p>
        </w:tc>
      </w:tr>
      <w:tr>
        <w:tblPrEx>
          <w:tblLayout w:type="fixed"/>
          <w:tblCellMar>
            <w:top w:w="0" w:type="dxa"/>
            <w:left w:w="108" w:type="dxa"/>
            <w:bottom w:w="0" w:type="dxa"/>
            <w:right w:w="108" w:type="dxa"/>
          </w:tblCellMar>
        </w:tblPrEx>
        <w:trPr>
          <w:trHeight w:val="42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15</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合格优质流动性资产</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不适用</w:t>
            </w:r>
          </w:p>
        </w:tc>
      </w:tr>
      <w:tr>
        <w:tblPrEx>
          <w:tblLayout w:type="fixed"/>
          <w:tblCellMar>
            <w:top w:w="0" w:type="dxa"/>
            <w:left w:w="108" w:type="dxa"/>
            <w:bottom w:w="0" w:type="dxa"/>
            <w:right w:w="108" w:type="dxa"/>
          </w:tblCellMar>
        </w:tblPrEx>
        <w:trPr>
          <w:trHeight w:val="412"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16</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现金净流出量</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不适用</w:t>
            </w:r>
          </w:p>
        </w:tc>
      </w:tr>
      <w:tr>
        <w:tblPrEx>
          <w:tblLayout w:type="fixed"/>
          <w:tblCellMar>
            <w:top w:w="0" w:type="dxa"/>
            <w:left w:w="108" w:type="dxa"/>
            <w:bottom w:w="0" w:type="dxa"/>
            <w:right w:w="108" w:type="dxa"/>
          </w:tblCellMar>
        </w:tblPrEx>
        <w:trPr>
          <w:trHeight w:val="417"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17</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流动性覆盖率（%）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不适用</w:t>
            </w:r>
          </w:p>
        </w:tc>
      </w:tr>
      <w:tr>
        <w:tblPrEx>
          <w:tblLayout w:type="fixed"/>
          <w:tblCellMar>
            <w:top w:w="0" w:type="dxa"/>
            <w:left w:w="108" w:type="dxa"/>
            <w:bottom w:w="0" w:type="dxa"/>
            <w:right w:w="108" w:type="dxa"/>
          </w:tblCellMar>
        </w:tblPrEx>
        <w:trPr>
          <w:trHeight w:val="440" w:hRule="atLeast"/>
        </w:trPr>
        <w:tc>
          <w:tcPr>
            <w:tcW w:w="643" w:type="dxa"/>
            <w:tcBorders>
              <w:top w:val="single" w:color="000000" w:sz="4" w:space="0"/>
              <w:left w:val="single" w:color="000000" w:sz="4" w:space="0"/>
              <w:bottom w:val="single" w:color="000000" w:sz="4" w:space="0"/>
              <w:right w:val="single" w:color="000000" w:sz="4" w:space="0"/>
            </w:tcBorders>
            <w:shd w:val="clear" w:color="auto" w:fill="D9D9D9"/>
          </w:tcPr>
          <w:p>
            <w:pPr>
              <w:rPr>
                <w:rFonts w:ascii="仿宋_GB2312" w:hAnsi="宋体" w:eastAsia="仿宋_GB2312" w:cs="仿宋_GB2312"/>
                <w:b/>
                <w:bCs/>
                <w:color w:val="000000"/>
                <w:sz w:val="22"/>
              </w:rPr>
            </w:pP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D9D9D9"/>
          </w:tcPr>
          <w:p>
            <w:pPr>
              <w:widowControl/>
              <w:jc w:val="left"/>
              <w:textAlignment w:val="top"/>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lang w:bidi="ar"/>
              </w:rPr>
              <w:t>净稳定资金比例</w:t>
            </w:r>
          </w:p>
        </w:tc>
      </w:tr>
      <w:tr>
        <w:tblPrEx>
          <w:tblLayout w:type="fixed"/>
          <w:tblCellMar>
            <w:top w:w="0" w:type="dxa"/>
            <w:left w:w="108" w:type="dxa"/>
            <w:bottom w:w="0" w:type="dxa"/>
            <w:right w:w="108" w:type="dxa"/>
          </w:tblCellMar>
        </w:tblPrEx>
        <w:trPr>
          <w:trHeight w:val="38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18</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可用稳定资金合计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不适用</w:t>
            </w:r>
          </w:p>
        </w:tc>
      </w:tr>
      <w:tr>
        <w:tblPrEx>
          <w:tblLayout w:type="fixed"/>
          <w:tblCellMar>
            <w:top w:w="0" w:type="dxa"/>
            <w:left w:w="108" w:type="dxa"/>
            <w:bottom w:w="0" w:type="dxa"/>
            <w:right w:w="108" w:type="dxa"/>
          </w:tblCellMar>
        </w:tblPrEx>
        <w:trPr>
          <w:trHeight w:val="422"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19</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所需稳定资金合计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不适用</w:t>
            </w:r>
          </w:p>
        </w:tc>
      </w:tr>
      <w:tr>
        <w:tblPrEx>
          <w:tblLayout w:type="fixed"/>
          <w:tblCellMar>
            <w:top w:w="0" w:type="dxa"/>
            <w:left w:w="108" w:type="dxa"/>
            <w:bottom w:w="0" w:type="dxa"/>
            <w:right w:w="108" w:type="dxa"/>
          </w:tblCellMar>
        </w:tblPrEx>
        <w:trPr>
          <w:trHeight w:val="41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20</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净稳定资金比例（%）</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不适用</w:t>
            </w:r>
          </w:p>
        </w:tc>
      </w:tr>
      <w:tr>
        <w:tblPrEx>
          <w:tblLayout w:type="fixed"/>
          <w:tblCellMar>
            <w:top w:w="0" w:type="dxa"/>
            <w:left w:w="108" w:type="dxa"/>
            <w:bottom w:w="0" w:type="dxa"/>
            <w:right w:w="108" w:type="dxa"/>
          </w:tblCellMar>
        </w:tblPrEx>
        <w:trPr>
          <w:trHeight w:val="440" w:hRule="atLeast"/>
        </w:trPr>
        <w:tc>
          <w:tcPr>
            <w:tcW w:w="643" w:type="dxa"/>
            <w:tcBorders>
              <w:top w:val="single" w:color="000000" w:sz="4" w:space="0"/>
              <w:left w:val="single" w:color="000000" w:sz="4" w:space="0"/>
              <w:bottom w:val="single" w:color="000000" w:sz="4" w:space="0"/>
              <w:right w:val="single" w:color="000000" w:sz="4" w:space="0"/>
            </w:tcBorders>
            <w:shd w:val="clear" w:color="auto" w:fill="D8D8D8"/>
          </w:tcPr>
          <w:p>
            <w:pPr>
              <w:rPr>
                <w:rFonts w:ascii="仿宋_GB2312" w:hAnsi="宋体" w:eastAsia="仿宋_GB2312" w:cs="仿宋_GB2312"/>
                <w:b/>
                <w:bCs/>
                <w:color w:val="000000"/>
                <w:sz w:val="22"/>
              </w:rPr>
            </w:pP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D8D8D8"/>
          </w:tcPr>
          <w:p>
            <w:pPr>
              <w:widowControl/>
              <w:jc w:val="left"/>
              <w:textAlignment w:val="top"/>
              <w:rPr>
                <w:rFonts w:ascii="仿宋_GB2312" w:hAnsi="宋体" w:eastAsia="仿宋_GB2312" w:cs="仿宋_GB2312"/>
                <w:b/>
                <w:bCs/>
                <w:color w:val="000000"/>
                <w:sz w:val="22"/>
              </w:rPr>
            </w:pPr>
            <w:r>
              <w:rPr>
                <w:rFonts w:hint="eastAsia" w:ascii="仿宋_GB2312" w:hAnsi="宋体" w:eastAsia="仿宋_GB2312" w:cs="仿宋_GB2312"/>
                <w:b/>
                <w:bCs/>
                <w:color w:val="000000"/>
                <w:kern w:val="0"/>
                <w:sz w:val="22"/>
                <w:lang w:bidi="ar"/>
              </w:rPr>
              <w:t>流动性比例</w:t>
            </w:r>
          </w:p>
        </w:tc>
      </w:tr>
      <w:tr>
        <w:tblPrEx>
          <w:tblLayout w:type="fixed"/>
          <w:tblCellMar>
            <w:top w:w="0" w:type="dxa"/>
            <w:left w:w="108" w:type="dxa"/>
            <w:bottom w:w="0" w:type="dxa"/>
            <w:right w:w="108" w:type="dxa"/>
          </w:tblCellMar>
        </w:tblPrEx>
        <w:trPr>
          <w:trHeight w:val="540" w:hRule="atLeast"/>
        </w:trPr>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21</w:t>
            </w:r>
          </w:p>
        </w:tc>
        <w:tc>
          <w:tcPr>
            <w:tcW w:w="6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流动性比例（%）</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rPr>
            </w:pPr>
            <w:r>
              <w:rPr>
                <w:rFonts w:hint="eastAsia" w:ascii="楷体_GB2312" w:hAnsi="楷体_GB2312" w:eastAsia="楷体_GB2312" w:cs="楷体_GB2312"/>
              </w:rPr>
              <w:t>63.86</w:t>
            </w:r>
          </w:p>
        </w:tc>
      </w:tr>
    </w:tbl>
    <w:p>
      <w:pPr>
        <w:spacing w:line="560" w:lineRule="exact"/>
        <w:rPr>
          <w:rFonts w:ascii="黑体" w:hAnsi="黑体" w:eastAsia="黑体" w:cs="黑体"/>
          <w:sz w:val="32"/>
          <w:szCs w:val="32"/>
        </w:rPr>
      </w:pPr>
    </w:p>
    <w:p>
      <w:pPr>
        <w:spacing w:line="560" w:lineRule="exact"/>
        <w:ind w:right="140" w:firstLine="640" w:firstLineChars="200"/>
        <w:jc w:val="right"/>
        <w:rPr>
          <w:rFonts w:hint="eastAsia" w:ascii="仿宋_GB2312" w:hAnsi="仿宋_GB2312" w:eastAsia="仿宋_GB2312" w:cs="仿宋_GB2312"/>
          <w:sz w:val="32"/>
          <w:szCs w:val="32"/>
        </w:rPr>
      </w:pPr>
    </w:p>
    <w:p>
      <w:pPr>
        <w:spacing w:line="560" w:lineRule="exact"/>
        <w:ind w:right="14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江西赣昌农村商业银行股份有限公司</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w:t>
      </w:r>
      <w:r>
        <w:rPr>
          <w:rFonts w:hint="eastAsia" w:ascii="仿宋_GB2312" w:hAnsi="仿宋_GB2312" w:eastAsia="仿宋_GB2312" w:cs="仿宋_GB2312"/>
          <w:sz w:val="32"/>
          <w:szCs w:val="32"/>
        </w:rPr>
        <w:t>二四年五月二十七日</w:t>
      </w:r>
    </w:p>
    <w:sectPr>
      <w:headerReference r:id="rId3" w:type="default"/>
      <w:footerReference r:id="rId4" w:type="default"/>
      <w:pgSz w:w="11906" w:h="16838"/>
      <w:pgMar w:top="2098" w:right="1474"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NGZiMjI2ZGM0Njg2YmRkYjZhZmIwZWExNzY4ZGMifQ=="/>
  </w:docVars>
  <w:rsids>
    <w:rsidRoot w:val="00081786"/>
    <w:rsid w:val="00031BA6"/>
    <w:rsid w:val="00051AAD"/>
    <w:rsid w:val="000543D2"/>
    <w:rsid w:val="000711E6"/>
    <w:rsid w:val="00075C99"/>
    <w:rsid w:val="00081786"/>
    <w:rsid w:val="00094616"/>
    <w:rsid w:val="000B5415"/>
    <w:rsid w:val="00190FBA"/>
    <w:rsid w:val="001B03B2"/>
    <w:rsid w:val="001C4854"/>
    <w:rsid w:val="001E775D"/>
    <w:rsid w:val="0023595A"/>
    <w:rsid w:val="002413CE"/>
    <w:rsid w:val="002727BB"/>
    <w:rsid w:val="0031414D"/>
    <w:rsid w:val="003C55D8"/>
    <w:rsid w:val="003F6863"/>
    <w:rsid w:val="004433AD"/>
    <w:rsid w:val="004A5CD6"/>
    <w:rsid w:val="00564C4B"/>
    <w:rsid w:val="006E7A1D"/>
    <w:rsid w:val="007563E7"/>
    <w:rsid w:val="007A761E"/>
    <w:rsid w:val="007E4590"/>
    <w:rsid w:val="00845BBE"/>
    <w:rsid w:val="00854B60"/>
    <w:rsid w:val="009170D9"/>
    <w:rsid w:val="00A22880"/>
    <w:rsid w:val="00A34AA0"/>
    <w:rsid w:val="00A45F3C"/>
    <w:rsid w:val="00A62FAE"/>
    <w:rsid w:val="00AA5F74"/>
    <w:rsid w:val="00B35FBC"/>
    <w:rsid w:val="00B96F72"/>
    <w:rsid w:val="00D74352"/>
    <w:rsid w:val="00E00066"/>
    <w:rsid w:val="00EA2A6E"/>
    <w:rsid w:val="00F1511A"/>
    <w:rsid w:val="01FF068A"/>
    <w:rsid w:val="027432A1"/>
    <w:rsid w:val="057E2876"/>
    <w:rsid w:val="064457B3"/>
    <w:rsid w:val="09AC0348"/>
    <w:rsid w:val="09D241D7"/>
    <w:rsid w:val="0D324122"/>
    <w:rsid w:val="12640682"/>
    <w:rsid w:val="15AF676D"/>
    <w:rsid w:val="2BE06A1C"/>
    <w:rsid w:val="3307461E"/>
    <w:rsid w:val="39146969"/>
    <w:rsid w:val="399B7D6E"/>
    <w:rsid w:val="3D037928"/>
    <w:rsid w:val="45207C5F"/>
    <w:rsid w:val="454964D0"/>
    <w:rsid w:val="467B4A31"/>
    <w:rsid w:val="4B5D077C"/>
    <w:rsid w:val="4DC65EEB"/>
    <w:rsid w:val="551B0C3E"/>
    <w:rsid w:val="557916E9"/>
    <w:rsid w:val="59522310"/>
    <w:rsid w:val="599C3644"/>
    <w:rsid w:val="5C751515"/>
    <w:rsid w:val="5CC322E6"/>
    <w:rsid w:val="5F7E59A1"/>
    <w:rsid w:val="60134A6B"/>
    <w:rsid w:val="646D40FA"/>
    <w:rsid w:val="690054AE"/>
    <w:rsid w:val="69255D61"/>
    <w:rsid w:val="6AA40B68"/>
    <w:rsid w:val="7849286E"/>
    <w:rsid w:val="79604C13"/>
    <w:rsid w:val="7AB17BB8"/>
    <w:rsid w:val="7BF7792E"/>
    <w:rsid w:val="7C616569"/>
    <w:rsid w:val="7C901465"/>
    <w:rsid w:val="7D43005D"/>
    <w:rsid w:val="7D9F3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uiPriority w:val="99"/>
    <w:pPr>
      <w:spacing w:after="120" w:afterLines="0" w:afterAutospacing="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font11"/>
    <w:basedOn w:val="5"/>
    <w:qFormat/>
    <w:uiPriority w:val="0"/>
    <w:rPr>
      <w:rFonts w:hint="eastAsia" w:ascii="仿宋_GB2312" w:eastAsia="仿宋_GB2312" w:cs="仿宋_GB2312"/>
      <w:color w:val="000000"/>
      <w:sz w:val="22"/>
      <w:szCs w:val="22"/>
      <w:u w:val="none"/>
    </w:rPr>
  </w:style>
  <w:style w:type="character" w:customStyle="1" w:styleId="9">
    <w:name w:val="页眉 字符"/>
    <w:basedOn w:val="5"/>
    <w:link w:val="4"/>
    <w:qFormat/>
    <w:uiPriority w:val="99"/>
    <w:rPr>
      <w:rFonts w:asciiTheme="minorHAnsi" w:hAnsiTheme="minorHAnsi" w:eastAsiaTheme="minorEastAsia" w:cstheme="minorBidi"/>
      <w:kern w:val="2"/>
      <w:sz w:val="18"/>
      <w:szCs w:val="18"/>
    </w:rPr>
  </w:style>
  <w:style w:type="character" w:customStyle="1" w:styleId="10">
    <w:name w:val="页脚 字符"/>
    <w:basedOn w:val="5"/>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Words>
  <Characters>1047</Characters>
  <Lines>8</Lines>
  <Paragraphs>2</Paragraphs>
  <TotalTime>1398</TotalTime>
  <ScaleCrop>false</ScaleCrop>
  <LinksUpToDate>false</LinksUpToDate>
  <CharactersWithSpaces>1228</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2024-04-15T07:12:00Z</dcterms:created>
  <dc:creator>Administrator</dc:creator>
  <cp:lastModifiedBy>匿名用户</cp:lastModifiedBy>
  <dcterms:modified xsi:type="dcterms:W3CDTF">2024-06-28T09:53:58Z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760779FBAEEB468E9B382D30416644A2_12</vt:lpwstr>
  </property>
</Properties>
</file>