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FC" w:rsidRDefault="00B57D62">
      <w:pPr>
        <w:widowControl/>
        <w:spacing w:line="700" w:lineRule="exact"/>
        <w:jc w:val="center"/>
        <w:rPr>
          <w:rFonts w:ascii="方正大标宋简体" w:eastAsia="方正大标宋简体" w:hAnsi="方正大标宋简体" w:cs="方正大标宋简体"/>
          <w:kern w:val="0"/>
          <w:sz w:val="44"/>
          <w:szCs w:val="44"/>
        </w:rPr>
      </w:pPr>
      <w:r>
        <w:rPr>
          <w:rFonts w:ascii="方正大标宋简体" w:eastAsia="方正大标宋简体" w:hAnsi="方正大标宋简体" w:cs="方正大标宋简体" w:hint="eastAsia"/>
          <w:kern w:val="0"/>
          <w:sz w:val="44"/>
          <w:szCs w:val="44"/>
        </w:rPr>
        <w:t>赣昌</w:t>
      </w:r>
      <w:r>
        <w:rPr>
          <w:rFonts w:ascii="方正大标宋简体" w:eastAsia="方正大标宋简体" w:hAnsi="方正大标宋简体" w:cs="方正大标宋简体" w:hint="eastAsia"/>
          <w:kern w:val="0"/>
          <w:sz w:val="44"/>
          <w:szCs w:val="44"/>
        </w:rPr>
        <w:t>农商银行</w:t>
      </w:r>
      <w:r>
        <w:rPr>
          <w:rFonts w:ascii="方正大标宋简体" w:eastAsia="方正大标宋简体" w:hAnsi="方正大标宋简体" w:cs="方正大标宋简体" w:hint="eastAsia"/>
          <w:kern w:val="0"/>
          <w:sz w:val="44"/>
          <w:szCs w:val="44"/>
        </w:rPr>
        <w:t>2024</w:t>
      </w:r>
      <w:r>
        <w:rPr>
          <w:rFonts w:ascii="方正大标宋简体" w:eastAsia="方正大标宋简体" w:hAnsi="方正大标宋简体" w:cs="方正大标宋简体" w:hint="eastAsia"/>
          <w:kern w:val="0"/>
          <w:sz w:val="44"/>
          <w:szCs w:val="44"/>
        </w:rPr>
        <w:t>年一季度</w:t>
      </w:r>
    </w:p>
    <w:p w:rsidR="006642FC" w:rsidRDefault="00B57D62">
      <w:pPr>
        <w:widowControl/>
        <w:spacing w:line="700" w:lineRule="exact"/>
        <w:jc w:val="center"/>
        <w:rPr>
          <w:rFonts w:ascii="方正大标宋简体" w:eastAsia="方正大标宋简体" w:hAnsi="方正大标宋简体" w:cs="方正大标宋简体"/>
          <w:kern w:val="0"/>
          <w:sz w:val="44"/>
          <w:szCs w:val="44"/>
        </w:rPr>
      </w:pPr>
      <w:r>
        <w:rPr>
          <w:rFonts w:ascii="方正大标宋简体" w:eastAsia="方正大标宋简体" w:hAnsi="方正大标宋简体" w:cs="方正大标宋简体" w:hint="eastAsia"/>
          <w:kern w:val="0"/>
          <w:sz w:val="44"/>
          <w:szCs w:val="44"/>
        </w:rPr>
        <w:t>关联交易</w:t>
      </w:r>
      <w:r>
        <w:rPr>
          <w:rFonts w:ascii="方正大标宋简体" w:eastAsia="方正大标宋简体" w:hAnsi="方正大标宋简体" w:cs="方正大标宋简体" w:hint="eastAsia"/>
          <w:kern w:val="0"/>
          <w:sz w:val="44"/>
          <w:szCs w:val="44"/>
        </w:rPr>
        <w:t>情况</w:t>
      </w:r>
      <w:r>
        <w:rPr>
          <w:rFonts w:ascii="方正大标宋简体" w:eastAsia="方正大标宋简体" w:hAnsi="方正大标宋简体" w:cs="方正大标宋简体" w:hint="eastAsia"/>
          <w:kern w:val="0"/>
          <w:sz w:val="44"/>
          <w:szCs w:val="44"/>
        </w:rPr>
        <w:t>报告</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根据《商业银行内部人和股东关联交易管理办法》和本行《赣昌农村商业银行股份有限公司关联交易管理办法》规定，现将</w:t>
      </w:r>
      <w:r>
        <w:rPr>
          <w:rFonts w:ascii="仿宋_GB2312" w:eastAsia="仿宋_GB2312" w:hAnsi="仿宋_GB2312" w:cs="仿宋_GB2312" w:hint="eastAsia"/>
          <w:color w:val="000000"/>
          <w:kern w:val="0"/>
          <w:sz w:val="32"/>
          <w:szCs w:val="32"/>
        </w:rPr>
        <w:t>202</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季度</w:t>
      </w:r>
      <w:r>
        <w:rPr>
          <w:rFonts w:ascii="仿宋_GB2312" w:eastAsia="仿宋_GB2312" w:hAnsi="仿宋_GB2312" w:cs="仿宋_GB2312" w:hint="eastAsia"/>
          <w:color w:val="000000"/>
          <w:kern w:val="0"/>
          <w:sz w:val="32"/>
          <w:szCs w:val="32"/>
        </w:rPr>
        <w:t>关联交易情况报告如下：</w:t>
      </w:r>
    </w:p>
    <w:p w:rsidR="006642FC" w:rsidRPr="00B57D62" w:rsidRDefault="00B57D62" w:rsidP="00B57D62">
      <w:pPr>
        <w:widowControl/>
        <w:spacing w:line="560" w:lineRule="exact"/>
        <w:ind w:firstLineChars="200" w:firstLine="640"/>
        <w:rPr>
          <w:rFonts w:ascii="黑体" w:eastAsia="黑体" w:hAnsi="黑体" w:cs="楷体_GB2312"/>
          <w:bCs/>
          <w:color w:val="000000"/>
          <w:kern w:val="0"/>
          <w:sz w:val="32"/>
          <w:szCs w:val="32"/>
        </w:rPr>
      </w:pPr>
      <w:r w:rsidRPr="00B57D62">
        <w:rPr>
          <w:rFonts w:ascii="黑体" w:eastAsia="黑体" w:hAnsi="黑体" w:cs="楷体_GB2312" w:hint="eastAsia"/>
          <w:bCs/>
          <w:color w:val="000000"/>
          <w:kern w:val="0"/>
          <w:sz w:val="32"/>
          <w:szCs w:val="32"/>
        </w:rPr>
        <w:t>一、关联方情况</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截至</w:t>
      </w: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月末，我行无持股</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以上股东。认定关联方</w:t>
      </w:r>
      <w:r>
        <w:rPr>
          <w:rFonts w:ascii="仿宋_GB2312" w:eastAsia="仿宋_GB2312" w:hAnsi="仿宋_GB2312" w:cs="仿宋_GB2312" w:hint="eastAsia"/>
          <w:color w:val="000000"/>
          <w:kern w:val="0"/>
          <w:sz w:val="32"/>
          <w:szCs w:val="32"/>
        </w:rPr>
        <w:t>70</w:t>
      </w:r>
      <w:r>
        <w:rPr>
          <w:rFonts w:ascii="仿宋_GB2312" w:eastAsia="仿宋_GB2312" w:hAnsi="仿宋_GB2312" w:cs="仿宋_GB2312" w:hint="eastAsia"/>
          <w:color w:val="000000"/>
          <w:kern w:val="0"/>
          <w:sz w:val="32"/>
          <w:szCs w:val="32"/>
        </w:rPr>
        <w:t>人（家），涉及关联自然人</w:t>
      </w:r>
      <w:r>
        <w:rPr>
          <w:rFonts w:ascii="仿宋_GB2312" w:eastAsia="仿宋_GB2312" w:hAnsi="仿宋_GB2312" w:cs="仿宋_GB2312" w:hint="eastAsia"/>
          <w:color w:val="000000"/>
          <w:kern w:val="0"/>
          <w:sz w:val="32"/>
          <w:szCs w:val="32"/>
        </w:rPr>
        <w:t>350</w:t>
      </w:r>
      <w:r>
        <w:rPr>
          <w:rFonts w:ascii="仿宋_GB2312" w:eastAsia="仿宋_GB2312" w:hAnsi="仿宋_GB2312" w:cs="仿宋_GB2312" w:hint="eastAsia"/>
          <w:color w:val="000000"/>
          <w:kern w:val="0"/>
          <w:sz w:val="32"/>
          <w:szCs w:val="32"/>
        </w:rPr>
        <w:t>人：分别为本行董事会成员</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人，监事会成员</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人，总行高级管理人员</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人（注：副行长</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人、风险总监</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人、董事会秘书</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人、财务总经理</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人、风险合</w:t>
      </w:r>
      <w:proofErr w:type="gramStart"/>
      <w:r>
        <w:rPr>
          <w:rFonts w:ascii="仿宋_GB2312" w:eastAsia="仿宋_GB2312" w:hAnsi="仿宋_GB2312" w:cs="仿宋_GB2312" w:hint="eastAsia"/>
          <w:color w:val="000000"/>
          <w:kern w:val="0"/>
          <w:sz w:val="32"/>
          <w:szCs w:val="32"/>
        </w:rPr>
        <w:t>规</w:t>
      </w:r>
      <w:proofErr w:type="gramEnd"/>
      <w:r>
        <w:rPr>
          <w:rFonts w:ascii="仿宋_GB2312" w:eastAsia="仿宋_GB2312" w:hAnsi="仿宋_GB2312" w:cs="仿宋_GB2312" w:hint="eastAsia"/>
          <w:color w:val="000000"/>
          <w:kern w:val="0"/>
          <w:sz w:val="32"/>
          <w:szCs w:val="32"/>
        </w:rPr>
        <w:t>部总经理</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人、审计部总经理</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人），具有大额授信等核心业务审批或决策权的人员</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人，支行行长</w:t>
      </w:r>
      <w:r>
        <w:rPr>
          <w:rFonts w:ascii="仿宋_GB2312" w:eastAsia="仿宋_GB2312" w:hAnsi="仿宋_GB2312" w:cs="仿宋_GB2312" w:hint="eastAsia"/>
          <w:color w:val="000000"/>
          <w:kern w:val="0"/>
          <w:sz w:val="32"/>
          <w:szCs w:val="32"/>
        </w:rPr>
        <w:t>40</w:t>
      </w:r>
      <w:r>
        <w:rPr>
          <w:rFonts w:ascii="仿宋_GB2312" w:eastAsia="仿宋_GB2312" w:hAnsi="仿宋_GB2312" w:cs="仿宋_GB2312" w:hint="eastAsia"/>
          <w:color w:val="000000"/>
          <w:kern w:val="0"/>
          <w:sz w:val="32"/>
          <w:szCs w:val="32"/>
        </w:rPr>
        <w:t>人，近亲属</w:t>
      </w:r>
      <w:r>
        <w:rPr>
          <w:rFonts w:ascii="仿宋_GB2312" w:eastAsia="仿宋_GB2312" w:hAnsi="仿宋_GB2312" w:cs="仿宋_GB2312" w:hint="eastAsia"/>
          <w:color w:val="000000"/>
          <w:kern w:val="0"/>
          <w:sz w:val="32"/>
          <w:szCs w:val="32"/>
        </w:rPr>
        <w:t>282</w:t>
      </w:r>
      <w:r>
        <w:rPr>
          <w:rFonts w:ascii="仿宋_GB2312" w:eastAsia="仿宋_GB2312" w:hAnsi="仿宋_GB2312" w:cs="仿宋_GB2312" w:hint="eastAsia"/>
          <w:color w:val="000000"/>
          <w:kern w:val="0"/>
          <w:sz w:val="32"/>
          <w:szCs w:val="32"/>
        </w:rPr>
        <w:t>人；关联法人</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家，分别为南昌市</w:t>
      </w:r>
      <w:proofErr w:type="gramStart"/>
      <w:r>
        <w:rPr>
          <w:rFonts w:ascii="仿宋_GB2312" w:eastAsia="仿宋_GB2312" w:hAnsi="仿宋_GB2312" w:cs="仿宋_GB2312" w:hint="eastAsia"/>
          <w:color w:val="000000"/>
          <w:kern w:val="0"/>
          <w:sz w:val="32"/>
          <w:szCs w:val="32"/>
        </w:rPr>
        <w:t>梦圆春餐饮</w:t>
      </w:r>
      <w:proofErr w:type="gramEnd"/>
      <w:r>
        <w:rPr>
          <w:rFonts w:ascii="仿宋_GB2312" w:eastAsia="仿宋_GB2312" w:hAnsi="仿宋_GB2312" w:cs="仿宋_GB2312" w:hint="eastAsia"/>
          <w:color w:val="000000"/>
          <w:kern w:val="0"/>
          <w:sz w:val="32"/>
          <w:szCs w:val="32"/>
        </w:rPr>
        <w:t>管理有限公司、江西进贤农村商业银行股份有限公司、江西横峰农村商业银行股份有限公司、中禾元丰建设工程有限公司、南昌县明泰养殖科技有限公司</w:t>
      </w:r>
      <w:r>
        <w:rPr>
          <w:rFonts w:ascii="仿宋_GB2312" w:eastAsia="仿宋_GB2312" w:hAnsi="仿宋_GB2312" w:cs="仿宋_GB2312" w:hint="eastAsia"/>
          <w:color w:val="000000"/>
          <w:kern w:val="0"/>
          <w:sz w:val="32"/>
          <w:szCs w:val="32"/>
        </w:rPr>
        <w:t>、南昌县三江春晖综合种养专业合作社、</w:t>
      </w:r>
      <w:proofErr w:type="gramStart"/>
      <w:r>
        <w:rPr>
          <w:rFonts w:ascii="仿宋_GB2312" w:eastAsia="仿宋_GB2312" w:hAnsi="仿宋_GB2312" w:cs="仿宋_GB2312" w:hint="eastAsia"/>
          <w:color w:val="000000"/>
          <w:kern w:val="0"/>
          <w:sz w:val="32"/>
          <w:szCs w:val="32"/>
        </w:rPr>
        <w:t>南昌市丰穗实业</w:t>
      </w:r>
      <w:proofErr w:type="gramEnd"/>
      <w:r>
        <w:rPr>
          <w:rFonts w:ascii="仿宋_GB2312" w:eastAsia="仿宋_GB2312" w:hAnsi="仿宋_GB2312" w:cs="仿宋_GB2312" w:hint="eastAsia"/>
          <w:color w:val="000000"/>
          <w:kern w:val="0"/>
          <w:sz w:val="32"/>
          <w:szCs w:val="32"/>
        </w:rPr>
        <w:t>有限公司、南昌县</w:t>
      </w:r>
      <w:proofErr w:type="gramStart"/>
      <w:r>
        <w:rPr>
          <w:rFonts w:ascii="仿宋_GB2312" w:eastAsia="仿宋_GB2312" w:hAnsi="仿宋_GB2312" w:cs="仿宋_GB2312" w:hint="eastAsia"/>
          <w:color w:val="000000"/>
          <w:kern w:val="0"/>
          <w:sz w:val="32"/>
          <w:szCs w:val="32"/>
        </w:rPr>
        <w:t>丰穗农业</w:t>
      </w:r>
      <w:proofErr w:type="gramEnd"/>
      <w:r>
        <w:rPr>
          <w:rFonts w:ascii="仿宋_GB2312" w:eastAsia="仿宋_GB2312" w:hAnsi="仿宋_GB2312" w:cs="仿宋_GB2312" w:hint="eastAsia"/>
          <w:color w:val="000000"/>
          <w:kern w:val="0"/>
          <w:sz w:val="32"/>
          <w:szCs w:val="32"/>
        </w:rPr>
        <w:t>专业合作社、进贤县</w:t>
      </w:r>
      <w:proofErr w:type="gramStart"/>
      <w:r>
        <w:rPr>
          <w:rFonts w:ascii="仿宋_GB2312" w:eastAsia="仿宋_GB2312" w:hAnsi="仿宋_GB2312" w:cs="仿宋_GB2312" w:hint="eastAsia"/>
          <w:color w:val="000000"/>
          <w:kern w:val="0"/>
          <w:sz w:val="32"/>
          <w:szCs w:val="32"/>
        </w:rPr>
        <w:t>三里丰穗农机</w:t>
      </w:r>
      <w:proofErr w:type="gramEnd"/>
      <w:r>
        <w:rPr>
          <w:rFonts w:ascii="仿宋_GB2312" w:eastAsia="仿宋_GB2312" w:hAnsi="仿宋_GB2312" w:cs="仿宋_GB2312" w:hint="eastAsia"/>
          <w:color w:val="000000"/>
          <w:kern w:val="0"/>
          <w:sz w:val="32"/>
          <w:szCs w:val="32"/>
        </w:rPr>
        <w:t>专业合作社、丰麟科技集团有限公司。</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本季度退出董事一人，其关联人</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人；退出支行行长</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人，其关联方</w:t>
      </w:r>
      <w:r>
        <w:rPr>
          <w:rFonts w:ascii="仿宋_GB2312" w:eastAsia="仿宋_GB2312" w:hAnsi="仿宋_GB2312" w:cs="仿宋_GB2312" w:hint="eastAsia"/>
          <w:color w:val="000000"/>
          <w:kern w:val="0"/>
          <w:sz w:val="32"/>
          <w:szCs w:val="32"/>
        </w:rPr>
        <w:t>15</w:t>
      </w:r>
      <w:r>
        <w:rPr>
          <w:rFonts w:ascii="仿宋_GB2312" w:eastAsia="仿宋_GB2312" w:hAnsi="仿宋_GB2312" w:cs="仿宋_GB2312" w:hint="eastAsia"/>
          <w:color w:val="000000"/>
          <w:kern w:val="0"/>
          <w:sz w:val="32"/>
          <w:szCs w:val="32"/>
        </w:rPr>
        <w:t>人；退出具有大额授信、资产转移、资金运用等核心业务审批或决策权人员</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人，其关联人</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人；增加关联方支行行长</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人，关联人</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人。</w:t>
      </w:r>
    </w:p>
    <w:p w:rsidR="006642FC" w:rsidRPr="00B57D62" w:rsidRDefault="00B57D62" w:rsidP="00B57D62">
      <w:pPr>
        <w:widowControl/>
        <w:spacing w:line="560" w:lineRule="exact"/>
        <w:ind w:firstLineChars="200" w:firstLine="640"/>
        <w:rPr>
          <w:rFonts w:ascii="黑体" w:eastAsia="黑体" w:hAnsi="黑体" w:cs="楷体_GB2312"/>
          <w:bCs/>
          <w:color w:val="000000"/>
          <w:kern w:val="0"/>
          <w:sz w:val="32"/>
          <w:szCs w:val="32"/>
        </w:rPr>
      </w:pPr>
      <w:r w:rsidRPr="00B57D62">
        <w:rPr>
          <w:rFonts w:ascii="黑体" w:eastAsia="黑体" w:hAnsi="黑体" w:cs="楷体_GB2312" w:hint="eastAsia"/>
          <w:bCs/>
          <w:color w:val="000000"/>
          <w:kern w:val="0"/>
          <w:sz w:val="32"/>
          <w:szCs w:val="32"/>
        </w:rPr>
        <w:t>二、关联交易管理制度执行情况</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w:t>
      </w:r>
      <w:r>
        <w:rPr>
          <w:rFonts w:ascii="仿宋_GB2312" w:eastAsia="仿宋_GB2312" w:hAnsi="仿宋_GB2312" w:cs="仿宋_GB2312" w:hint="eastAsia"/>
          <w:color w:val="000000"/>
          <w:kern w:val="0"/>
          <w:sz w:val="32"/>
          <w:szCs w:val="32"/>
        </w:rPr>
        <w:t>、关联交易审批情况。我</w:t>
      </w:r>
      <w:proofErr w:type="gramStart"/>
      <w:r>
        <w:rPr>
          <w:rFonts w:ascii="仿宋_GB2312" w:eastAsia="仿宋_GB2312" w:hAnsi="仿宋_GB2312" w:cs="仿宋_GB2312" w:hint="eastAsia"/>
          <w:color w:val="000000"/>
          <w:kern w:val="0"/>
          <w:sz w:val="32"/>
          <w:szCs w:val="32"/>
        </w:rPr>
        <w:t>行严格</w:t>
      </w:r>
      <w:proofErr w:type="gramEnd"/>
      <w:r>
        <w:rPr>
          <w:rFonts w:ascii="仿宋_GB2312" w:eastAsia="仿宋_GB2312" w:hAnsi="仿宋_GB2312" w:cs="仿宋_GB2312" w:hint="eastAsia"/>
          <w:color w:val="000000"/>
          <w:kern w:val="0"/>
          <w:sz w:val="32"/>
          <w:szCs w:val="32"/>
        </w:rPr>
        <w:t>按照监管机构的有关规定履行关联交易的审批手续，实行关联交易分级审批制度。对与一个关联方之间单笔交易金额占本行资本净额</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以下，且该笔交易发生后本行与该关联方的交易余额占本行资本净额</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以下的交易（一般关联交易），按照内部授权程序审批，并报关联交易控制委员会备案；对与一个关联方之间单笔交易金额占本行资本净额</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以上，或本行与一个关联方发生交易后本行与该关联方的交易余额占本行资本净额</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以上的交易（重大关联交易），由本公司董事会关联交易控制委员会审查后，提交董事会批准。重大关联交易</w:t>
      </w:r>
      <w:r>
        <w:rPr>
          <w:rFonts w:ascii="仿宋_GB2312" w:eastAsia="仿宋_GB2312" w:hAnsi="仿宋_GB2312" w:cs="仿宋_GB2312" w:hint="eastAsia"/>
          <w:color w:val="000000"/>
          <w:kern w:val="0"/>
          <w:sz w:val="32"/>
          <w:szCs w:val="32"/>
        </w:rPr>
        <w:t>在批准之日起</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个工作日内报告监事会，同时报告江西金融监管局</w:t>
      </w:r>
      <w:r>
        <w:rPr>
          <w:rFonts w:ascii="仿宋_GB2312" w:eastAsia="仿宋_GB2312" w:hAnsi="仿宋_GB2312" w:cs="仿宋_GB2312" w:hint="eastAsia"/>
          <w:color w:val="000000"/>
          <w:kern w:val="0"/>
          <w:sz w:val="32"/>
          <w:szCs w:val="32"/>
        </w:rPr>
        <w:t>。</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、关联交易定价情况。我行与关联方的关联交易遵循商业原则，以不优于非关联方同类交易的条件进行。对于</w:t>
      </w:r>
      <w:proofErr w:type="gramStart"/>
      <w:r>
        <w:rPr>
          <w:rFonts w:ascii="仿宋_GB2312" w:eastAsia="仿宋_GB2312" w:hAnsi="仿宋_GB2312" w:cs="仿宋_GB2312" w:hint="eastAsia"/>
          <w:color w:val="000000"/>
          <w:kern w:val="0"/>
          <w:sz w:val="32"/>
          <w:szCs w:val="32"/>
        </w:rPr>
        <w:t>授信类的</w:t>
      </w:r>
      <w:proofErr w:type="gramEnd"/>
      <w:r>
        <w:rPr>
          <w:rFonts w:ascii="仿宋_GB2312" w:eastAsia="仿宋_GB2312" w:hAnsi="仿宋_GB2312" w:cs="仿宋_GB2312" w:hint="eastAsia"/>
          <w:color w:val="000000"/>
          <w:kern w:val="0"/>
          <w:sz w:val="32"/>
          <w:szCs w:val="32"/>
        </w:rPr>
        <w:t>关联交易，我行根据有关授信定价管理办法，并结合关联方客户的评级和风险情况确定相应价格，确保本行关联交易定价的合法性和公允性。</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、监管规定执行情况。根据监管</w:t>
      </w:r>
      <w:bookmarkStart w:id="0" w:name="_GoBack"/>
      <w:bookmarkEnd w:id="0"/>
      <w:r>
        <w:rPr>
          <w:rFonts w:ascii="仿宋_GB2312" w:eastAsia="仿宋_GB2312" w:hAnsi="仿宋_GB2312" w:cs="仿宋_GB2312" w:hint="eastAsia"/>
          <w:color w:val="000000"/>
          <w:kern w:val="0"/>
          <w:sz w:val="32"/>
          <w:szCs w:val="32"/>
        </w:rPr>
        <w:t>规定，商业银行对一个关联方的授信余额不得超过本行资本净额的</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；对一个关联法人或其他组织所在集团客户的授信余额总数不得超过商业银行资本净额的</w:t>
      </w:r>
      <w:r>
        <w:rPr>
          <w:rFonts w:ascii="仿宋_GB2312" w:eastAsia="仿宋_GB2312" w:hAnsi="仿宋_GB2312" w:cs="仿宋_GB2312" w:hint="eastAsia"/>
          <w:color w:val="000000"/>
          <w:kern w:val="0"/>
          <w:sz w:val="32"/>
          <w:szCs w:val="32"/>
        </w:rPr>
        <w:t>15%</w:t>
      </w:r>
      <w:r>
        <w:rPr>
          <w:rFonts w:ascii="仿宋_GB2312" w:eastAsia="仿宋_GB2312" w:hAnsi="仿宋_GB2312" w:cs="仿宋_GB2312" w:hint="eastAsia"/>
          <w:color w:val="000000"/>
          <w:kern w:val="0"/>
          <w:sz w:val="32"/>
          <w:szCs w:val="32"/>
        </w:rPr>
        <w:t>；商业银行对全部关联方</w:t>
      </w:r>
      <w:r>
        <w:rPr>
          <w:rFonts w:ascii="仿宋_GB2312" w:eastAsia="仿宋_GB2312" w:hAnsi="仿宋_GB2312" w:cs="仿宋_GB2312" w:hint="eastAsia"/>
          <w:color w:val="000000"/>
          <w:kern w:val="0"/>
          <w:sz w:val="32"/>
          <w:szCs w:val="32"/>
        </w:rPr>
        <w:t>的授信余额不得超过本行资本净额的</w:t>
      </w:r>
      <w:r>
        <w:rPr>
          <w:rFonts w:ascii="仿宋_GB2312" w:eastAsia="仿宋_GB2312" w:hAnsi="仿宋_GB2312" w:cs="仿宋_GB2312" w:hint="eastAsia"/>
          <w:color w:val="000000"/>
          <w:kern w:val="0"/>
          <w:sz w:val="32"/>
          <w:szCs w:val="32"/>
        </w:rPr>
        <w:t>50%</w:t>
      </w:r>
      <w:r>
        <w:rPr>
          <w:rFonts w:ascii="仿宋_GB2312" w:eastAsia="仿宋_GB2312" w:hAnsi="仿宋_GB2312" w:cs="仿宋_GB2312" w:hint="eastAsia"/>
          <w:color w:val="000000"/>
          <w:kern w:val="0"/>
          <w:sz w:val="32"/>
          <w:szCs w:val="32"/>
        </w:rPr>
        <w:t>。截至报告日，我行本季度关联交易制度执行符合上述监管规定。</w:t>
      </w:r>
    </w:p>
    <w:p w:rsidR="006642FC" w:rsidRPr="00B57D62" w:rsidRDefault="00B57D62" w:rsidP="00B57D62">
      <w:pPr>
        <w:widowControl/>
        <w:spacing w:line="560" w:lineRule="exact"/>
        <w:ind w:firstLineChars="200" w:firstLine="640"/>
        <w:rPr>
          <w:rFonts w:ascii="黑体" w:eastAsia="黑体" w:hAnsi="黑体" w:cs="楷体_GB2312"/>
          <w:bCs/>
          <w:color w:val="000000"/>
          <w:kern w:val="0"/>
          <w:sz w:val="32"/>
          <w:szCs w:val="32"/>
        </w:rPr>
      </w:pPr>
      <w:r w:rsidRPr="00B57D62">
        <w:rPr>
          <w:rFonts w:ascii="黑体" w:eastAsia="黑体" w:hAnsi="黑体" w:cs="楷体_GB2312" w:hint="eastAsia"/>
          <w:bCs/>
          <w:color w:val="000000"/>
          <w:kern w:val="0"/>
          <w:sz w:val="32"/>
          <w:szCs w:val="32"/>
        </w:rPr>
        <w:t>三、关联交易具体情况</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一季度，我行给予</w:t>
      </w: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户关联方审批授信，授</w:t>
      </w:r>
      <w:proofErr w:type="gramStart"/>
      <w:r>
        <w:rPr>
          <w:rFonts w:ascii="仿宋_GB2312" w:eastAsia="仿宋_GB2312" w:hAnsi="仿宋_GB2312" w:cs="仿宋_GB2312" w:hint="eastAsia"/>
          <w:color w:val="000000"/>
          <w:kern w:val="0"/>
          <w:sz w:val="32"/>
          <w:szCs w:val="32"/>
        </w:rPr>
        <w:t>信金额</w:t>
      </w:r>
      <w:proofErr w:type="gramEnd"/>
      <w:r>
        <w:rPr>
          <w:rFonts w:ascii="仿宋_GB2312" w:eastAsia="仿宋_GB2312" w:hAnsi="仿宋_GB2312" w:cs="仿宋_GB2312" w:hint="eastAsia"/>
          <w:color w:val="000000"/>
          <w:kern w:val="0"/>
          <w:sz w:val="32"/>
          <w:szCs w:val="32"/>
        </w:rPr>
        <w:t>1093</w:t>
      </w:r>
      <w:r>
        <w:rPr>
          <w:rFonts w:ascii="仿宋_GB2312" w:eastAsia="仿宋_GB2312" w:hAnsi="仿宋_GB2312" w:cs="仿宋_GB2312" w:hint="eastAsia"/>
          <w:color w:val="000000"/>
          <w:kern w:val="0"/>
          <w:sz w:val="32"/>
          <w:szCs w:val="32"/>
        </w:rPr>
        <w:t>万元，占资本净额的</w:t>
      </w:r>
      <w:r>
        <w:rPr>
          <w:rFonts w:ascii="仿宋_GB2312" w:eastAsia="仿宋_GB2312" w:hAnsi="仿宋_GB2312" w:cs="仿宋_GB2312" w:hint="eastAsia"/>
          <w:color w:val="000000"/>
          <w:kern w:val="0"/>
          <w:sz w:val="32"/>
          <w:szCs w:val="32"/>
        </w:rPr>
        <w:t>0.54%</w:t>
      </w:r>
      <w:r>
        <w:rPr>
          <w:rFonts w:ascii="仿宋_GB2312" w:eastAsia="仿宋_GB2312" w:hAnsi="仿宋_GB2312" w:cs="仿宋_GB2312" w:hint="eastAsia"/>
          <w:color w:val="000000"/>
          <w:kern w:val="0"/>
          <w:sz w:val="32"/>
          <w:szCs w:val="32"/>
        </w:rPr>
        <w:t>，其中董、监、高</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人、授</w:t>
      </w:r>
      <w:proofErr w:type="gramStart"/>
      <w:r>
        <w:rPr>
          <w:rFonts w:ascii="仿宋_GB2312" w:eastAsia="仿宋_GB2312" w:hAnsi="仿宋_GB2312" w:cs="仿宋_GB2312" w:hint="eastAsia"/>
          <w:color w:val="000000"/>
          <w:kern w:val="0"/>
          <w:sz w:val="32"/>
          <w:szCs w:val="32"/>
        </w:rPr>
        <w:t>信金额</w:t>
      </w:r>
      <w:proofErr w:type="gramEnd"/>
      <w:r>
        <w:rPr>
          <w:rFonts w:ascii="仿宋_GB2312" w:eastAsia="仿宋_GB2312" w:hAnsi="仿宋_GB2312" w:cs="仿宋_GB2312" w:hint="eastAsia"/>
          <w:color w:val="000000"/>
          <w:kern w:val="0"/>
          <w:sz w:val="32"/>
          <w:szCs w:val="32"/>
        </w:rPr>
        <w:t>170</w:t>
      </w:r>
      <w:r>
        <w:rPr>
          <w:rFonts w:ascii="仿宋_GB2312" w:eastAsia="仿宋_GB2312" w:hAnsi="仿宋_GB2312" w:cs="仿宋_GB2312" w:hint="eastAsia"/>
          <w:color w:val="000000"/>
          <w:kern w:val="0"/>
          <w:sz w:val="32"/>
          <w:szCs w:val="32"/>
        </w:rPr>
        <w:t>万元，董、监、高配偶、父母、成年子女及兄弟姐妹</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人，授</w:t>
      </w:r>
      <w:proofErr w:type="gramStart"/>
      <w:r>
        <w:rPr>
          <w:rFonts w:ascii="仿宋_GB2312" w:eastAsia="仿宋_GB2312" w:hAnsi="仿宋_GB2312" w:cs="仿宋_GB2312" w:hint="eastAsia"/>
          <w:color w:val="000000"/>
          <w:kern w:val="0"/>
          <w:sz w:val="32"/>
          <w:szCs w:val="32"/>
        </w:rPr>
        <w:t>信金额</w:t>
      </w:r>
      <w:proofErr w:type="gramEnd"/>
      <w:r>
        <w:rPr>
          <w:rFonts w:ascii="仿宋_GB2312" w:eastAsia="仿宋_GB2312" w:hAnsi="仿宋_GB2312" w:cs="仿宋_GB2312" w:hint="eastAsia"/>
          <w:color w:val="000000"/>
          <w:kern w:val="0"/>
          <w:sz w:val="32"/>
          <w:szCs w:val="32"/>
        </w:rPr>
        <w:t>191</w:t>
      </w:r>
      <w:r>
        <w:rPr>
          <w:rFonts w:ascii="仿宋_GB2312" w:eastAsia="仿宋_GB2312" w:hAnsi="仿宋_GB2312" w:cs="仿宋_GB2312" w:hint="eastAsia"/>
          <w:color w:val="000000"/>
          <w:kern w:val="0"/>
          <w:sz w:val="32"/>
          <w:szCs w:val="32"/>
        </w:rPr>
        <w:t>万元，具有大额授信、资产转移、资金运用等核心业务审批或决策权人员配偶、父母、成年子女及兄弟姐妹</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人，授</w:t>
      </w:r>
      <w:proofErr w:type="gramStart"/>
      <w:r>
        <w:rPr>
          <w:rFonts w:ascii="仿宋_GB2312" w:eastAsia="仿宋_GB2312" w:hAnsi="仿宋_GB2312" w:cs="仿宋_GB2312" w:hint="eastAsia"/>
          <w:color w:val="000000"/>
          <w:kern w:val="0"/>
          <w:sz w:val="32"/>
          <w:szCs w:val="32"/>
        </w:rPr>
        <w:t>信金额</w:t>
      </w:r>
      <w:proofErr w:type="gramEnd"/>
      <w:r>
        <w:rPr>
          <w:rFonts w:ascii="仿宋_GB2312" w:eastAsia="仿宋_GB2312" w:hAnsi="仿宋_GB2312" w:cs="仿宋_GB2312" w:hint="eastAsia"/>
          <w:color w:val="000000"/>
          <w:kern w:val="0"/>
          <w:sz w:val="32"/>
          <w:szCs w:val="32"/>
        </w:rPr>
        <w:t>30</w:t>
      </w:r>
      <w:r>
        <w:rPr>
          <w:rFonts w:ascii="仿宋_GB2312" w:eastAsia="仿宋_GB2312" w:hAnsi="仿宋_GB2312" w:cs="仿宋_GB2312" w:hint="eastAsia"/>
          <w:color w:val="000000"/>
          <w:kern w:val="0"/>
          <w:sz w:val="32"/>
          <w:szCs w:val="32"/>
        </w:rPr>
        <w:t>万元，支行行长配偶、父母、成年子女及兄弟姐妹</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人、金额</w:t>
      </w:r>
      <w:r>
        <w:rPr>
          <w:rFonts w:ascii="仿宋_GB2312" w:eastAsia="仿宋_GB2312" w:hAnsi="仿宋_GB2312" w:cs="仿宋_GB2312" w:hint="eastAsia"/>
          <w:color w:val="000000"/>
          <w:kern w:val="0"/>
          <w:sz w:val="32"/>
          <w:szCs w:val="32"/>
        </w:rPr>
        <w:t>702</w:t>
      </w:r>
      <w:r>
        <w:rPr>
          <w:rFonts w:ascii="仿宋_GB2312" w:eastAsia="仿宋_GB2312" w:hAnsi="仿宋_GB2312" w:cs="仿宋_GB2312" w:hint="eastAsia"/>
          <w:color w:val="000000"/>
          <w:kern w:val="0"/>
          <w:sz w:val="32"/>
          <w:szCs w:val="32"/>
        </w:rPr>
        <w:t>万元，最大一户授</w:t>
      </w:r>
      <w:proofErr w:type="gramStart"/>
      <w:r>
        <w:rPr>
          <w:rFonts w:ascii="仿宋_GB2312" w:eastAsia="仿宋_GB2312" w:hAnsi="仿宋_GB2312" w:cs="仿宋_GB2312" w:hint="eastAsia"/>
          <w:color w:val="000000"/>
          <w:kern w:val="0"/>
          <w:sz w:val="32"/>
          <w:szCs w:val="32"/>
        </w:rPr>
        <w:t>信金额</w:t>
      </w:r>
      <w:proofErr w:type="gramEnd"/>
      <w:r>
        <w:rPr>
          <w:rFonts w:ascii="仿宋_GB2312" w:eastAsia="仿宋_GB2312" w:hAnsi="仿宋_GB2312" w:cs="仿宋_GB2312" w:hint="eastAsia"/>
          <w:color w:val="000000"/>
          <w:kern w:val="0"/>
          <w:sz w:val="32"/>
          <w:szCs w:val="32"/>
        </w:rPr>
        <w:t>160</w:t>
      </w:r>
      <w:r>
        <w:rPr>
          <w:rFonts w:ascii="仿宋_GB2312" w:eastAsia="仿宋_GB2312" w:hAnsi="仿宋_GB2312" w:cs="仿宋_GB2312" w:hint="eastAsia"/>
          <w:color w:val="000000"/>
          <w:kern w:val="0"/>
          <w:sz w:val="32"/>
          <w:szCs w:val="32"/>
        </w:rPr>
        <w:t>万元。</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2024</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月末，我行资本净额</w:t>
      </w:r>
      <w:r>
        <w:rPr>
          <w:rFonts w:ascii="仿宋_GB2312" w:eastAsia="仿宋_GB2312" w:hAnsi="仿宋_GB2312" w:cs="仿宋_GB2312" w:hint="eastAsia"/>
          <w:color w:val="000000"/>
          <w:kern w:val="0"/>
          <w:sz w:val="32"/>
          <w:szCs w:val="32"/>
        </w:rPr>
        <w:t xml:space="preserve"> 203071.74 </w:t>
      </w:r>
      <w:r>
        <w:rPr>
          <w:rFonts w:ascii="仿宋_GB2312" w:eastAsia="仿宋_GB2312" w:hAnsi="仿宋_GB2312" w:cs="仿宋_GB2312" w:hint="eastAsia"/>
          <w:color w:val="000000"/>
          <w:kern w:val="0"/>
          <w:sz w:val="32"/>
          <w:szCs w:val="32"/>
        </w:rPr>
        <w:t>万元，本行与全部关联方关联交易贷款</w:t>
      </w:r>
      <w:r>
        <w:rPr>
          <w:rFonts w:ascii="仿宋_GB2312" w:eastAsia="仿宋_GB2312" w:hAnsi="仿宋_GB2312" w:cs="仿宋_GB2312" w:hint="eastAsia"/>
          <w:color w:val="000000"/>
          <w:kern w:val="0"/>
          <w:sz w:val="32"/>
          <w:szCs w:val="32"/>
        </w:rPr>
        <w:t>131</w:t>
      </w:r>
      <w:r>
        <w:rPr>
          <w:rFonts w:ascii="仿宋_GB2312" w:eastAsia="仿宋_GB2312" w:hAnsi="仿宋_GB2312" w:cs="仿宋_GB2312" w:hint="eastAsia"/>
          <w:color w:val="000000"/>
          <w:kern w:val="0"/>
          <w:sz w:val="32"/>
          <w:szCs w:val="32"/>
        </w:rPr>
        <w:t>笔、发放贷款金额</w:t>
      </w:r>
      <w:r>
        <w:rPr>
          <w:rFonts w:ascii="仿宋_GB2312" w:eastAsia="仿宋_GB2312" w:hAnsi="仿宋_GB2312" w:cs="仿宋_GB2312" w:hint="eastAsia"/>
          <w:color w:val="000000"/>
          <w:kern w:val="0"/>
          <w:sz w:val="32"/>
          <w:szCs w:val="32"/>
        </w:rPr>
        <w:t>3248.5</w:t>
      </w:r>
      <w:r>
        <w:rPr>
          <w:rFonts w:ascii="仿宋_GB2312" w:eastAsia="仿宋_GB2312" w:hAnsi="仿宋_GB2312" w:cs="仿宋_GB2312" w:hint="eastAsia"/>
          <w:color w:val="000000"/>
          <w:kern w:val="0"/>
          <w:sz w:val="32"/>
          <w:szCs w:val="32"/>
        </w:rPr>
        <w:t>万元（均关联自然人），占资本净额</w:t>
      </w:r>
      <w:r>
        <w:rPr>
          <w:rFonts w:ascii="仿宋_GB2312" w:eastAsia="仿宋_GB2312" w:hAnsi="仿宋_GB2312" w:cs="仿宋_GB2312" w:hint="eastAsia"/>
          <w:color w:val="000000"/>
          <w:kern w:val="0"/>
          <w:sz w:val="32"/>
          <w:szCs w:val="32"/>
        </w:rPr>
        <w:t>1.6%</w:t>
      </w:r>
      <w:r>
        <w:rPr>
          <w:rFonts w:ascii="仿宋_GB2312" w:eastAsia="仿宋_GB2312" w:hAnsi="仿宋_GB2312" w:cs="仿宋_GB2312" w:hint="eastAsia"/>
          <w:color w:val="000000"/>
          <w:kern w:val="0"/>
          <w:sz w:val="32"/>
          <w:szCs w:val="32"/>
        </w:rPr>
        <w:t>。</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上述关联交易均为一般关联交易，操作规范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没有发现违规交易</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没有造成资金损失和流失。</w:t>
      </w:r>
    </w:p>
    <w:p w:rsidR="006642FC" w:rsidRDefault="00B57D62">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我行未发生与关联方的资产转移和提供服务等交易情况。</w:t>
      </w:r>
    </w:p>
    <w:p w:rsidR="006642FC" w:rsidRDefault="006642FC">
      <w:pPr>
        <w:widowControl/>
        <w:ind w:firstLineChars="200" w:firstLine="640"/>
        <w:rPr>
          <w:rFonts w:ascii="仿宋_GB2312" w:eastAsia="仿宋_GB2312" w:hAnsi="仿宋_GB2312" w:cs="仿宋_GB2312"/>
          <w:color w:val="000000"/>
          <w:kern w:val="0"/>
          <w:sz w:val="32"/>
          <w:szCs w:val="32"/>
        </w:rPr>
      </w:pPr>
    </w:p>
    <w:p w:rsidR="006642FC" w:rsidRDefault="00B57D62">
      <w:pPr>
        <w:widowControl/>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p>
    <w:sectPr w:rsidR="006642F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D62">
      <w:r>
        <w:separator/>
      </w:r>
    </w:p>
  </w:endnote>
  <w:endnote w:type="continuationSeparator" w:id="0">
    <w:p w:rsidR="00000000" w:rsidRDefault="00B5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FC" w:rsidRDefault="006642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D62">
      <w:r>
        <w:separator/>
      </w:r>
    </w:p>
  </w:footnote>
  <w:footnote w:type="continuationSeparator" w:id="0">
    <w:p w:rsidR="00000000" w:rsidRDefault="00B5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FC" w:rsidRDefault="006642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33A3"/>
    <w:rsid w:val="006642FC"/>
    <w:rsid w:val="00AE309E"/>
    <w:rsid w:val="00B5617D"/>
    <w:rsid w:val="00B57D62"/>
    <w:rsid w:val="00BD7C34"/>
    <w:rsid w:val="00D57BE1"/>
    <w:rsid w:val="01BA37B7"/>
    <w:rsid w:val="01EC5B0C"/>
    <w:rsid w:val="02BA37C7"/>
    <w:rsid w:val="02E40801"/>
    <w:rsid w:val="03E62EB8"/>
    <w:rsid w:val="067147F5"/>
    <w:rsid w:val="07B903FE"/>
    <w:rsid w:val="09C62FF5"/>
    <w:rsid w:val="0A2C0C47"/>
    <w:rsid w:val="0AE75354"/>
    <w:rsid w:val="0BB407BB"/>
    <w:rsid w:val="0C12504B"/>
    <w:rsid w:val="0C1C7168"/>
    <w:rsid w:val="0CAA4537"/>
    <w:rsid w:val="0D1B251F"/>
    <w:rsid w:val="0D6C09AC"/>
    <w:rsid w:val="0D7E2225"/>
    <w:rsid w:val="0E7B09F8"/>
    <w:rsid w:val="0E806628"/>
    <w:rsid w:val="0ED0167F"/>
    <w:rsid w:val="0FB4654F"/>
    <w:rsid w:val="0FDD2B76"/>
    <w:rsid w:val="10EA6E7A"/>
    <w:rsid w:val="111F17E3"/>
    <w:rsid w:val="1199195D"/>
    <w:rsid w:val="122E4734"/>
    <w:rsid w:val="13742607"/>
    <w:rsid w:val="13DF7D8C"/>
    <w:rsid w:val="15AE7D17"/>
    <w:rsid w:val="17B347E5"/>
    <w:rsid w:val="18DC455C"/>
    <w:rsid w:val="1A1C4B2D"/>
    <w:rsid w:val="1D3765BD"/>
    <w:rsid w:val="1ECF3D54"/>
    <w:rsid w:val="1F2C27A4"/>
    <w:rsid w:val="20291087"/>
    <w:rsid w:val="206E7C5B"/>
    <w:rsid w:val="20810DB1"/>
    <w:rsid w:val="2119355C"/>
    <w:rsid w:val="21BA5457"/>
    <w:rsid w:val="22D36125"/>
    <w:rsid w:val="237D2649"/>
    <w:rsid w:val="23FB3382"/>
    <w:rsid w:val="28A27B40"/>
    <w:rsid w:val="28E9249D"/>
    <w:rsid w:val="298657FE"/>
    <w:rsid w:val="2AA321FD"/>
    <w:rsid w:val="2AB83FDB"/>
    <w:rsid w:val="2AF260C7"/>
    <w:rsid w:val="2B71012F"/>
    <w:rsid w:val="2C2A5C03"/>
    <w:rsid w:val="2C6246DB"/>
    <w:rsid w:val="2D2F5E2A"/>
    <w:rsid w:val="2DDA0725"/>
    <w:rsid w:val="2E111507"/>
    <w:rsid w:val="2F9D7599"/>
    <w:rsid w:val="2FD66851"/>
    <w:rsid w:val="30B740E3"/>
    <w:rsid w:val="30E835A5"/>
    <w:rsid w:val="3168427F"/>
    <w:rsid w:val="32370972"/>
    <w:rsid w:val="33A12025"/>
    <w:rsid w:val="34F953CC"/>
    <w:rsid w:val="358B22FC"/>
    <w:rsid w:val="367E05FF"/>
    <w:rsid w:val="36ED078D"/>
    <w:rsid w:val="37E356B8"/>
    <w:rsid w:val="38930F4C"/>
    <w:rsid w:val="39457070"/>
    <w:rsid w:val="396F1BFA"/>
    <w:rsid w:val="39FE3D1E"/>
    <w:rsid w:val="3BA62B3E"/>
    <w:rsid w:val="3C11626D"/>
    <w:rsid w:val="3C623BB8"/>
    <w:rsid w:val="3D6059BF"/>
    <w:rsid w:val="3DFB09A8"/>
    <w:rsid w:val="3FA112B8"/>
    <w:rsid w:val="406A2976"/>
    <w:rsid w:val="410A29E4"/>
    <w:rsid w:val="41570C2A"/>
    <w:rsid w:val="420019E2"/>
    <w:rsid w:val="425E4F3C"/>
    <w:rsid w:val="429700BD"/>
    <w:rsid w:val="42E30DAD"/>
    <w:rsid w:val="42EC7A40"/>
    <w:rsid w:val="42F5190E"/>
    <w:rsid w:val="43004854"/>
    <w:rsid w:val="43AB2BDC"/>
    <w:rsid w:val="4436178F"/>
    <w:rsid w:val="44AA32C1"/>
    <w:rsid w:val="45000981"/>
    <w:rsid w:val="46BD5E61"/>
    <w:rsid w:val="47477234"/>
    <w:rsid w:val="47800FCD"/>
    <w:rsid w:val="4831375E"/>
    <w:rsid w:val="48D80102"/>
    <w:rsid w:val="49CA635B"/>
    <w:rsid w:val="49F02BB6"/>
    <w:rsid w:val="4A597AFF"/>
    <w:rsid w:val="4A5A1FF4"/>
    <w:rsid w:val="4A6B0494"/>
    <w:rsid w:val="4E972CD1"/>
    <w:rsid w:val="4ECD4FF8"/>
    <w:rsid w:val="51A63505"/>
    <w:rsid w:val="527874BC"/>
    <w:rsid w:val="55C45DEA"/>
    <w:rsid w:val="55FC7D75"/>
    <w:rsid w:val="563A5372"/>
    <w:rsid w:val="57632EFE"/>
    <w:rsid w:val="59867EBE"/>
    <w:rsid w:val="59DC2972"/>
    <w:rsid w:val="5D541521"/>
    <w:rsid w:val="5D795CD4"/>
    <w:rsid w:val="5DB2243B"/>
    <w:rsid w:val="5DBA7A10"/>
    <w:rsid w:val="5F580CEA"/>
    <w:rsid w:val="5FC26E25"/>
    <w:rsid w:val="5FDA0BC7"/>
    <w:rsid w:val="61C10052"/>
    <w:rsid w:val="62874B1A"/>
    <w:rsid w:val="62C36102"/>
    <w:rsid w:val="63DC6329"/>
    <w:rsid w:val="64DC5C88"/>
    <w:rsid w:val="64ED744F"/>
    <w:rsid w:val="65C979C8"/>
    <w:rsid w:val="665D2CAD"/>
    <w:rsid w:val="66873B3E"/>
    <w:rsid w:val="66924FF2"/>
    <w:rsid w:val="669D7060"/>
    <w:rsid w:val="66F50FA2"/>
    <w:rsid w:val="6840328C"/>
    <w:rsid w:val="687E756E"/>
    <w:rsid w:val="693408A3"/>
    <w:rsid w:val="6A272335"/>
    <w:rsid w:val="6B58638B"/>
    <w:rsid w:val="6C5E272B"/>
    <w:rsid w:val="6C731328"/>
    <w:rsid w:val="6ED528A1"/>
    <w:rsid w:val="6F463607"/>
    <w:rsid w:val="6F721CA0"/>
    <w:rsid w:val="70257B7A"/>
    <w:rsid w:val="70A6349E"/>
    <w:rsid w:val="70D14415"/>
    <w:rsid w:val="72381751"/>
    <w:rsid w:val="75346986"/>
    <w:rsid w:val="75543BB3"/>
    <w:rsid w:val="777D69C0"/>
    <w:rsid w:val="77F672CA"/>
    <w:rsid w:val="795E6F3A"/>
    <w:rsid w:val="7A677636"/>
    <w:rsid w:val="7B104E49"/>
    <w:rsid w:val="7C397A1D"/>
    <w:rsid w:val="7CD13D7E"/>
    <w:rsid w:val="7DDF5947"/>
    <w:rsid w:val="7E76984F"/>
    <w:rsid w:val="7F6D0623"/>
    <w:rsid w:val="7F9D44DE"/>
    <w:rsid w:val="7FBF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1"/>
    <w:uiPriority w:val="99"/>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仿宋_GB2312" w:eastAsia="仿宋_GB2312" w:cs="仿宋_GB2312" w:hint="eastAsia"/>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仿宋_GB2312" w:eastAsia="仿宋_GB2312" w:cs="仿宋_GB2312" w:hint="eastAsia"/>
      <w:color w:val="000000"/>
      <w:sz w:val="18"/>
      <w:szCs w:val="18"/>
      <w:u w:val="none"/>
    </w:rPr>
  </w:style>
  <w:style w:type="character" w:customStyle="1" w:styleId="font01">
    <w:name w:val="font01"/>
    <w:basedOn w:val="a1"/>
    <w:qFormat/>
    <w:rPr>
      <w:rFonts w:ascii="仿宋" w:eastAsia="仿宋" w:hAnsi="仿宋" w:cs="仿宋"/>
      <w:color w:val="000000"/>
      <w:sz w:val="21"/>
      <w:szCs w:val="21"/>
      <w:u w:val="none"/>
    </w:rPr>
  </w:style>
  <w:style w:type="paragraph" w:customStyle="1" w:styleId="r02">
    <w:name w:val="r_0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12">
    <w:name w:val="r_1_2"/>
    <w:basedOn w:val="a1"/>
    <w:qFormat/>
  </w:style>
  <w:style w:type="paragraph" w:customStyle="1" w:styleId="r22">
    <w:name w:val="r_2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32">
    <w:name w:val="r_3_2"/>
    <w:basedOn w:val="a1"/>
    <w:qFormat/>
  </w:style>
  <w:style w:type="character" w:customStyle="1" w:styleId="r42">
    <w:name w:val="r_4_2"/>
    <w:basedOn w:val="a1"/>
    <w:qFormat/>
  </w:style>
  <w:style w:type="paragraph" w:customStyle="1" w:styleId="r52">
    <w:name w:val="r_5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521">
    <w:name w:val="r_5_21"/>
    <w:basedOn w:val="a1"/>
    <w:qFormat/>
  </w:style>
  <w:style w:type="paragraph" w:customStyle="1" w:styleId="r62">
    <w:name w:val="r_6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621">
    <w:name w:val="r_6_21"/>
    <w:basedOn w:val="a1"/>
    <w:qFormat/>
  </w:style>
  <w:style w:type="character" w:customStyle="1" w:styleId="r031">
    <w:name w:val="r_0_31"/>
    <w:basedOn w:val="a1"/>
    <w:qFormat/>
  </w:style>
  <w:style w:type="paragraph" w:customStyle="1" w:styleId="r03">
    <w:name w:val="r_0_3"/>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1"/>
    <w:uiPriority w:val="99"/>
    <w:unhideWhenUsed/>
    <w:qFormat/>
    <w:rPr>
      <w:color w:val="0000FF"/>
      <w:u w:val="single"/>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仿宋_GB2312" w:eastAsia="仿宋_GB2312" w:cs="仿宋_GB2312" w:hint="eastAsia"/>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仿宋_GB2312" w:eastAsia="仿宋_GB2312" w:cs="仿宋_GB2312" w:hint="eastAsia"/>
      <w:color w:val="000000"/>
      <w:sz w:val="18"/>
      <w:szCs w:val="18"/>
      <w:u w:val="none"/>
    </w:rPr>
  </w:style>
  <w:style w:type="character" w:customStyle="1" w:styleId="font01">
    <w:name w:val="font01"/>
    <w:basedOn w:val="a1"/>
    <w:qFormat/>
    <w:rPr>
      <w:rFonts w:ascii="仿宋" w:eastAsia="仿宋" w:hAnsi="仿宋" w:cs="仿宋"/>
      <w:color w:val="000000"/>
      <w:sz w:val="21"/>
      <w:szCs w:val="21"/>
      <w:u w:val="none"/>
    </w:rPr>
  </w:style>
  <w:style w:type="paragraph" w:customStyle="1" w:styleId="r02">
    <w:name w:val="r_0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12">
    <w:name w:val="r_1_2"/>
    <w:basedOn w:val="a1"/>
    <w:qFormat/>
  </w:style>
  <w:style w:type="paragraph" w:customStyle="1" w:styleId="r22">
    <w:name w:val="r_2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32">
    <w:name w:val="r_3_2"/>
    <w:basedOn w:val="a1"/>
    <w:qFormat/>
  </w:style>
  <w:style w:type="character" w:customStyle="1" w:styleId="r42">
    <w:name w:val="r_4_2"/>
    <w:basedOn w:val="a1"/>
    <w:qFormat/>
  </w:style>
  <w:style w:type="paragraph" w:customStyle="1" w:styleId="r52">
    <w:name w:val="r_5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521">
    <w:name w:val="r_5_21"/>
    <w:basedOn w:val="a1"/>
    <w:qFormat/>
  </w:style>
  <w:style w:type="paragraph" w:customStyle="1" w:styleId="r62">
    <w:name w:val="r_6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r621">
    <w:name w:val="r_6_21"/>
    <w:basedOn w:val="a1"/>
    <w:qFormat/>
  </w:style>
  <w:style w:type="character" w:customStyle="1" w:styleId="r031">
    <w:name w:val="r_0_31"/>
    <w:basedOn w:val="a1"/>
    <w:qFormat/>
  </w:style>
  <w:style w:type="paragraph" w:customStyle="1" w:styleId="r03">
    <w:name w:val="r_0_3"/>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219</Words>
  <Characters>1254</Characters>
  <Application>Microsoft Office Word</Application>
  <DocSecurity>0</DocSecurity>
  <Lines>10</Lines>
  <Paragraphs>2</Paragraphs>
  <ScaleCrop>false</ScaleCrop>
  <Company>Company</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匿名用户</cp:lastModifiedBy>
  <cp:revision>3</cp:revision>
  <cp:lastPrinted>2024-05-22T07:50:00Z</cp:lastPrinted>
  <dcterms:created xsi:type="dcterms:W3CDTF">2025-02-19T09:43:00Z</dcterms:created>
  <dcterms:modified xsi:type="dcterms:W3CDTF">2025-02-19T09:45:00Z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