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D955">
      <w:pPr>
        <w:pStyle w:val="2"/>
      </w:pPr>
    </w:p>
    <w:p w14:paraId="5AE33C7F">
      <w:pPr>
        <w:widowControl/>
        <w:kinsoku w:val="0"/>
        <w:autoSpaceDE w:val="0"/>
        <w:autoSpaceDN w:val="0"/>
        <w:spacing w:before="0" w:after="0" w:line="220" w:lineRule="exact"/>
        <w:ind w:left="0" w:right="0"/>
      </w:pPr>
    </w:p>
    <w:p w14:paraId="01E4507D">
      <w:pPr>
        <w:widowControl/>
        <w:kinsoku w:val="0"/>
        <w:autoSpaceDE w:val="0"/>
        <w:autoSpaceDN w:val="0"/>
        <w:spacing w:before="0" w:after="0" w:line="220" w:lineRule="exact"/>
        <w:ind w:left="0" w:right="0"/>
      </w:pPr>
    </w:p>
    <w:p w14:paraId="0A08F83F">
      <w:pPr>
        <w:widowControl/>
        <w:kinsoku w:val="0"/>
        <w:autoSpaceDE w:val="0"/>
        <w:autoSpaceDN w:val="0"/>
        <w:spacing w:before="0" w:after="0" w:line="220" w:lineRule="exact"/>
        <w:ind w:left="0" w:right="0"/>
      </w:pPr>
    </w:p>
    <w:p w14:paraId="4200616C">
      <w:pPr>
        <w:widowControl/>
        <w:kinsoku w:val="0"/>
        <w:autoSpaceDE w:val="0"/>
        <w:autoSpaceDN w:val="0"/>
        <w:spacing w:before="0" w:after="0" w:line="220" w:lineRule="exact"/>
        <w:ind w:left="0" w:right="0"/>
      </w:pPr>
    </w:p>
    <w:p w14:paraId="3EA965DF">
      <w:pPr>
        <w:widowControl/>
        <w:kinsoku w:val="0"/>
        <w:autoSpaceDE w:val="0"/>
        <w:autoSpaceDN w:val="0"/>
        <w:spacing w:before="0" w:after="0" w:line="220" w:lineRule="exact"/>
        <w:ind w:left="0" w:right="0"/>
      </w:pPr>
    </w:p>
    <w:p w14:paraId="664516ED">
      <w:pPr>
        <w:widowControl/>
        <w:kinsoku w:val="0"/>
        <w:autoSpaceDE w:val="0"/>
        <w:autoSpaceDN w:val="0"/>
        <w:spacing w:before="154" w:after="0" w:line="259" w:lineRule="auto"/>
        <w:ind w:left="1152" w:right="1296" w:firstLine="0"/>
        <w:jc w:val="center"/>
      </w:pPr>
      <w:bookmarkStart w:id="25" w:name="_GoBack"/>
      <w:r>
        <w:rPr>
          <w:rFonts w:ascii="宋体" w:hAnsi="宋体" w:eastAsia="宋体"/>
          <w:b/>
          <w:i w:val="0"/>
          <w:color w:val="15171D"/>
          <w:spacing w:val="-4"/>
          <w:w w:val="100"/>
          <w:sz w:val="40"/>
        </w:rPr>
        <w:t>江西</w:t>
      </w:r>
      <w:r>
        <w:rPr>
          <w:rFonts w:hint="eastAsia" w:ascii="宋体" w:hAnsi="宋体" w:eastAsia="宋体"/>
          <w:b/>
          <w:i w:val="0"/>
          <w:color w:val="15171D"/>
          <w:spacing w:val="-4"/>
          <w:w w:val="100"/>
          <w:sz w:val="40"/>
          <w:lang w:val="en-US" w:eastAsia="zh-CN"/>
        </w:rPr>
        <w:t>赣昌</w:t>
      </w:r>
      <w:r>
        <w:rPr>
          <w:rFonts w:ascii="宋体" w:hAnsi="宋体" w:eastAsia="宋体"/>
          <w:b/>
          <w:i w:val="0"/>
          <w:color w:val="15171D"/>
          <w:spacing w:val="-4"/>
          <w:w w:val="100"/>
          <w:sz w:val="40"/>
        </w:rPr>
        <w:t>农村商业银行股份有限公司</w:t>
      </w:r>
      <w:r>
        <w:rPr>
          <w:rFonts w:ascii="Times New Roman" w:hAnsi="Times New Roman"/>
          <w:spacing w:val="92"/>
          <w:sz w:val="22"/>
        </w:rPr>
        <w:t xml:space="preserve"> </w:t>
      </w:r>
      <w:r>
        <w:rPr>
          <w:rFonts w:ascii="宋体" w:hAnsi="宋体" w:eastAsia="宋体"/>
          <w:b/>
          <w:i w:val="0"/>
          <w:color w:val="15171D"/>
          <w:spacing w:val="-4"/>
          <w:w w:val="100"/>
          <w:sz w:val="40"/>
        </w:rPr>
        <w:t>股票定向发行情况报告书</w:t>
      </w:r>
    </w:p>
    <w:bookmarkEnd w:id="25"/>
    <w:p w14:paraId="03DBB6A5">
      <w:pPr>
        <w:widowControl/>
        <w:kinsoku w:val="0"/>
        <w:autoSpaceDE w:val="0"/>
        <w:autoSpaceDN w:val="0"/>
        <w:spacing w:before="358" w:after="0" w:line="185" w:lineRule="auto"/>
        <w:ind w:left="0" w:right="0" w:firstLine="0"/>
        <w:jc w:val="center"/>
      </w:pPr>
      <w:r>
        <w:rPr>
          <w:rFonts w:ascii="宋体" w:hAnsi="宋体" w:eastAsia="宋体"/>
          <w:b/>
          <w:i w:val="0"/>
          <w:color w:val="15171D"/>
          <w:spacing w:val="16"/>
          <w:w w:val="100"/>
          <w:sz w:val="23"/>
        </w:rPr>
        <w:t>（江西省南昌市</w:t>
      </w:r>
      <w:r>
        <w:rPr>
          <w:rFonts w:hint="eastAsia" w:ascii="宋体" w:hAnsi="宋体" w:eastAsia="宋体"/>
          <w:b/>
          <w:i w:val="0"/>
          <w:color w:val="15171D"/>
          <w:spacing w:val="16"/>
          <w:w w:val="100"/>
          <w:sz w:val="23"/>
          <w:lang w:val="en-US" w:eastAsia="zh-CN"/>
        </w:rPr>
        <w:t>南昌县莲塘镇澄湖西路488号</w:t>
      </w:r>
      <w:r>
        <w:rPr>
          <w:rFonts w:ascii="宋体" w:hAnsi="宋体" w:eastAsia="宋体"/>
          <w:b/>
          <w:i w:val="0"/>
          <w:color w:val="15171D"/>
          <w:spacing w:val="0"/>
          <w:w w:val="100"/>
          <w:sz w:val="23"/>
        </w:rPr>
        <w:t>）</w:t>
      </w:r>
    </w:p>
    <w:p w14:paraId="6B35E07C">
      <w:pPr>
        <w:widowControl/>
        <w:kinsoku w:val="0"/>
        <w:autoSpaceDE w:val="0"/>
        <w:autoSpaceDN w:val="0"/>
        <w:spacing w:before="9994" w:after="0" w:line="185" w:lineRule="auto"/>
        <w:ind w:left="0" w:right="0" w:firstLine="0"/>
        <w:jc w:val="center"/>
      </w:pPr>
      <w:r>
        <w:rPr>
          <w:rFonts w:ascii="宋体" w:hAnsi="宋体" w:eastAsia="宋体"/>
          <w:b/>
          <w:i w:val="0"/>
          <w:color w:val="15171D"/>
          <w:spacing w:val="4"/>
          <w:w w:val="100"/>
          <w:sz w:val="30"/>
        </w:rPr>
        <w:t>2026年</w:t>
      </w:r>
      <w:r>
        <w:rPr>
          <w:rFonts w:hint="eastAsia" w:ascii="宋体" w:hAnsi="宋体" w:eastAsia="宋体"/>
          <w:b/>
          <w:i w:val="0"/>
          <w:color w:val="15171D"/>
          <w:spacing w:val="4"/>
          <w:w w:val="100"/>
          <w:sz w:val="30"/>
          <w:lang w:val="en-US" w:eastAsia="zh-CN"/>
        </w:rPr>
        <w:t>2</w:t>
      </w:r>
      <w:r>
        <w:rPr>
          <w:rFonts w:ascii="宋体" w:hAnsi="宋体" w:eastAsia="宋体"/>
          <w:b/>
          <w:i w:val="0"/>
          <w:color w:val="15171D"/>
          <w:spacing w:val="4"/>
          <w:w w:val="100"/>
          <w:sz w:val="30"/>
        </w:rPr>
        <w:t>月</w:t>
      </w:r>
      <w:r>
        <w:rPr>
          <w:rFonts w:ascii="Times New Roman" w:hAnsi="Times New Roman"/>
          <w:spacing w:val="70"/>
          <w:sz w:val="22"/>
        </w:rPr>
        <w:t xml:space="preserve"> </w:t>
      </w:r>
    </w:p>
    <w:p w14:paraId="6890549F">
      <w:pPr>
        <w:sectPr>
          <w:footerReference r:id="rId5" w:type="default"/>
          <w:pgSz w:w="11840" w:h="16800"/>
          <w:pgMar w:top="1440" w:right="1440" w:bottom="779" w:left="1440" w:header="720" w:footer="720" w:gutter="0"/>
          <w:cols w:space="720" w:num="1"/>
          <w:docGrid w:linePitch="360" w:charSpace="0"/>
        </w:sectPr>
      </w:pPr>
    </w:p>
    <w:p w14:paraId="2B0A7CBC">
      <w:pPr>
        <w:spacing w:before="0" w:after="0" w:line="0" w:lineRule="auto"/>
      </w:pPr>
      <w:r>
        <w:rPr>
          <w:vanish/>
          <w:sz w:val="0"/>
        </w:rPr>
        <w:t xml:space="preserve"> </w:t>
      </w:r>
      <w:r>
        <w:drawing>
          <wp:anchor distT="0" distB="0" distL="0" distR="0" simplePos="0" relativeHeight="251659264" behindDoc="1" locked="0" layoutInCell="1" allowOverlap="1">
            <wp:simplePos x="0" y="0"/>
            <wp:positionH relativeFrom="page">
              <wp:posOffset>5080</wp:posOffset>
            </wp:positionH>
            <wp:positionV relativeFrom="page">
              <wp:posOffset>6959600</wp:posOffset>
            </wp:positionV>
            <wp:extent cx="307340" cy="1113790"/>
            <wp:effectExtent l="0" t="0" r="16510" b="10160"/>
            <wp:wrapNone/>
            <wp:docPr id="9817" name="Picture 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 name="Picture 9817"/>
                    <pic:cNvPicPr>
                      <a:picLocks noChangeAspect="1"/>
                    </pic:cNvPicPr>
                  </pic:nvPicPr>
                  <pic:blipFill>
                    <a:blip r:embed="rId7"/>
                    <a:stretch>
                      <a:fillRect/>
                    </a:stretch>
                  </pic:blipFill>
                  <pic:spPr>
                    <a:xfrm>
                      <a:off x="0" y="0"/>
                      <a:ext cx="307340" cy="1113790"/>
                    </a:xfrm>
                    <a:prstGeom prst="rect">
                      <a:avLst/>
                    </a:prstGeom>
                  </pic:spPr>
                </pic:pic>
              </a:graphicData>
            </a:graphic>
          </wp:anchor>
        </w:drawing>
      </w:r>
    </w:p>
    <w:p w14:paraId="773CB44C">
      <w:pPr>
        <w:spacing w:before="0" w:after="0" w:line="0" w:lineRule="auto"/>
      </w:pPr>
      <w:r>
        <w:rPr>
          <w:vanish/>
          <w:sz w:val="0"/>
        </w:rPr>
        <w:t xml:space="preserve"> </w:t>
      </w:r>
    </w:p>
    <w:p w14:paraId="53B81C84">
      <w:pPr>
        <w:spacing w:before="0" w:after="0" w:line="0" w:lineRule="auto"/>
      </w:pPr>
      <w:r>
        <w:rPr>
          <w:vanish/>
          <w:sz w:val="0"/>
        </w:rPr>
        <w:t xml:space="preserve"> </w:t>
      </w:r>
    </w:p>
    <w:p w14:paraId="1DDADAB5">
      <w:pPr>
        <w:spacing w:before="0" w:after="0" w:line="0" w:lineRule="auto"/>
      </w:pPr>
      <w:r>
        <w:rPr>
          <w:vanish/>
          <w:sz w:val="0"/>
        </w:rPr>
        <w:t xml:space="preserve"> </w:t>
      </w:r>
    </w:p>
    <w:p w14:paraId="2079119C">
      <w:pPr>
        <w:spacing w:before="0" w:after="0" w:line="0" w:lineRule="auto"/>
      </w:pPr>
      <w:r>
        <w:rPr>
          <w:vanish/>
          <w:sz w:val="0"/>
        </w:rPr>
        <w:t xml:space="preserve"> </w:t>
      </w:r>
    </w:p>
    <w:p w14:paraId="3F40EBC8">
      <w:pPr>
        <w:widowControl/>
        <w:kinsoku w:val="0"/>
        <w:autoSpaceDE w:val="0"/>
        <w:autoSpaceDN w:val="0"/>
        <w:spacing w:before="0" w:after="0" w:line="220" w:lineRule="exact"/>
        <w:ind w:left="0" w:right="0"/>
      </w:pPr>
    </w:p>
    <w:p w14:paraId="6FA9BF05">
      <w:pPr>
        <w:pStyle w:val="10"/>
        <w:tabs>
          <w:tab w:val="right" w:leader="dot" w:pos="8940"/>
        </w:tabs>
        <w:jc w:val="center"/>
        <w:rPr>
          <w:rFonts w:hint="eastAsia" w:ascii="宋体" w:hAnsi="宋体" w:eastAsia="宋体"/>
          <w:b/>
          <w:i w:val="0"/>
          <w:color w:val="0A0A0D"/>
          <w:spacing w:val="112"/>
          <w:w w:val="100"/>
          <w:sz w:val="41"/>
          <w:lang w:val="en-US" w:eastAsia="zh-CN"/>
        </w:rPr>
      </w:pPr>
      <w:r>
        <w:rPr>
          <w:rFonts w:hint="eastAsia" w:ascii="宋体" w:hAnsi="宋体" w:eastAsia="宋体"/>
          <w:b/>
          <w:i w:val="0"/>
          <w:color w:val="0A0A0D"/>
          <w:spacing w:val="112"/>
          <w:w w:val="100"/>
          <w:sz w:val="41"/>
          <w:lang w:val="en-US" w:eastAsia="zh-CN"/>
        </w:rPr>
        <w:t>目录</w:t>
      </w:r>
    </w:p>
    <w:p w14:paraId="4294FBEF">
      <w:pPr>
        <w:pStyle w:val="10"/>
        <w:tabs>
          <w:tab w:val="right" w:leader="dot" w:pos="8940"/>
        </w:tabs>
      </w:pPr>
      <w:r>
        <w:rPr>
          <w:rFonts w:hint="eastAsia" w:ascii="宋体" w:hAnsi="宋体" w:eastAsia="宋体"/>
          <w:b/>
          <w:i w:val="0"/>
          <w:color w:val="0A0A0D"/>
          <w:spacing w:val="112"/>
          <w:w w:val="100"/>
          <w:sz w:val="41"/>
          <w:lang w:val="en-US" w:eastAsia="zh-CN"/>
        </w:rPr>
        <w:fldChar w:fldCharType="begin"/>
      </w:r>
      <w:r>
        <w:rPr>
          <w:rFonts w:hint="eastAsia" w:ascii="宋体" w:hAnsi="宋体" w:eastAsia="宋体"/>
          <w:b/>
          <w:i w:val="0"/>
          <w:color w:val="0A0A0D"/>
          <w:spacing w:val="112"/>
          <w:w w:val="100"/>
          <w:sz w:val="41"/>
          <w:lang w:val="en-US" w:eastAsia="zh-CN"/>
        </w:rPr>
        <w:instrText xml:space="preserve">TOC \o "1-3" \h \u </w:instrText>
      </w:r>
      <w:r>
        <w:rPr>
          <w:rFonts w:hint="eastAsia" w:ascii="宋体" w:hAnsi="宋体" w:eastAsia="宋体"/>
          <w:b/>
          <w:i w:val="0"/>
          <w:color w:val="0A0A0D"/>
          <w:spacing w:val="112"/>
          <w:w w:val="100"/>
          <w:sz w:val="41"/>
          <w:lang w:val="en-US" w:eastAsia="zh-CN"/>
        </w:rPr>
        <w:fldChar w:fldCharType="separate"/>
      </w: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_Toc25236 </w:instrText>
      </w:r>
      <w:r>
        <w:rPr>
          <w:rFonts w:hint="eastAsia" w:ascii="宋体" w:hAnsi="宋体" w:eastAsia="宋体"/>
          <w:i w:val="0"/>
          <w:spacing w:val="112"/>
          <w:w w:val="100"/>
          <w:lang w:val="en-US" w:eastAsia="zh-CN"/>
        </w:rPr>
        <w:fldChar w:fldCharType="separate"/>
      </w:r>
      <w:r>
        <w:rPr>
          <w:rFonts w:hint="eastAsia" w:ascii="黑体" w:hAnsi="黑体" w:eastAsia="黑体" w:cs="黑体"/>
          <w:bCs w:val="0"/>
          <w:i w:val="0"/>
          <w:spacing w:val="0"/>
          <w:w w:val="100"/>
        </w:rPr>
        <w:t>释义</w:t>
      </w:r>
      <w:r>
        <w:tab/>
      </w:r>
      <w:r>
        <w:fldChar w:fldCharType="begin"/>
      </w:r>
      <w:r>
        <w:instrText xml:space="preserve"> PAGEREF _Toc25236 </w:instrText>
      </w:r>
      <w:r>
        <w:fldChar w:fldCharType="separate"/>
      </w:r>
      <w:r>
        <w:t>3</w:t>
      </w:r>
      <w:r>
        <w:fldChar w:fldCharType="end"/>
      </w:r>
      <w:r>
        <w:rPr>
          <w:rFonts w:hint="eastAsia" w:ascii="宋体" w:hAnsi="宋体" w:eastAsia="宋体"/>
          <w:i w:val="0"/>
          <w:color w:val="0A0A0D"/>
          <w:spacing w:val="112"/>
          <w:w w:val="100"/>
          <w:lang w:val="en-US" w:eastAsia="zh-CN"/>
        </w:rPr>
        <w:fldChar w:fldCharType="end"/>
      </w:r>
    </w:p>
    <w:p w14:paraId="0F8A853A">
      <w:pPr>
        <w:pStyle w:val="10"/>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_Toc24392 </w:instrText>
      </w:r>
      <w:r>
        <w:rPr>
          <w:rFonts w:hint="eastAsia" w:ascii="宋体" w:hAnsi="宋体" w:eastAsia="宋体"/>
          <w:i w:val="0"/>
          <w:spacing w:val="112"/>
          <w:w w:val="100"/>
          <w:lang w:val="en-US" w:eastAsia="zh-CN"/>
        </w:rPr>
        <w:fldChar w:fldCharType="separate"/>
      </w:r>
      <w:r>
        <w:rPr>
          <w:rFonts w:hint="eastAsia" w:ascii="黑体" w:hAnsi="黑体" w:eastAsia="黑体" w:cs="黑体"/>
          <w:bCs w:val="0"/>
          <w:i w:val="0"/>
          <w:spacing w:val="0"/>
          <w:w w:val="100"/>
        </w:rPr>
        <w:t>第一节</w:t>
      </w:r>
      <w:r>
        <w:rPr>
          <w:rFonts w:hint="eastAsia" w:ascii="黑体" w:hAnsi="黑体" w:eastAsia="黑体" w:cs="黑体"/>
          <w:bCs w:val="0"/>
        </w:rPr>
        <w:t xml:space="preserve"> </w:t>
      </w:r>
      <w:r>
        <w:rPr>
          <w:rFonts w:hint="eastAsia" w:ascii="黑体" w:hAnsi="黑体" w:eastAsia="黑体" w:cs="黑体"/>
          <w:bCs w:val="0"/>
          <w:lang w:val="en-US" w:eastAsia="zh-CN"/>
        </w:rPr>
        <w:t xml:space="preserve"> </w:t>
      </w:r>
      <w:r>
        <w:rPr>
          <w:rFonts w:hint="eastAsia" w:ascii="黑体" w:hAnsi="黑体" w:eastAsia="黑体" w:cs="黑体"/>
          <w:bCs w:val="0"/>
          <w:i w:val="0"/>
          <w:spacing w:val="0"/>
          <w:w w:val="100"/>
        </w:rPr>
        <w:t>本次发行基本情况</w:t>
      </w:r>
      <w:r>
        <w:tab/>
      </w:r>
      <w:r>
        <w:fldChar w:fldCharType="begin"/>
      </w:r>
      <w:r>
        <w:instrText xml:space="preserve"> PAGEREF _Toc24392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432E301E">
      <w:pPr>
        <w:pStyle w:val="11"/>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_Toc4931 </w:instrText>
      </w:r>
      <w:r>
        <w:rPr>
          <w:rFonts w:hint="eastAsia" w:ascii="宋体" w:hAnsi="宋体" w:eastAsia="宋体"/>
          <w:i w:val="0"/>
          <w:spacing w:val="112"/>
          <w:w w:val="100"/>
          <w:lang w:val="en-US" w:eastAsia="zh-CN"/>
        </w:rPr>
        <w:fldChar w:fldCharType="separate"/>
      </w:r>
      <w:r>
        <w:rPr>
          <w:rFonts w:ascii="黑体" w:hAnsi="黑体" w:eastAsia="黑体"/>
          <w:i w:val="0"/>
          <w:spacing w:val="-4"/>
          <w:w w:val="100"/>
          <w:szCs w:val="32"/>
        </w:rPr>
        <w:t>一、基本情况</w:t>
      </w:r>
      <w:r>
        <w:tab/>
      </w:r>
      <w:r>
        <w:fldChar w:fldCharType="begin"/>
      </w:r>
      <w:r>
        <w:instrText xml:space="preserve"> PAGEREF _Toc4931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4D5CED13">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_Toc18108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(一)发行股份数量及募集资金总额</w:t>
      </w:r>
      <w:r>
        <w:tab/>
      </w:r>
      <w:r>
        <w:fldChar w:fldCharType="begin"/>
      </w:r>
      <w:r>
        <w:instrText xml:space="preserve"> PAGEREF _Toc18108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2DC4CA44">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_Toc5380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(二)发行价格</w:t>
      </w:r>
      <w:r>
        <w:tab/>
      </w:r>
      <w:r>
        <w:fldChar w:fldCharType="begin"/>
      </w:r>
      <w:r>
        <w:instrText xml:space="preserve"> PAGEREF _Toc5380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1FEF7971">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_Toc11069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(三)认购方式</w:t>
      </w:r>
      <w:r>
        <w:tab/>
      </w:r>
      <w:r>
        <w:fldChar w:fldCharType="begin"/>
      </w:r>
      <w:r>
        <w:instrText xml:space="preserve"> PAGEREF _Toc11069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47D4140B">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_Toc29648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val="en-US" w:eastAsia="zh-CN"/>
        </w:rPr>
        <w:t>四</w:t>
      </w:r>
      <w:r>
        <w:rPr>
          <w:rFonts w:hint="eastAsia" w:ascii="仿宋_GB2312" w:hAnsi="仿宋_GB2312" w:eastAsia="仿宋_GB2312" w:cs="仿宋_GB2312"/>
          <w:bCs/>
          <w:szCs w:val="28"/>
          <w:highlight w:val="none"/>
        </w:rPr>
        <w:t>)认购对象及认购股份数量</w:t>
      </w:r>
      <w:r>
        <w:tab/>
      </w:r>
      <w:r>
        <w:fldChar w:fldCharType="begin"/>
      </w:r>
      <w:r>
        <w:instrText xml:space="preserve"> PAGEREF _Toc29648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107C6243">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_Toc3344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val="en-US" w:eastAsia="zh-CN"/>
        </w:rPr>
        <w:t>五</w:t>
      </w:r>
      <w:r>
        <w:rPr>
          <w:rFonts w:hint="eastAsia" w:ascii="仿宋_GB2312" w:hAnsi="仿宋_GB2312" w:eastAsia="仿宋_GB2312" w:cs="仿宋_GB2312"/>
          <w:bCs/>
          <w:szCs w:val="28"/>
          <w:highlight w:val="none"/>
        </w:rPr>
        <w:t>)认购资金来源</w:t>
      </w:r>
      <w:r>
        <w:tab/>
      </w:r>
      <w:r>
        <w:fldChar w:fldCharType="begin"/>
      </w:r>
      <w:r>
        <w:instrText xml:space="preserve"> PAGEREF _Toc3344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54E61ED3">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_Toc27224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val="en-US" w:eastAsia="zh-CN"/>
        </w:rPr>
        <w:t>六</w:t>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eastAsia="zh-CN"/>
        </w:rPr>
        <w:t>现有股东优先认购情况</w:t>
      </w:r>
      <w:r>
        <w:tab/>
      </w:r>
      <w:r>
        <w:fldChar w:fldCharType="begin"/>
      </w:r>
      <w:r>
        <w:instrText xml:space="preserve"> PAGEREF _Toc27224 </w:instrText>
      </w:r>
      <w:r>
        <w:fldChar w:fldCharType="separate"/>
      </w:r>
      <w:r>
        <w:t>4</w:t>
      </w:r>
      <w:r>
        <w:fldChar w:fldCharType="end"/>
      </w:r>
      <w:r>
        <w:rPr>
          <w:rFonts w:hint="eastAsia" w:ascii="宋体" w:hAnsi="宋体" w:eastAsia="宋体"/>
          <w:i w:val="0"/>
          <w:color w:val="0A0A0D"/>
          <w:spacing w:val="112"/>
          <w:w w:val="100"/>
          <w:lang w:val="en-US" w:eastAsia="zh-CN"/>
        </w:rPr>
        <w:fldChar w:fldCharType="end"/>
      </w:r>
    </w:p>
    <w:p w14:paraId="58E765AC">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_Toc4501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val="en-US" w:eastAsia="zh-CN"/>
        </w:rPr>
        <w:t>八</w:t>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eastAsia="zh-CN"/>
        </w:rPr>
        <w:t>新增股份限售安排</w:t>
      </w:r>
      <w:r>
        <w:tab/>
      </w:r>
      <w:r>
        <w:fldChar w:fldCharType="begin"/>
      </w:r>
      <w:r>
        <w:instrText xml:space="preserve"> PAGEREF _Toc4501 </w:instrText>
      </w:r>
      <w:r>
        <w:fldChar w:fldCharType="separate"/>
      </w:r>
      <w:r>
        <w:t>5</w:t>
      </w:r>
      <w:r>
        <w:fldChar w:fldCharType="end"/>
      </w:r>
      <w:r>
        <w:rPr>
          <w:rFonts w:hint="eastAsia" w:ascii="宋体" w:hAnsi="宋体" w:eastAsia="宋体"/>
          <w:i w:val="0"/>
          <w:color w:val="0A0A0D"/>
          <w:spacing w:val="112"/>
          <w:w w:val="100"/>
          <w:lang w:val="en-US" w:eastAsia="zh-CN"/>
        </w:rPr>
        <w:fldChar w:fldCharType="end"/>
      </w:r>
    </w:p>
    <w:p w14:paraId="3DA71E9B">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_Toc28685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val="en-US" w:eastAsia="zh-CN"/>
        </w:rPr>
        <w:t>九</w:t>
      </w:r>
      <w:r>
        <w:rPr>
          <w:rFonts w:hint="eastAsia" w:ascii="仿宋_GB2312" w:hAnsi="仿宋_GB2312" w:eastAsia="仿宋_GB2312" w:cs="仿宋_GB2312"/>
          <w:bCs/>
          <w:szCs w:val="28"/>
          <w:highlight w:val="none"/>
        </w:rPr>
        <w:t>)</w:t>
      </w:r>
      <w:r>
        <w:rPr>
          <w:rFonts w:hint="eastAsia" w:ascii="仿宋_GB2312" w:hAnsi="仿宋_GB2312" w:eastAsia="仿宋_GB2312" w:cs="仿宋_GB2312"/>
          <w:bCs/>
          <w:szCs w:val="28"/>
          <w:highlight w:val="none"/>
          <w:lang w:eastAsia="zh-CN"/>
        </w:rPr>
        <w:t>募集资金专项账户的设立及保证募集资金合理使用的措施</w:t>
      </w:r>
      <w:r>
        <w:tab/>
      </w:r>
      <w:r>
        <w:fldChar w:fldCharType="begin"/>
      </w:r>
      <w:r>
        <w:instrText xml:space="preserve"> PAGEREF _Toc28685 </w:instrText>
      </w:r>
      <w:r>
        <w:fldChar w:fldCharType="separate"/>
      </w:r>
      <w:r>
        <w:t>5</w:t>
      </w:r>
      <w:r>
        <w:fldChar w:fldCharType="end"/>
      </w:r>
      <w:r>
        <w:rPr>
          <w:rFonts w:hint="eastAsia" w:ascii="宋体" w:hAnsi="宋体" w:eastAsia="宋体"/>
          <w:i w:val="0"/>
          <w:color w:val="0A0A0D"/>
          <w:spacing w:val="112"/>
          <w:w w:val="100"/>
          <w:lang w:val="en-US" w:eastAsia="zh-CN"/>
        </w:rPr>
        <w:fldChar w:fldCharType="end"/>
      </w:r>
    </w:p>
    <w:p w14:paraId="09685B48">
      <w:pPr>
        <w:pStyle w:val="11"/>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_Toc25544 </w:instrText>
      </w:r>
      <w:r>
        <w:rPr>
          <w:rFonts w:hint="eastAsia" w:ascii="宋体" w:hAnsi="宋体" w:eastAsia="宋体"/>
          <w:i w:val="0"/>
          <w:spacing w:val="112"/>
          <w:w w:val="100"/>
          <w:lang w:val="en-US" w:eastAsia="zh-CN"/>
        </w:rPr>
        <w:fldChar w:fldCharType="separate"/>
      </w:r>
      <w:r>
        <w:rPr>
          <w:rFonts w:ascii="黑体" w:hAnsi="黑体" w:eastAsia="黑体"/>
          <w:i w:val="0"/>
          <w:spacing w:val="-4"/>
          <w:w w:val="100"/>
          <w:szCs w:val="32"/>
        </w:rPr>
        <w:t>二</w:t>
      </w:r>
      <w:r>
        <w:rPr>
          <w:rFonts w:hint="eastAsia" w:ascii="黑体" w:hAnsi="黑体" w:eastAsia="黑体"/>
          <w:i w:val="0"/>
          <w:spacing w:val="-4"/>
          <w:w w:val="100"/>
          <w:szCs w:val="32"/>
          <w:lang w:eastAsia="zh-CN"/>
        </w:rPr>
        <w:t>、</w:t>
      </w:r>
      <w:r>
        <w:rPr>
          <w:rFonts w:ascii="黑体" w:hAnsi="黑体" w:eastAsia="黑体"/>
          <w:i w:val="0"/>
          <w:spacing w:val="0"/>
          <w:w w:val="100"/>
          <w:szCs w:val="32"/>
        </w:rPr>
        <w:t>本次股份发行履行的审批、核准程序</w:t>
      </w:r>
      <w:r>
        <w:tab/>
      </w:r>
      <w:r>
        <w:fldChar w:fldCharType="begin"/>
      </w:r>
      <w:r>
        <w:instrText xml:space="preserve"> PAGEREF _Toc25544 </w:instrText>
      </w:r>
      <w:r>
        <w:fldChar w:fldCharType="separate"/>
      </w:r>
      <w:r>
        <w:t>6</w:t>
      </w:r>
      <w:r>
        <w:fldChar w:fldCharType="end"/>
      </w:r>
      <w:r>
        <w:rPr>
          <w:rFonts w:hint="eastAsia" w:ascii="宋体" w:hAnsi="宋体" w:eastAsia="宋体"/>
          <w:i w:val="0"/>
          <w:color w:val="0A0A0D"/>
          <w:spacing w:val="112"/>
          <w:w w:val="100"/>
          <w:lang w:val="en-US" w:eastAsia="zh-CN"/>
        </w:rPr>
        <w:fldChar w:fldCharType="end"/>
      </w:r>
    </w:p>
    <w:p w14:paraId="56B90B0F">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_Toc30753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(一)本次发行已经履行的程序</w:t>
      </w:r>
      <w:r>
        <w:tab/>
      </w:r>
      <w:r>
        <w:fldChar w:fldCharType="begin"/>
      </w:r>
      <w:r>
        <w:instrText xml:space="preserve"> PAGEREF _Toc30753 </w:instrText>
      </w:r>
      <w:r>
        <w:fldChar w:fldCharType="separate"/>
      </w:r>
      <w:r>
        <w:t>6</w:t>
      </w:r>
      <w:r>
        <w:fldChar w:fldCharType="end"/>
      </w:r>
      <w:r>
        <w:rPr>
          <w:rFonts w:hint="eastAsia" w:ascii="宋体" w:hAnsi="宋体" w:eastAsia="宋体"/>
          <w:i w:val="0"/>
          <w:color w:val="0A0A0D"/>
          <w:spacing w:val="112"/>
          <w:w w:val="100"/>
          <w:lang w:val="en-US" w:eastAsia="zh-CN"/>
        </w:rPr>
        <w:fldChar w:fldCharType="end"/>
      </w:r>
    </w:p>
    <w:p w14:paraId="61AC5A94">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_Toc21931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(二)本次发行无需履行的审批、核准程序</w:t>
      </w:r>
      <w:r>
        <w:tab/>
      </w:r>
      <w:r>
        <w:fldChar w:fldCharType="begin"/>
      </w:r>
      <w:r>
        <w:instrText xml:space="preserve"> PAGEREF _Toc21931 </w:instrText>
      </w:r>
      <w:r>
        <w:fldChar w:fldCharType="separate"/>
      </w:r>
      <w:r>
        <w:t>9</w:t>
      </w:r>
      <w:r>
        <w:fldChar w:fldCharType="end"/>
      </w:r>
      <w:r>
        <w:rPr>
          <w:rFonts w:hint="eastAsia" w:ascii="宋体" w:hAnsi="宋体" w:eastAsia="宋体"/>
          <w:i w:val="0"/>
          <w:color w:val="0A0A0D"/>
          <w:spacing w:val="112"/>
          <w:w w:val="100"/>
          <w:lang w:val="en-US" w:eastAsia="zh-CN"/>
        </w:rPr>
        <w:fldChar w:fldCharType="end"/>
      </w:r>
    </w:p>
    <w:p w14:paraId="45948811">
      <w:pPr>
        <w:pStyle w:val="10"/>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_Toc29115 </w:instrText>
      </w:r>
      <w:r>
        <w:rPr>
          <w:rFonts w:hint="eastAsia" w:ascii="宋体" w:hAnsi="宋体" w:eastAsia="宋体"/>
          <w:i w:val="0"/>
          <w:spacing w:val="112"/>
          <w:w w:val="100"/>
          <w:lang w:val="en-US" w:eastAsia="zh-CN"/>
        </w:rPr>
        <w:fldChar w:fldCharType="separate"/>
      </w:r>
      <w:r>
        <w:rPr>
          <w:rFonts w:hint="eastAsia" w:ascii="黑体" w:hAnsi="黑体" w:eastAsia="黑体" w:cs="黑体"/>
          <w:bCs w:val="0"/>
          <w:i w:val="0"/>
          <w:spacing w:val="0"/>
          <w:w w:val="100"/>
        </w:rPr>
        <w:t>第二节  本次发行前后相关情况对比</w:t>
      </w:r>
      <w:r>
        <w:tab/>
      </w:r>
      <w:r>
        <w:fldChar w:fldCharType="begin"/>
      </w:r>
      <w:r>
        <w:instrText xml:space="preserve"> PAGEREF _Toc29115 </w:instrText>
      </w:r>
      <w:r>
        <w:fldChar w:fldCharType="separate"/>
      </w:r>
      <w:r>
        <w:t>9</w:t>
      </w:r>
      <w:r>
        <w:fldChar w:fldCharType="end"/>
      </w:r>
      <w:r>
        <w:rPr>
          <w:rFonts w:hint="eastAsia" w:ascii="宋体" w:hAnsi="宋体" w:eastAsia="宋体"/>
          <w:i w:val="0"/>
          <w:color w:val="0A0A0D"/>
          <w:spacing w:val="112"/>
          <w:w w:val="100"/>
          <w:lang w:val="en-US" w:eastAsia="zh-CN"/>
        </w:rPr>
        <w:fldChar w:fldCharType="end"/>
      </w:r>
    </w:p>
    <w:p w14:paraId="105A5866">
      <w:pPr>
        <w:pStyle w:val="11"/>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_Toc12852 </w:instrText>
      </w:r>
      <w:r>
        <w:rPr>
          <w:rFonts w:hint="eastAsia" w:ascii="宋体" w:hAnsi="宋体" w:eastAsia="宋体"/>
          <w:i w:val="0"/>
          <w:spacing w:val="112"/>
          <w:w w:val="100"/>
          <w:lang w:val="en-US" w:eastAsia="zh-CN"/>
        </w:rPr>
        <w:fldChar w:fldCharType="separate"/>
      </w:r>
      <w:r>
        <w:rPr>
          <w:rFonts w:ascii="黑体" w:hAnsi="黑体" w:eastAsia="黑体"/>
          <w:i w:val="0"/>
          <w:spacing w:val="-4"/>
          <w:w w:val="100"/>
          <w:szCs w:val="32"/>
        </w:rPr>
        <w:t>一</w:t>
      </w:r>
      <w:r>
        <w:rPr>
          <w:rFonts w:hint="eastAsia" w:ascii="黑体" w:hAnsi="黑体" w:eastAsia="黑体"/>
          <w:i w:val="0"/>
          <w:spacing w:val="-4"/>
          <w:w w:val="100"/>
          <w:szCs w:val="32"/>
          <w:lang w:eastAsia="zh-CN"/>
        </w:rPr>
        <w:t>、</w:t>
      </w:r>
      <w:r>
        <w:rPr>
          <w:rFonts w:ascii="黑体" w:hAnsi="黑体" w:eastAsia="黑体"/>
          <w:i w:val="0"/>
          <w:spacing w:val="-4"/>
          <w:w w:val="100"/>
          <w:szCs w:val="32"/>
        </w:rPr>
        <w:t>本次发行前后前十名股东持股数量、持股比例等比较情况</w:t>
      </w:r>
      <w:r>
        <w:tab/>
      </w:r>
      <w:r>
        <w:fldChar w:fldCharType="begin"/>
      </w:r>
      <w:r>
        <w:instrText xml:space="preserve"> PAGEREF _Toc12852 </w:instrText>
      </w:r>
      <w:r>
        <w:fldChar w:fldCharType="separate"/>
      </w:r>
      <w:r>
        <w:t>9</w:t>
      </w:r>
      <w:r>
        <w:fldChar w:fldCharType="end"/>
      </w:r>
      <w:r>
        <w:rPr>
          <w:rFonts w:hint="eastAsia" w:ascii="宋体" w:hAnsi="宋体" w:eastAsia="宋体"/>
          <w:i w:val="0"/>
          <w:color w:val="0A0A0D"/>
          <w:spacing w:val="112"/>
          <w:w w:val="100"/>
          <w:lang w:val="en-US" w:eastAsia="zh-CN"/>
        </w:rPr>
        <w:fldChar w:fldCharType="end"/>
      </w:r>
    </w:p>
    <w:p w14:paraId="6FB77AA0">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_Toc23230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(一)本次发行前，前十名股东的持股情况</w:t>
      </w:r>
      <w:r>
        <w:tab/>
      </w:r>
      <w:r>
        <w:fldChar w:fldCharType="begin"/>
      </w:r>
      <w:r>
        <w:instrText xml:space="preserve"> PAGEREF _Toc23230 </w:instrText>
      </w:r>
      <w:r>
        <w:fldChar w:fldCharType="separate"/>
      </w:r>
      <w:r>
        <w:t>9</w:t>
      </w:r>
      <w:r>
        <w:fldChar w:fldCharType="end"/>
      </w:r>
      <w:r>
        <w:rPr>
          <w:rFonts w:hint="eastAsia" w:ascii="宋体" w:hAnsi="宋体" w:eastAsia="宋体"/>
          <w:i w:val="0"/>
          <w:color w:val="0A0A0D"/>
          <w:spacing w:val="112"/>
          <w:w w:val="100"/>
          <w:lang w:val="en-US" w:eastAsia="zh-CN"/>
        </w:rPr>
        <w:fldChar w:fldCharType="end"/>
      </w:r>
    </w:p>
    <w:p w14:paraId="5FFDC250">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_Toc27505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(二)本次发行后，前十名股东的持股情况</w:t>
      </w:r>
      <w:r>
        <w:tab/>
      </w:r>
      <w:r>
        <w:fldChar w:fldCharType="begin"/>
      </w:r>
      <w:r>
        <w:instrText xml:space="preserve"> PAGEREF _Toc27505 </w:instrText>
      </w:r>
      <w:r>
        <w:fldChar w:fldCharType="separate"/>
      </w:r>
      <w:r>
        <w:t>10</w:t>
      </w:r>
      <w:r>
        <w:fldChar w:fldCharType="end"/>
      </w:r>
      <w:r>
        <w:rPr>
          <w:rFonts w:hint="eastAsia" w:ascii="宋体" w:hAnsi="宋体" w:eastAsia="宋体"/>
          <w:i w:val="0"/>
          <w:color w:val="0A0A0D"/>
          <w:spacing w:val="112"/>
          <w:w w:val="100"/>
          <w:lang w:val="en-US" w:eastAsia="zh-CN"/>
        </w:rPr>
        <w:fldChar w:fldCharType="end"/>
      </w:r>
    </w:p>
    <w:p w14:paraId="5F6F2591">
      <w:pPr>
        <w:pStyle w:val="11"/>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_Toc464 </w:instrText>
      </w:r>
      <w:r>
        <w:rPr>
          <w:rFonts w:hint="eastAsia" w:ascii="宋体" w:hAnsi="宋体" w:eastAsia="宋体"/>
          <w:i w:val="0"/>
          <w:spacing w:val="112"/>
          <w:w w:val="100"/>
          <w:lang w:val="en-US" w:eastAsia="zh-CN"/>
        </w:rPr>
        <w:fldChar w:fldCharType="separate"/>
      </w:r>
      <w:r>
        <w:rPr>
          <w:rFonts w:hint="eastAsia" w:ascii="黑体" w:hAnsi="黑体" w:eastAsia="黑体"/>
          <w:i w:val="0"/>
          <w:spacing w:val="-4"/>
          <w:w w:val="100"/>
          <w:szCs w:val="32"/>
          <w:lang w:val="en-US" w:eastAsia="zh-CN"/>
        </w:rPr>
        <w:t>二、</w:t>
      </w:r>
      <w:r>
        <w:rPr>
          <w:rFonts w:ascii="黑体" w:hAnsi="黑体" w:eastAsia="黑体"/>
          <w:i w:val="0"/>
          <w:spacing w:val="-4"/>
          <w:w w:val="100"/>
          <w:szCs w:val="32"/>
        </w:rPr>
        <w:t>本次定向发行前后股本结构、股东人数、资产结构、业务结构、公司控制权、董事、监事和高级管理人员持股的变动情况</w:t>
      </w:r>
      <w:r>
        <w:tab/>
      </w:r>
      <w:r>
        <w:fldChar w:fldCharType="begin"/>
      </w:r>
      <w:r>
        <w:instrText xml:space="preserve"> PAGEREF _Toc464 </w:instrText>
      </w:r>
      <w:r>
        <w:fldChar w:fldCharType="separate"/>
      </w:r>
      <w:r>
        <w:t>10</w:t>
      </w:r>
      <w:r>
        <w:fldChar w:fldCharType="end"/>
      </w:r>
      <w:r>
        <w:rPr>
          <w:rFonts w:hint="eastAsia" w:ascii="宋体" w:hAnsi="宋体" w:eastAsia="宋体"/>
          <w:i w:val="0"/>
          <w:color w:val="0A0A0D"/>
          <w:spacing w:val="112"/>
          <w:w w:val="100"/>
          <w:lang w:val="en-US" w:eastAsia="zh-CN"/>
        </w:rPr>
        <w:fldChar w:fldCharType="end"/>
      </w:r>
    </w:p>
    <w:p w14:paraId="60B1E9F3">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_Toc28414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(一)本次股票发行前后股本结构及股东人数变动情况</w:t>
      </w:r>
      <w:r>
        <w:tab/>
      </w:r>
      <w:r>
        <w:fldChar w:fldCharType="begin"/>
      </w:r>
      <w:r>
        <w:instrText xml:space="preserve"> PAGEREF _Toc28414 </w:instrText>
      </w:r>
      <w:r>
        <w:fldChar w:fldCharType="separate"/>
      </w:r>
      <w:r>
        <w:t>10</w:t>
      </w:r>
      <w:r>
        <w:fldChar w:fldCharType="end"/>
      </w:r>
      <w:r>
        <w:rPr>
          <w:rFonts w:hint="eastAsia" w:ascii="宋体" w:hAnsi="宋体" w:eastAsia="宋体"/>
          <w:i w:val="0"/>
          <w:color w:val="0A0A0D"/>
          <w:spacing w:val="112"/>
          <w:w w:val="100"/>
          <w:lang w:val="en-US" w:eastAsia="zh-CN"/>
        </w:rPr>
        <w:fldChar w:fldCharType="end"/>
      </w:r>
    </w:p>
    <w:p w14:paraId="5405DA97">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_Toc14720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(二)本次发行前后资产结构变动情况</w:t>
      </w:r>
      <w:r>
        <w:tab/>
      </w:r>
      <w:r>
        <w:fldChar w:fldCharType="begin"/>
      </w:r>
      <w:r>
        <w:instrText xml:space="preserve"> PAGEREF _Toc14720 </w:instrText>
      </w:r>
      <w:r>
        <w:fldChar w:fldCharType="separate"/>
      </w:r>
      <w:r>
        <w:t>11</w:t>
      </w:r>
      <w:r>
        <w:fldChar w:fldCharType="end"/>
      </w:r>
      <w:r>
        <w:rPr>
          <w:rFonts w:hint="eastAsia" w:ascii="宋体" w:hAnsi="宋体" w:eastAsia="宋体"/>
          <w:i w:val="0"/>
          <w:color w:val="0A0A0D"/>
          <w:spacing w:val="112"/>
          <w:w w:val="100"/>
          <w:lang w:val="en-US" w:eastAsia="zh-CN"/>
        </w:rPr>
        <w:fldChar w:fldCharType="end"/>
      </w:r>
    </w:p>
    <w:p w14:paraId="0E23C028">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_Toc31495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(三)业务结构变动情况</w:t>
      </w:r>
      <w:r>
        <w:tab/>
      </w:r>
      <w:r>
        <w:fldChar w:fldCharType="begin"/>
      </w:r>
      <w:r>
        <w:instrText xml:space="preserve"> PAGEREF _Toc31495 </w:instrText>
      </w:r>
      <w:r>
        <w:fldChar w:fldCharType="separate"/>
      </w:r>
      <w:r>
        <w:t>11</w:t>
      </w:r>
      <w:r>
        <w:fldChar w:fldCharType="end"/>
      </w:r>
      <w:r>
        <w:rPr>
          <w:rFonts w:hint="eastAsia" w:ascii="宋体" w:hAnsi="宋体" w:eastAsia="宋体"/>
          <w:i w:val="0"/>
          <w:color w:val="0A0A0D"/>
          <w:spacing w:val="112"/>
          <w:w w:val="100"/>
          <w:lang w:val="en-US" w:eastAsia="zh-CN"/>
        </w:rPr>
        <w:fldChar w:fldCharType="end"/>
      </w:r>
    </w:p>
    <w:p w14:paraId="5F606ED2">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_Toc3519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(四)公司控制权变动情况</w:t>
      </w:r>
      <w:r>
        <w:tab/>
      </w:r>
      <w:r>
        <w:fldChar w:fldCharType="begin"/>
      </w:r>
      <w:r>
        <w:instrText xml:space="preserve"> PAGEREF _Toc3519 </w:instrText>
      </w:r>
      <w:r>
        <w:fldChar w:fldCharType="separate"/>
      </w:r>
      <w:r>
        <w:t>11</w:t>
      </w:r>
      <w:r>
        <w:fldChar w:fldCharType="end"/>
      </w:r>
      <w:r>
        <w:rPr>
          <w:rFonts w:hint="eastAsia" w:ascii="宋体" w:hAnsi="宋体" w:eastAsia="宋体"/>
          <w:i w:val="0"/>
          <w:color w:val="0A0A0D"/>
          <w:spacing w:val="112"/>
          <w:w w:val="100"/>
          <w:lang w:val="en-US" w:eastAsia="zh-CN"/>
        </w:rPr>
        <w:fldChar w:fldCharType="end"/>
      </w:r>
    </w:p>
    <w:p w14:paraId="349A60C8">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_Toc24673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(五)董事、监事及高级管理人员持股变动情况</w:t>
      </w:r>
      <w:r>
        <w:tab/>
      </w:r>
      <w:r>
        <w:fldChar w:fldCharType="begin"/>
      </w:r>
      <w:r>
        <w:instrText xml:space="preserve"> PAGEREF _Toc24673 </w:instrText>
      </w:r>
      <w:r>
        <w:fldChar w:fldCharType="separate"/>
      </w:r>
      <w:r>
        <w:t>11</w:t>
      </w:r>
      <w:r>
        <w:fldChar w:fldCharType="end"/>
      </w:r>
      <w:r>
        <w:rPr>
          <w:rFonts w:hint="eastAsia" w:ascii="宋体" w:hAnsi="宋体" w:eastAsia="宋体"/>
          <w:i w:val="0"/>
          <w:color w:val="0A0A0D"/>
          <w:spacing w:val="112"/>
          <w:w w:val="100"/>
          <w:lang w:val="en-US" w:eastAsia="zh-CN"/>
        </w:rPr>
        <w:fldChar w:fldCharType="end"/>
      </w:r>
    </w:p>
    <w:p w14:paraId="204CAB5E">
      <w:pPr>
        <w:pStyle w:val="6"/>
        <w:tabs>
          <w:tab w:val="right" w:leader="dot" w:pos="8940"/>
        </w:tabs>
      </w:pPr>
      <w:r>
        <w:rPr>
          <w:rFonts w:hint="eastAsia" w:ascii="宋体" w:hAnsi="宋体" w:eastAsia="宋体"/>
          <w:i w:val="0"/>
          <w:color w:val="0A0A0D"/>
          <w:spacing w:val="112"/>
          <w:w w:val="100"/>
          <w:lang w:val="en-US" w:eastAsia="zh-CN"/>
        </w:rPr>
        <w:fldChar w:fldCharType="begin"/>
      </w:r>
      <w:r>
        <w:rPr>
          <w:rFonts w:hint="eastAsia" w:ascii="宋体" w:hAnsi="宋体" w:eastAsia="宋体"/>
          <w:i w:val="0"/>
          <w:spacing w:val="112"/>
          <w:w w:val="100"/>
          <w:lang w:val="en-US" w:eastAsia="zh-CN"/>
        </w:rPr>
        <w:instrText xml:space="preserve"> HYPERLINK \l _Toc22028 </w:instrText>
      </w:r>
      <w:r>
        <w:rPr>
          <w:rFonts w:hint="eastAsia" w:ascii="宋体" w:hAnsi="宋体" w:eastAsia="宋体"/>
          <w:i w:val="0"/>
          <w:spacing w:val="112"/>
          <w:w w:val="100"/>
          <w:lang w:val="en-US" w:eastAsia="zh-CN"/>
        </w:rPr>
        <w:fldChar w:fldCharType="separate"/>
      </w:r>
      <w:r>
        <w:rPr>
          <w:rFonts w:hint="eastAsia" w:ascii="仿宋_GB2312" w:hAnsi="仿宋_GB2312" w:eastAsia="仿宋_GB2312" w:cs="仿宋_GB2312"/>
          <w:bCs/>
          <w:szCs w:val="28"/>
          <w:highlight w:val="none"/>
          <w:lang w:eastAsia="zh-CN"/>
        </w:rPr>
        <w:t>(六)发行后主要财务指标变化</w:t>
      </w:r>
      <w:r>
        <w:tab/>
      </w:r>
      <w:r>
        <w:fldChar w:fldCharType="begin"/>
      </w:r>
      <w:r>
        <w:instrText xml:space="preserve"> PAGEREF _Toc22028 </w:instrText>
      </w:r>
      <w:r>
        <w:fldChar w:fldCharType="separate"/>
      </w:r>
      <w:r>
        <w:t>11</w:t>
      </w:r>
      <w:r>
        <w:fldChar w:fldCharType="end"/>
      </w:r>
      <w:r>
        <w:rPr>
          <w:rFonts w:hint="eastAsia" w:ascii="宋体" w:hAnsi="宋体" w:eastAsia="宋体"/>
          <w:i w:val="0"/>
          <w:color w:val="0A0A0D"/>
          <w:spacing w:val="112"/>
          <w:w w:val="100"/>
          <w:lang w:val="en-US" w:eastAsia="zh-CN"/>
        </w:rPr>
        <w:fldChar w:fldCharType="end"/>
      </w:r>
    </w:p>
    <w:p w14:paraId="043F24BA">
      <w:pPr>
        <w:widowControl/>
        <w:kinsoku w:val="0"/>
        <w:autoSpaceDE w:val="0"/>
        <w:autoSpaceDN w:val="0"/>
        <w:spacing w:before="150" w:after="0" w:line="185" w:lineRule="auto"/>
        <w:ind w:right="3980"/>
        <w:jc w:val="center"/>
        <w:rPr>
          <w:rFonts w:hint="eastAsia" w:ascii="宋体" w:hAnsi="宋体" w:eastAsia="宋体"/>
          <w:b/>
          <w:i w:val="0"/>
          <w:color w:val="0A0A0D"/>
          <w:spacing w:val="112"/>
          <w:w w:val="100"/>
          <w:sz w:val="41"/>
          <w:lang w:val="en-US" w:eastAsia="zh-CN"/>
        </w:rPr>
      </w:pPr>
      <w:r>
        <w:rPr>
          <w:rFonts w:hint="eastAsia" w:ascii="宋体" w:hAnsi="宋体" w:eastAsia="宋体"/>
          <w:i w:val="0"/>
          <w:color w:val="0A0A0D"/>
          <w:spacing w:val="112"/>
          <w:w w:val="100"/>
          <w:lang w:val="en-US" w:eastAsia="zh-CN"/>
        </w:rPr>
        <w:fldChar w:fldCharType="end"/>
      </w:r>
    </w:p>
    <w:p w14:paraId="5F747200">
      <w:pPr>
        <w:widowControl/>
        <w:kinsoku w:val="0"/>
        <w:autoSpaceDE w:val="0"/>
        <w:autoSpaceDN w:val="0"/>
        <w:spacing w:before="150" w:after="0" w:line="185" w:lineRule="auto"/>
        <w:ind w:right="3980"/>
        <w:jc w:val="center"/>
        <w:rPr>
          <w:rFonts w:hint="eastAsia" w:ascii="宋体" w:hAnsi="宋体" w:eastAsia="宋体"/>
          <w:b/>
          <w:i w:val="0"/>
          <w:color w:val="0A0A0D"/>
          <w:spacing w:val="112"/>
          <w:w w:val="100"/>
          <w:sz w:val="41"/>
          <w:lang w:val="en-US" w:eastAsia="zh-CN"/>
        </w:rPr>
      </w:pPr>
      <w:r>
        <w:rPr>
          <w:rFonts w:hint="eastAsia" w:ascii="宋体" w:hAnsi="宋体" w:eastAsia="宋体"/>
          <w:b/>
          <w:i w:val="0"/>
          <w:color w:val="0A0A0D"/>
          <w:spacing w:val="112"/>
          <w:w w:val="100"/>
          <w:sz w:val="41"/>
          <w:lang w:val="en-US" w:eastAsia="zh-CN"/>
        </w:rPr>
        <w:t xml:space="preserve"> </w:t>
      </w:r>
    </w:p>
    <w:p w14:paraId="228D4C4B">
      <w:pPr>
        <w:keepNext w:val="0"/>
        <w:keepLines w:val="0"/>
        <w:pageBreakBefore w:val="0"/>
        <w:widowControl/>
        <w:kinsoku w:val="0"/>
        <w:wordWrap/>
        <w:overflowPunct/>
        <w:topLinePunct w:val="0"/>
        <w:autoSpaceDE w:val="0"/>
        <w:autoSpaceDN w:val="0"/>
        <w:bidi w:val="0"/>
        <w:adjustRightInd/>
        <w:snapToGrid/>
        <w:spacing w:before="150" w:after="0" w:line="185" w:lineRule="auto"/>
        <w:ind w:left="0" w:leftChars="0" w:right="3980" w:rightChars="0" w:firstLine="0" w:firstLineChars="0"/>
        <w:jc w:val="center"/>
        <w:textAlignment w:val="auto"/>
        <w:outlineLvl w:val="0"/>
        <w:rPr>
          <w:rFonts w:hint="eastAsia" w:ascii="黑体" w:hAnsi="黑体" w:eastAsia="黑体" w:cs="黑体"/>
          <w:b/>
          <w:bCs w:val="0"/>
          <w:i w:val="0"/>
          <w:color w:val="0B0D11"/>
          <w:spacing w:val="0"/>
          <w:w w:val="100"/>
          <w:sz w:val="36"/>
        </w:rPr>
      </w:pPr>
      <w:r>
        <w:rPr>
          <w:rFonts w:hint="eastAsia" w:ascii="宋体" w:hAnsi="宋体" w:eastAsia="宋体"/>
          <w:b/>
          <w:i w:val="0"/>
          <w:color w:val="0A0A0D"/>
          <w:spacing w:val="112"/>
          <w:w w:val="100"/>
          <w:sz w:val="41"/>
          <w:lang w:val="en-US" w:eastAsia="zh-CN"/>
        </w:rPr>
        <w:t xml:space="preserve">        </w:t>
      </w:r>
      <w:bookmarkStart w:id="0" w:name="_Toc25236"/>
      <w:r>
        <w:rPr>
          <w:rFonts w:hint="eastAsia" w:ascii="黑体" w:hAnsi="黑体" w:eastAsia="黑体" w:cs="黑体"/>
          <w:b/>
          <w:bCs w:val="0"/>
          <w:i w:val="0"/>
          <w:color w:val="0B0D11"/>
          <w:spacing w:val="0"/>
          <w:w w:val="100"/>
          <w:sz w:val="36"/>
        </w:rPr>
        <w:t>释义</w:t>
      </w:r>
      <w:bookmarkEnd w:id="0"/>
    </w:p>
    <w:p w14:paraId="45CE138C">
      <w:pPr>
        <w:widowControl/>
        <w:kinsoku w:val="0"/>
        <w:autoSpaceDE w:val="0"/>
        <w:autoSpaceDN w:val="0"/>
        <w:spacing w:before="312" w:after="0" w:line="185" w:lineRule="auto"/>
        <w:ind w:right="0" w:firstLine="480" w:firstLineChars="200"/>
        <w:jc w:val="left"/>
      </w:pPr>
      <w:r>
        <w:rPr>
          <w:rFonts w:ascii="宋体" w:hAnsi="宋体" w:eastAsia="宋体"/>
          <w:b w:val="0"/>
          <w:i w:val="0"/>
          <w:color w:val="1B1E22"/>
          <w:spacing w:val="0"/>
          <w:w w:val="100"/>
          <w:sz w:val="24"/>
        </w:rPr>
        <w:t>本发行情况报告书中，除非文义另有所指，下列词语具有如下涵义：</w:t>
      </w:r>
      <w:r>
        <w:rPr>
          <w:rFonts w:ascii="Times New Roman" w:hAnsi="Times New Roman"/>
          <w:spacing w:val="1015"/>
          <w:sz w:val="22"/>
        </w:rPr>
        <w:t xml:space="preserve"> </w:t>
      </w:r>
    </w:p>
    <w:p w14:paraId="21164B64">
      <w:pPr>
        <w:widowControl/>
        <w:kinsoku w:val="0"/>
        <w:autoSpaceDE w:val="0"/>
        <w:autoSpaceDN w:val="0"/>
        <w:spacing w:before="0" w:after="0" w:line="220" w:lineRule="exact"/>
        <w:ind w:left="0" w:right="0"/>
      </w:pPr>
    </w:p>
    <w:tbl>
      <w:tblPr>
        <w:tblStyle w:val="12"/>
        <w:tblW w:w="9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552"/>
        <w:gridCol w:w="6024"/>
      </w:tblGrid>
      <w:tr w14:paraId="728DA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2864" w:type="dxa"/>
            <w:vAlign w:val="center"/>
          </w:tcPr>
          <w:p w14:paraId="563208ED">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本公司/公司/本行/申请人/</w:t>
            </w:r>
            <w:r>
              <w:rPr>
                <w:rFonts w:hint="eastAsia" w:ascii="Times New Roman" w:eastAsia="黑体" w:cs="Times New Roman"/>
                <w:color w:val="000000" w:themeColor="text1"/>
                <w:sz w:val="18"/>
                <w:szCs w:val="18"/>
                <w:highlight w:val="none"/>
                <w:lang w:val="en-US" w:eastAsia="zh-CN"/>
                <w14:textFill>
                  <w14:solidFill>
                    <w14:schemeClr w14:val="tx1"/>
                  </w14:solidFill>
                </w14:textFill>
              </w:rPr>
              <w:t>发行人/</w:t>
            </w:r>
            <w:r>
              <w:rPr>
                <w:rFonts w:hint="eastAsia" w:ascii="Times New Roman" w:eastAsia="黑体" w:cs="Times New Roman"/>
                <w:color w:val="000000" w:themeColor="text1"/>
                <w:sz w:val="18"/>
                <w:szCs w:val="18"/>
                <w:highlight w:val="none"/>
                <w14:textFill>
                  <w14:solidFill>
                    <w14:schemeClr w14:val="tx1"/>
                  </w14:solidFill>
                </w14:textFill>
              </w:rPr>
              <w:t>赣昌</w:t>
            </w:r>
            <w:r>
              <w:rPr>
                <w:rFonts w:ascii="Times New Roman" w:eastAsia="黑体" w:cs="Times New Roman"/>
                <w:color w:val="000000" w:themeColor="text1"/>
                <w:sz w:val="18"/>
                <w:szCs w:val="18"/>
                <w:highlight w:val="none"/>
                <w14:textFill>
                  <w14:solidFill>
                    <w14:schemeClr w14:val="tx1"/>
                  </w14:solidFill>
                </w14:textFill>
              </w:rPr>
              <w:t>农商银行</w:t>
            </w:r>
          </w:p>
        </w:tc>
        <w:tc>
          <w:tcPr>
            <w:tcW w:w="552" w:type="dxa"/>
            <w:vAlign w:val="center"/>
          </w:tcPr>
          <w:p w14:paraId="5CB76C15">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1F0FF8B0">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hint="eastAsia" w:ascii="Times New Roman" w:eastAsia="黑体" w:cs="Times New Roman"/>
                <w:color w:val="000000" w:themeColor="text1"/>
                <w:sz w:val="18"/>
                <w:szCs w:val="18"/>
                <w:highlight w:val="none"/>
                <w14:textFill>
                  <w14:solidFill>
                    <w14:schemeClr w14:val="tx1"/>
                  </w14:solidFill>
                </w14:textFill>
              </w:rPr>
              <w:t>江西赣昌</w:t>
            </w:r>
            <w:r>
              <w:rPr>
                <w:rFonts w:ascii="Times New Roman" w:eastAsia="黑体" w:cs="Times New Roman"/>
                <w:color w:val="000000" w:themeColor="text1"/>
                <w:sz w:val="18"/>
                <w:szCs w:val="18"/>
                <w:highlight w:val="none"/>
                <w14:textFill>
                  <w14:solidFill>
                    <w14:schemeClr w14:val="tx1"/>
                  </w14:solidFill>
                </w14:textFill>
              </w:rPr>
              <w:t>农村商业银行股份有限公司</w:t>
            </w:r>
          </w:p>
        </w:tc>
      </w:tr>
      <w:tr w14:paraId="202CC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864" w:type="dxa"/>
            <w:vAlign w:val="center"/>
          </w:tcPr>
          <w:p w14:paraId="6D48ABEF">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hint="eastAsia" w:ascii="Times New Roman" w:eastAsia="黑体" w:cs="Times New Roman"/>
                <w:color w:val="000000" w:themeColor="text1"/>
                <w:sz w:val="18"/>
                <w:szCs w:val="18"/>
                <w:highlight w:val="none"/>
                <w14:textFill>
                  <w14:solidFill>
                    <w14:schemeClr w14:val="tx1"/>
                  </w14:solidFill>
                </w14:textFill>
              </w:rPr>
              <w:t>国家金融监管局</w:t>
            </w:r>
          </w:p>
        </w:tc>
        <w:tc>
          <w:tcPr>
            <w:tcW w:w="552" w:type="dxa"/>
            <w:vAlign w:val="center"/>
          </w:tcPr>
          <w:p w14:paraId="0226F26A">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585A1B1E">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hint="eastAsia" w:ascii="Times New Roman" w:eastAsia="黑体" w:cs="Times New Roman"/>
                <w:color w:val="000000" w:themeColor="text1"/>
                <w:sz w:val="18"/>
                <w:szCs w:val="18"/>
                <w:highlight w:val="none"/>
                <w14:textFill>
                  <w14:solidFill>
                    <w14:schemeClr w14:val="tx1"/>
                  </w14:solidFill>
                </w14:textFill>
              </w:rPr>
              <w:t>国家金融监督管理总局</w:t>
            </w:r>
          </w:p>
        </w:tc>
      </w:tr>
      <w:tr w14:paraId="60B5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864" w:type="dxa"/>
            <w:vAlign w:val="center"/>
          </w:tcPr>
          <w:p w14:paraId="77B5F3BC">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中国证监会/证监会</w:t>
            </w:r>
          </w:p>
        </w:tc>
        <w:tc>
          <w:tcPr>
            <w:tcW w:w="552" w:type="dxa"/>
            <w:vAlign w:val="center"/>
          </w:tcPr>
          <w:p w14:paraId="74468BA9">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66A1E449">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中国证券监督管理委员会</w:t>
            </w:r>
          </w:p>
        </w:tc>
      </w:tr>
      <w:tr w14:paraId="2C816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864" w:type="dxa"/>
            <w:vAlign w:val="center"/>
          </w:tcPr>
          <w:p w14:paraId="3E19BB8A">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一级资本</w:t>
            </w:r>
          </w:p>
        </w:tc>
        <w:tc>
          <w:tcPr>
            <w:tcW w:w="552" w:type="dxa"/>
            <w:vAlign w:val="center"/>
          </w:tcPr>
          <w:p w14:paraId="1385D561">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1BA84CB7">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根据《商业银行资本管理办法》的规定，核心一级资本和其他一级资本</w:t>
            </w:r>
          </w:p>
        </w:tc>
      </w:tr>
      <w:tr w14:paraId="2BD85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864" w:type="dxa"/>
            <w:vAlign w:val="center"/>
          </w:tcPr>
          <w:p w14:paraId="5A18E385">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核心一级资本</w:t>
            </w:r>
          </w:p>
        </w:tc>
        <w:tc>
          <w:tcPr>
            <w:tcW w:w="552" w:type="dxa"/>
            <w:vAlign w:val="center"/>
          </w:tcPr>
          <w:p w14:paraId="01995FF0">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2EABC8FF">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根据《商业银行资本管理办法》的规定，实收资本或普通股、资本公积、盈余公积、一般风险准备、未分配利润</w:t>
            </w:r>
            <w:r>
              <w:rPr>
                <w:rFonts w:hint="eastAsia" w:ascii="Times New Roman" w:eastAsia="黑体" w:cs="Times New Roman"/>
                <w:color w:val="000000" w:themeColor="text1"/>
                <w:sz w:val="18"/>
                <w:szCs w:val="18"/>
                <w:highlight w:val="none"/>
                <w14:textFill>
                  <w14:solidFill>
                    <w14:schemeClr w14:val="tx1"/>
                  </w14:solidFill>
                </w14:textFill>
              </w:rPr>
              <w:t>、累计其他综合收益</w:t>
            </w:r>
            <w:r>
              <w:rPr>
                <w:rFonts w:ascii="Times New Roman" w:eastAsia="黑体" w:cs="Times New Roman"/>
                <w:color w:val="000000" w:themeColor="text1"/>
                <w:sz w:val="18"/>
                <w:szCs w:val="18"/>
                <w:highlight w:val="none"/>
                <w14:textFill>
                  <w14:solidFill>
                    <w14:schemeClr w14:val="tx1"/>
                  </w14:solidFill>
                </w14:textFill>
              </w:rPr>
              <w:t>和少数股东资本可计入部分</w:t>
            </w:r>
          </w:p>
        </w:tc>
      </w:tr>
      <w:tr w14:paraId="1C8F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864" w:type="dxa"/>
            <w:vAlign w:val="center"/>
          </w:tcPr>
          <w:p w14:paraId="1E39E30E">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核心资本</w:t>
            </w:r>
          </w:p>
        </w:tc>
        <w:tc>
          <w:tcPr>
            <w:tcW w:w="552" w:type="dxa"/>
            <w:vAlign w:val="center"/>
          </w:tcPr>
          <w:p w14:paraId="03633C8F">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04D80E0B">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根据《商业银行资本管理办法》的规定，实收资本或普通股、资本公积、盈余公积、未分配利润和少数股权</w:t>
            </w:r>
          </w:p>
        </w:tc>
      </w:tr>
      <w:tr w14:paraId="46ADB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864" w:type="dxa"/>
            <w:vAlign w:val="center"/>
          </w:tcPr>
          <w:p w14:paraId="0314CC84">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资本充足率</w:t>
            </w:r>
          </w:p>
        </w:tc>
        <w:tc>
          <w:tcPr>
            <w:tcW w:w="552" w:type="dxa"/>
            <w:vAlign w:val="center"/>
          </w:tcPr>
          <w:p w14:paraId="2C09DF48">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13B9977F">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w:t>
            </w:r>
            <w:r>
              <w:rPr>
                <w:rFonts w:hint="eastAsia" w:ascii="Times New Roman" w:eastAsia="黑体" w:cs="Times New Roman"/>
                <w:color w:val="000000" w:themeColor="text1"/>
                <w:sz w:val="18"/>
                <w:szCs w:val="18"/>
                <w:highlight w:val="none"/>
                <w14:textFill>
                  <w14:solidFill>
                    <w14:schemeClr w14:val="tx1"/>
                  </w14:solidFill>
                </w14:textFill>
              </w:rPr>
              <w:t>的规定</w:t>
            </w:r>
            <w:r>
              <w:rPr>
                <w:rFonts w:ascii="Times New Roman" w:eastAsia="黑体" w:cs="Times New Roman"/>
                <w:color w:val="000000" w:themeColor="text1"/>
                <w:sz w:val="18"/>
                <w:szCs w:val="18"/>
                <w:highlight w:val="none"/>
                <w14:textFill>
                  <w14:solidFill>
                    <w14:schemeClr w14:val="tx1"/>
                  </w14:solidFill>
                </w14:textFill>
              </w:rPr>
              <w:t>，总资本与对应资本扣减项之差与表内外风险加权资产期末总额的比率</w:t>
            </w:r>
          </w:p>
        </w:tc>
      </w:tr>
      <w:tr w14:paraId="590D0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864" w:type="dxa"/>
            <w:vAlign w:val="center"/>
          </w:tcPr>
          <w:p w14:paraId="6161B194">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一级资本充足率</w:t>
            </w:r>
          </w:p>
        </w:tc>
        <w:tc>
          <w:tcPr>
            <w:tcW w:w="552" w:type="dxa"/>
            <w:vAlign w:val="center"/>
          </w:tcPr>
          <w:p w14:paraId="41678B32">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6B2D6E00">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根据《商业银行资本管理办法》的规定，商业银行持有的、符合规定的一级资本与商业银行风险加权资产之间的比率</w:t>
            </w:r>
          </w:p>
        </w:tc>
      </w:tr>
      <w:tr w14:paraId="7F23D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864" w:type="dxa"/>
            <w:vAlign w:val="center"/>
          </w:tcPr>
          <w:p w14:paraId="2BEC5AE8">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核心一级资本充足率</w:t>
            </w:r>
          </w:p>
        </w:tc>
        <w:tc>
          <w:tcPr>
            <w:tcW w:w="552" w:type="dxa"/>
            <w:vAlign w:val="center"/>
          </w:tcPr>
          <w:p w14:paraId="583E8501">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72598D12">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根据《商业银行资本管理办法》的规定，商业银行持有的、符合规定的核心一级资本与商业银行风险加权资产之间的比率</w:t>
            </w:r>
          </w:p>
        </w:tc>
      </w:tr>
      <w:tr w14:paraId="15CD9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864" w:type="dxa"/>
            <w:vAlign w:val="center"/>
          </w:tcPr>
          <w:p w14:paraId="09CDBD81">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核心资本充足率</w:t>
            </w:r>
          </w:p>
        </w:tc>
        <w:tc>
          <w:tcPr>
            <w:tcW w:w="552" w:type="dxa"/>
            <w:vAlign w:val="center"/>
          </w:tcPr>
          <w:p w14:paraId="035A7AF3">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00DF4CD1">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根据《商业银行资本管理办法》的规定，商业银行符合上述规定的期末核心资本与期末表内外风险加权资产总额的比率</w:t>
            </w:r>
          </w:p>
        </w:tc>
      </w:tr>
      <w:tr w14:paraId="36DBC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64" w:type="dxa"/>
            <w:vAlign w:val="center"/>
          </w:tcPr>
          <w:p w14:paraId="1494423D">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元</w:t>
            </w:r>
          </w:p>
        </w:tc>
        <w:tc>
          <w:tcPr>
            <w:tcW w:w="552" w:type="dxa"/>
            <w:vAlign w:val="center"/>
          </w:tcPr>
          <w:p w14:paraId="51272A1D">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指</w:t>
            </w:r>
          </w:p>
        </w:tc>
        <w:tc>
          <w:tcPr>
            <w:tcW w:w="6024" w:type="dxa"/>
            <w:vAlign w:val="center"/>
          </w:tcPr>
          <w:p w14:paraId="301ED355">
            <w:pPr>
              <w:pStyle w:val="14"/>
              <w:spacing w:before="0" w:beforeLines="0" w:after="0" w:afterLines="0" w:line="460" w:lineRule="exact"/>
              <w:jc w:val="both"/>
              <w:rPr>
                <w:rFonts w:ascii="Times New Roman" w:eastAsia="黑体" w:cs="Times New Roman"/>
                <w:color w:val="000000" w:themeColor="text1"/>
                <w:sz w:val="18"/>
                <w:szCs w:val="18"/>
                <w:highlight w:val="none"/>
                <w14:textFill>
                  <w14:solidFill>
                    <w14:schemeClr w14:val="tx1"/>
                  </w14:solidFill>
                </w14:textFill>
              </w:rPr>
            </w:pPr>
            <w:r>
              <w:rPr>
                <w:rFonts w:ascii="Times New Roman" w:eastAsia="黑体" w:cs="Times New Roman"/>
                <w:color w:val="000000" w:themeColor="text1"/>
                <w:sz w:val="18"/>
                <w:szCs w:val="18"/>
                <w:highlight w:val="none"/>
                <w14:textFill>
                  <w14:solidFill>
                    <w14:schemeClr w14:val="tx1"/>
                  </w14:solidFill>
                </w14:textFill>
              </w:rPr>
              <w:t>人民币元</w:t>
            </w:r>
          </w:p>
        </w:tc>
      </w:tr>
    </w:tbl>
    <w:p w14:paraId="503D8BED">
      <w:pPr>
        <w:widowControl/>
        <w:kinsoku w:val="0"/>
        <w:autoSpaceDE w:val="0"/>
        <w:autoSpaceDN w:val="0"/>
        <w:spacing w:before="4" w:after="0" w:line="307" w:lineRule="auto"/>
        <w:ind w:right="288"/>
        <w:jc w:val="left"/>
      </w:pPr>
      <w:r>
        <w:rPr>
          <w:rFonts w:ascii="Times New Roman" w:hAnsi="Times New Roman"/>
          <w:spacing w:val="6243"/>
          <w:sz w:val="22"/>
        </w:rPr>
        <w:t xml:space="preserve"> </w:t>
      </w:r>
    </w:p>
    <w:p w14:paraId="4A5ABC9E">
      <w:pPr>
        <w:sectPr>
          <w:pgSz w:w="11820" w:h="16820"/>
          <w:pgMar w:top="768" w:right="1440" w:bottom="458" w:left="1440" w:header="720" w:footer="720" w:gutter="0"/>
          <w:cols w:space="720" w:num="1"/>
          <w:docGrid w:linePitch="360" w:charSpace="0"/>
        </w:sectPr>
      </w:pPr>
    </w:p>
    <w:p w14:paraId="7791894D">
      <w:pPr>
        <w:spacing w:before="0" w:after="0" w:line="0" w:lineRule="auto"/>
      </w:pPr>
      <w:r>
        <w:rPr>
          <w:vanish/>
          <w:sz w:val="0"/>
        </w:rPr>
        <w:t xml:space="preserve"> </w:t>
      </w:r>
    </w:p>
    <w:p w14:paraId="3AE377B6">
      <w:pPr>
        <w:spacing w:before="0" w:after="0" w:line="0" w:lineRule="auto"/>
      </w:pPr>
      <w:r>
        <w:rPr>
          <w:vanish/>
          <w:sz w:val="0"/>
        </w:rPr>
        <w:t xml:space="preserve"> </w:t>
      </w:r>
    </w:p>
    <w:p w14:paraId="0F1567E5">
      <w:pPr>
        <w:widowControl/>
        <w:kinsoku w:val="0"/>
        <w:autoSpaceDE w:val="0"/>
        <w:autoSpaceDN w:val="0"/>
        <w:spacing w:before="0" w:after="0" w:line="220" w:lineRule="exact"/>
        <w:ind w:left="0" w:right="0"/>
      </w:pPr>
    </w:p>
    <w:p w14:paraId="356E0EFD">
      <w:pPr>
        <w:keepNext w:val="0"/>
        <w:keepLines w:val="0"/>
        <w:pageBreakBefore w:val="0"/>
        <w:widowControl/>
        <w:kinsoku w:val="0"/>
        <w:wordWrap/>
        <w:overflowPunct/>
        <w:topLinePunct w:val="0"/>
        <w:autoSpaceDE w:val="0"/>
        <w:autoSpaceDN w:val="0"/>
        <w:bidi w:val="0"/>
        <w:adjustRightInd/>
        <w:snapToGrid/>
        <w:spacing w:before="164" w:after="0" w:line="185" w:lineRule="auto"/>
        <w:ind w:left="2580" w:leftChars="0" w:right="0" w:rightChars="0" w:firstLine="0" w:firstLineChars="0"/>
        <w:jc w:val="left"/>
        <w:textAlignment w:val="auto"/>
        <w:outlineLvl w:val="0"/>
      </w:pPr>
      <w:bookmarkStart w:id="1" w:name="_Toc24392"/>
      <w:r>
        <w:rPr>
          <w:rFonts w:hint="eastAsia" w:ascii="黑体" w:hAnsi="黑体" w:eastAsia="黑体" w:cs="黑体"/>
          <w:b/>
          <w:bCs w:val="0"/>
          <w:i w:val="0"/>
          <w:color w:val="0B0D11"/>
          <w:spacing w:val="0"/>
          <w:w w:val="100"/>
          <w:sz w:val="36"/>
        </w:rPr>
        <w:t>第一节</w:t>
      </w:r>
      <w:r>
        <w:rPr>
          <w:rFonts w:hint="eastAsia" w:ascii="黑体" w:hAnsi="黑体" w:eastAsia="黑体" w:cs="黑体"/>
          <w:b/>
          <w:bCs w:val="0"/>
          <w:sz w:val="22"/>
        </w:rPr>
        <w:t xml:space="preserve"> </w:t>
      </w:r>
      <w:r>
        <w:rPr>
          <w:rFonts w:hint="eastAsia" w:ascii="黑体" w:hAnsi="黑体" w:eastAsia="黑体" w:cs="黑体"/>
          <w:b/>
          <w:bCs w:val="0"/>
          <w:sz w:val="22"/>
          <w:lang w:val="en-US" w:eastAsia="zh-CN"/>
        </w:rPr>
        <w:t xml:space="preserve"> </w:t>
      </w:r>
      <w:r>
        <w:rPr>
          <w:rFonts w:hint="eastAsia" w:ascii="黑体" w:hAnsi="黑体" w:eastAsia="黑体" w:cs="黑体"/>
          <w:b/>
          <w:bCs w:val="0"/>
          <w:i w:val="0"/>
          <w:color w:val="0B0D11"/>
          <w:spacing w:val="0"/>
          <w:w w:val="100"/>
          <w:sz w:val="36"/>
        </w:rPr>
        <w:t>本次发行基本情况</w:t>
      </w:r>
      <w:bookmarkEnd w:id="1"/>
      <w:r>
        <w:rPr>
          <w:rFonts w:ascii="Times New Roman" w:hAnsi="Times New Roman"/>
          <w:b/>
          <w:bCs w:val="0"/>
          <w:spacing w:val="61"/>
          <w:sz w:val="22"/>
        </w:rPr>
        <w:t xml:space="preserve"> </w:t>
      </w:r>
    </w:p>
    <w:p w14:paraId="5A43FC74">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0" w:rightChars="0" w:firstLine="627" w:firstLineChars="200"/>
        <w:jc w:val="left"/>
        <w:textAlignment w:val="auto"/>
        <w:outlineLvl w:val="1"/>
        <w:rPr>
          <w:sz w:val="32"/>
          <w:szCs w:val="32"/>
        </w:rPr>
      </w:pPr>
      <w:bookmarkStart w:id="2" w:name="_Toc4931"/>
      <w:r>
        <w:rPr>
          <w:rFonts w:ascii="黑体" w:hAnsi="黑体" w:eastAsia="黑体"/>
          <w:b/>
          <w:i w:val="0"/>
          <w:color w:val="0B0D11"/>
          <w:spacing w:val="-4"/>
          <w:w w:val="100"/>
          <w:sz w:val="32"/>
          <w:szCs w:val="32"/>
        </w:rPr>
        <w:t>一、基本情况</w:t>
      </w:r>
      <w:bookmarkEnd w:id="2"/>
      <w:r>
        <w:rPr>
          <w:rFonts w:ascii="Times New Roman" w:hAnsi="Times New Roman"/>
          <w:spacing w:val="77"/>
          <w:sz w:val="32"/>
          <w:szCs w:val="32"/>
        </w:rPr>
        <w:t xml:space="preserve"> </w:t>
      </w:r>
    </w:p>
    <w:p w14:paraId="71DDD5B5">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0" w:rightChars="0" w:firstLine="562" w:firstLineChars="200"/>
        <w:jc w:val="left"/>
        <w:textAlignment w:val="auto"/>
        <w:outlineLvl w:val="2"/>
        <w:rPr>
          <w:rFonts w:ascii="Times New Roman" w:hAnsi="Times New Roman"/>
          <w:spacing w:val="92"/>
          <w:sz w:val="28"/>
          <w:szCs w:val="28"/>
        </w:rPr>
      </w:pPr>
      <w:bookmarkStart w:id="3" w:name="_Toc18108"/>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(一)发行股份数量及募集资金总额</w:t>
      </w:r>
      <w:bookmarkEnd w:id="3"/>
    </w:p>
    <w:p w14:paraId="2B0B4A9E">
      <w:pPr>
        <w:keepNext w:val="0"/>
        <w:keepLines w:val="0"/>
        <w:pageBreakBefore w:val="0"/>
        <w:widowControl/>
        <w:kinsoku w:val="0"/>
        <w:wordWrap/>
        <w:overflowPunct/>
        <w:topLinePunct w:val="0"/>
        <w:autoSpaceDE w:val="0"/>
        <w:autoSpaceDN w:val="0"/>
        <w:bidi w:val="0"/>
        <w:adjustRightInd/>
        <w:snapToGrid/>
        <w:spacing w:after="0" w:line="550" w:lineRule="exact"/>
        <w:ind w:right="0" w:firstLine="560" w:firstLineChars="200"/>
        <w:jc w:val="left"/>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本次发行的股份数量为11,000万股，募集资金总额为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万元。 </w:t>
      </w:r>
    </w:p>
    <w:p w14:paraId="0455480E">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0"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4" w:name="_Toc5380"/>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(二)发行价格</w:t>
      </w:r>
      <w:bookmarkEnd w:id="4"/>
    </w:p>
    <w:p w14:paraId="5E7A35B9">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本次发行价格为每股1.0元人民币，计入实收资本；同时，认购人每认购1股，需另行出资0.44元用于补充本行资本公积作为有条件入股对价。</w:t>
      </w:r>
    </w:p>
    <w:p w14:paraId="39328547">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142" w:rightChars="0" w:firstLine="562" w:firstLineChars="200"/>
        <w:jc w:val="both"/>
        <w:textAlignment w:val="auto"/>
        <w:outlineLvl w:val="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5" w:name="_Toc11069"/>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(三)认购方式</w:t>
      </w:r>
      <w:bookmarkEnd w:id="5"/>
    </w:p>
    <w:p w14:paraId="11ED4906">
      <w:pPr>
        <w:keepNext w:val="0"/>
        <w:keepLines w:val="0"/>
        <w:pageBreakBefore w:val="0"/>
        <w:widowControl/>
        <w:kinsoku w:val="0"/>
        <w:wordWrap/>
        <w:overflowPunct/>
        <w:topLinePunct w:val="0"/>
        <w:autoSpaceDE w:val="0"/>
        <w:autoSpaceDN w:val="0"/>
        <w:bidi w:val="0"/>
        <w:adjustRightInd/>
        <w:snapToGrid/>
        <w:spacing w:after="0" w:line="550" w:lineRule="exact"/>
        <w:ind w:left="559" w:leftChars="254" w:right="288" w:firstLine="0" w:firstLineChars="0"/>
        <w:jc w:val="both"/>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本次定向发行的认购方式为以货币资金认购公司本次发行的股票。</w:t>
      </w:r>
    </w:p>
    <w:p w14:paraId="6B8F0C2F">
      <w:pPr>
        <w:keepNext w:val="0"/>
        <w:keepLines w:val="0"/>
        <w:pageBreakBefore w:val="0"/>
        <w:widowControl/>
        <w:kinsoku w:val="0"/>
        <w:wordWrap/>
        <w:overflowPunct/>
        <w:topLinePunct w:val="0"/>
        <w:autoSpaceDE w:val="0"/>
        <w:autoSpaceDN w:val="0"/>
        <w:bidi w:val="0"/>
        <w:adjustRightInd/>
        <w:snapToGrid/>
        <w:spacing w:after="0" w:line="550" w:lineRule="exact"/>
        <w:ind w:left="557" w:leftChars="253" w:right="289" w:rightChars="0" w:firstLine="0" w:firstLineChars="0"/>
        <w:jc w:val="both"/>
        <w:textAlignment w:val="auto"/>
        <w:outlineLvl w:val="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 w:name="_Toc29648"/>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)认购对象及认购股份数量</w:t>
      </w:r>
      <w:bookmarkEnd w:id="6"/>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14:paraId="05C295A5">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both"/>
        <w:textAlignment w:val="auto"/>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本次发行对象为江西农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村</w:t>
      </w:r>
      <w:r>
        <w:rPr>
          <w:rFonts w:hint="eastAsia" w:ascii="仿宋_GB2312" w:hAnsi="仿宋_GB2312" w:eastAsia="仿宋_GB2312" w:cs="仿宋_GB2312"/>
          <w:color w:val="000000" w:themeColor="text1"/>
          <w:sz w:val="28"/>
          <w:szCs w:val="28"/>
          <w:highlight w:val="none"/>
          <w14:textFill>
            <w14:solidFill>
              <w14:schemeClr w14:val="tx1"/>
            </w14:solidFill>
          </w14:textFill>
        </w:rPr>
        <w:t>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业</w:t>
      </w:r>
      <w:r>
        <w:rPr>
          <w:rFonts w:hint="eastAsia" w:ascii="仿宋_GB2312" w:hAnsi="仿宋_GB2312" w:eastAsia="仿宋_GB2312" w:cs="仿宋_GB2312"/>
          <w:color w:val="000000" w:themeColor="text1"/>
          <w:sz w:val="28"/>
          <w:szCs w:val="28"/>
          <w:highlight w:val="none"/>
          <w14:textFill>
            <w14:solidFill>
              <w14:schemeClr w14:val="tx1"/>
            </w14:solidFill>
          </w14:textFill>
        </w:rPr>
        <w:t>联合银行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股份有限公司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，合计认购新增股份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000</w:t>
      </w:r>
      <w:r>
        <w:rPr>
          <w:rFonts w:hint="eastAsia" w:ascii="仿宋_GB2312" w:hAnsi="仿宋_GB2312" w:eastAsia="仿宋_GB2312" w:cs="仿宋_GB2312"/>
          <w:color w:val="000000" w:themeColor="text1"/>
          <w:sz w:val="28"/>
          <w:szCs w:val="28"/>
          <w:highlight w:val="none"/>
          <w14:textFill>
            <w14:solidFill>
              <w14:schemeClr w14:val="tx1"/>
            </w14:solidFill>
          </w14:textFill>
        </w:rPr>
        <w:t>万股。具体情况如下：</w:t>
      </w:r>
    </w:p>
    <w:tbl>
      <w:tblPr>
        <w:tblStyle w:val="12"/>
        <w:tblpPr w:leftFromText="180" w:rightFromText="180" w:vertAnchor="text" w:horzAnchor="page" w:tblpX="1470" w:tblpY="183"/>
        <w:tblOverlap w:val="never"/>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95"/>
        <w:gridCol w:w="4710"/>
        <w:gridCol w:w="2955"/>
      </w:tblGrid>
      <w:tr w14:paraId="7A4B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0D76">
            <w:pPr>
              <w:keepNext w:val="0"/>
              <w:keepLines w:val="0"/>
              <w:widowControl/>
              <w:suppressLineNumbers w:val="0"/>
              <w:jc w:val="center"/>
              <w:textAlignment w:val="center"/>
              <w:rPr>
                <w:rFonts w:hint="eastAsia" w:ascii="宋体" w:hAnsi="宋体" w:eastAsia="宋体" w:cs="宋体"/>
                <w:i w:val="0"/>
                <w:color w:val="191B1F"/>
                <w:sz w:val="20"/>
                <w:szCs w:val="20"/>
                <w:u w:val="none"/>
              </w:rPr>
            </w:pPr>
            <w:r>
              <w:rPr>
                <w:rFonts w:hint="eastAsia" w:ascii="宋体" w:hAnsi="宋体" w:eastAsia="宋体" w:cs="宋体"/>
                <w:i w:val="0"/>
                <w:color w:val="191B1F"/>
                <w:kern w:val="0"/>
                <w:sz w:val="20"/>
                <w:szCs w:val="20"/>
                <w:u w:val="none"/>
                <w:lang w:val="en-US" w:eastAsia="zh-CN" w:bidi="ar"/>
              </w:rPr>
              <w:t>序号</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DE5">
            <w:pPr>
              <w:keepNext w:val="0"/>
              <w:keepLines w:val="0"/>
              <w:widowControl/>
              <w:suppressLineNumbers w:val="0"/>
              <w:jc w:val="center"/>
              <w:textAlignment w:val="center"/>
              <w:rPr>
                <w:rFonts w:hint="eastAsia" w:ascii="宋体" w:hAnsi="宋体" w:eastAsia="宋体" w:cs="宋体"/>
                <w:b/>
                <w:i w:val="0"/>
                <w:color w:val="191B1F"/>
                <w:sz w:val="20"/>
                <w:szCs w:val="20"/>
                <w:u w:val="none"/>
              </w:rPr>
            </w:pPr>
            <w:r>
              <w:rPr>
                <w:rFonts w:hint="eastAsia" w:ascii="宋体" w:hAnsi="宋体" w:eastAsia="宋体" w:cs="宋体"/>
                <w:b/>
                <w:i w:val="0"/>
                <w:color w:val="191B1F"/>
                <w:kern w:val="0"/>
                <w:sz w:val="20"/>
                <w:szCs w:val="20"/>
                <w:u w:val="none"/>
                <w:lang w:val="en-US" w:eastAsia="zh-CN" w:bidi="ar"/>
              </w:rPr>
              <w:t>发行对象</w:t>
            </w:r>
            <w:r>
              <w:rPr>
                <w:rFonts w:hint="default" w:ascii="Times New Roman" w:hAnsi="Times New Roman" w:eastAsia="宋体" w:cs="Times New Roman"/>
                <w:i w:val="0"/>
                <w:color w:val="000000"/>
                <w:kern w:val="0"/>
                <w:sz w:val="20"/>
                <w:szCs w:val="20"/>
                <w:u w:val="none"/>
                <w:lang w:val="en-US" w:eastAsia="zh-CN" w:bidi="ar"/>
              </w:rPr>
              <w:t xml:space="preserve">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111">
            <w:pPr>
              <w:keepNext w:val="0"/>
              <w:keepLines w:val="0"/>
              <w:widowControl/>
              <w:suppressLineNumbers w:val="0"/>
              <w:jc w:val="center"/>
              <w:textAlignment w:val="center"/>
              <w:rPr>
                <w:rFonts w:hint="eastAsia" w:ascii="宋体" w:hAnsi="宋体" w:eastAsia="宋体" w:cs="宋体"/>
                <w:b/>
                <w:i w:val="0"/>
                <w:color w:val="191B1F"/>
                <w:sz w:val="20"/>
                <w:szCs w:val="20"/>
                <w:u w:val="none"/>
              </w:rPr>
            </w:pPr>
            <w:r>
              <w:rPr>
                <w:rFonts w:hint="eastAsia" w:ascii="宋体" w:hAnsi="宋体" w:eastAsia="宋体" w:cs="宋体"/>
                <w:b/>
                <w:i w:val="0"/>
                <w:color w:val="191B1F"/>
                <w:kern w:val="0"/>
                <w:sz w:val="20"/>
                <w:szCs w:val="20"/>
                <w:u w:val="none"/>
                <w:lang w:val="en-US" w:eastAsia="zh-CN" w:bidi="ar"/>
              </w:rPr>
              <w:t>认购股份数量（股）</w:t>
            </w:r>
          </w:p>
        </w:tc>
      </w:tr>
      <w:tr w14:paraId="686E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6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D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江西农村商业联合银行股份有限公司</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57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宋体" w:hAnsi="宋体" w:eastAsia="宋体" w:cs="宋体"/>
                <w:i w:val="0"/>
                <w:color w:val="000000"/>
                <w:kern w:val="0"/>
                <w:sz w:val="22"/>
                <w:szCs w:val="22"/>
                <w:u w:val="none"/>
                <w:lang w:val="en-US" w:eastAsia="zh-CN" w:bidi="ar"/>
              </w:rPr>
              <w:t>000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宋体" w:hAnsi="宋体" w:eastAsia="宋体" w:cs="宋体"/>
                <w:i w:val="0"/>
                <w:color w:val="000000"/>
                <w:kern w:val="0"/>
                <w:sz w:val="22"/>
                <w:szCs w:val="22"/>
                <w:u w:val="none"/>
                <w:lang w:val="en-US" w:eastAsia="zh-CN" w:bidi="ar"/>
              </w:rPr>
              <w:t>000</w:t>
            </w:r>
          </w:p>
        </w:tc>
      </w:tr>
      <w:tr w14:paraId="702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A4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7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宋体" w:hAnsi="宋体" w:eastAsia="宋体" w:cs="宋体"/>
                <w:i w:val="0"/>
                <w:color w:val="000000"/>
                <w:kern w:val="0"/>
                <w:sz w:val="22"/>
                <w:szCs w:val="22"/>
                <w:u w:val="none"/>
                <w:lang w:val="en-US" w:eastAsia="zh-CN" w:bidi="ar"/>
              </w:rPr>
              <w:t>000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宋体" w:hAnsi="宋体" w:eastAsia="宋体" w:cs="宋体"/>
                <w:i w:val="0"/>
                <w:color w:val="000000"/>
                <w:kern w:val="0"/>
                <w:sz w:val="22"/>
                <w:szCs w:val="22"/>
                <w:u w:val="none"/>
                <w:lang w:val="en-US" w:eastAsia="zh-CN" w:bidi="ar"/>
              </w:rPr>
              <w:t>000</w:t>
            </w:r>
          </w:p>
        </w:tc>
      </w:tr>
    </w:tbl>
    <w:p w14:paraId="28630E14">
      <w:pPr>
        <w:keepNext w:val="0"/>
        <w:keepLines w:val="0"/>
        <w:pageBreakBefore w:val="0"/>
        <w:widowControl/>
        <w:kinsoku w:val="0"/>
        <w:wordWrap/>
        <w:overflowPunct/>
        <w:topLinePunct w:val="0"/>
        <w:autoSpaceDE w:val="0"/>
        <w:autoSpaceDN w:val="0"/>
        <w:bidi w:val="0"/>
        <w:adjustRightInd/>
        <w:snapToGrid/>
        <w:spacing w:after="0" w:line="550" w:lineRule="exact"/>
        <w:ind w:right="289" w:rightChars="0" w:firstLine="562" w:firstLineChars="200"/>
        <w:jc w:val="both"/>
        <w:textAlignment w:val="auto"/>
        <w:outlineLvl w:val="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7" w:name="_Toc3344"/>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)认购资金来源</w:t>
      </w:r>
      <w:bookmarkEnd w:id="7"/>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14:paraId="62267A77">
      <w:pPr>
        <w:keepNext w:val="0"/>
        <w:keepLines w:val="0"/>
        <w:pageBreakBefore w:val="0"/>
        <w:widowControl/>
        <w:kinsoku w:val="0"/>
        <w:wordWrap/>
        <w:overflowPunct/>
        <w:topLinePunct w:val="0"/>
        <w:autoSpaceDE w:val="0"/>
        <w:autoSpaceDN w:val="0"/>
        <w:bidi w:val="0"/>
        <w:adjustRightInd/>
        <w:snapToGrid/>
        <w:spacing w:before="174" w:after="0" w:line="550" w:lineRule="exact"/>
        <w:ind w:right="320" w:firstLine="560" w:firstLineChars="200"/>
        <w:jc w:val="both"/>
        <w:textAlignment w:val="auto"/>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根据江西农村商业联合银行股份有限公司向本行签署的《承诺函》,本次江西农村商业联合银行股份有限公司承诺入股资金为自有资金，不存在以委托资金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债务资金等非自有资金入股的情形。</w:t>
      </w:r>
      <w:r>
        <w:rPr>
          <w:rFonts w:ascii="Times New Roman" w:hAnsi="Times New Roman"/>
          <w:spacing w:val="3078"/>
          <w:sz w:val="22"/>
        </w:rPr>
        <w:t xml:space="preserve"> </w:t>
      </w:r>
    </w:p>
    <w:p w14:paraId="09C8AB76">
      <w:pPr>
        <w:keepNext w:val="0"/>
        <w:keepLines w:val="0"/>
        <w:pageBreakBefore w:val="0"/>
        <w:widowControl/>
        <w:kinsoku w:val="0"/>
        <w:wordWrap/>
        <w:overflowPunct/>
        <w:topLinePunct w:val="0"/>
        <w:autoSpaceDE w:val="0"/>
        <w:autoSpaceDN w:val="0"/>
        <w:bidi w:val="0"/>
        <w:adjustRightInd/>
        <w:snapToGrid/>
        <w:spacing w:after="0" w:line="550" w:lineRule="exact"/>
        <w:ind w:right="289" w:rightChars="0" w:firstLine="562" w:firstLineChars="200"/>
        <w:jc w:val="both"/>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8" w:name="_Toc27224"/>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现有股东优先认购情况</w:t>
      </w:r>
      <w:bookmarkEnd w:id="8"/>
    </w:p>
    <w:p w14:paraId="14AD205D">
      <w:pPr>
        <w:pStyle w:val="5"/>
        <w:keepNext w:val="0"/>
        <w:keepLines w:val="0"/>
        <w:pageBreakBefore w:val="0"/>
        <w:widowControl/>
        <w:numPr>
          <w:ilvl w:val="0"/>
          <w:numId w:val="0"/>
        </w:numPr>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en-US" w:bidi="ar-SA"/>
          <w14:textFill>
            <w14:solidFill>
              <w14:schemeClr w14:val="tx1"/>
            </w14:solidFill>
          </w14:textFill>
        </w:rPr>
        <w:t>本次增资扩股为定向</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发行</w:t>
      </w:r>
      <w:r>
        <w:rPr>
          <w:rFonts w:hint="eastAsia" w:ascii="仿宋_GB2312" w:hAnsi="仿宋_GB2312" w:eastAsia="仿宋_GB2312" w:cs="仿宋_GB2312"/>
          <w:color w:val="000000" w:themeColor="text1"/>
          <w:sz w:val="28"/>
          <w:szCs w:val="28"/>
          <w:highlight w:val="none"/>
          <w:lang w:val="en-US" w:eastAsia="en-US" w:bidi="ar-SA"/>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发行</w:t>
      </w:r>
      <w:r>
        <w:rPr>
          <w:rFonts w:hint="eastAsia" w:ascii="仿宋_GB2312" w:hAnsi="仿宋_GB2312" w:eastAsia="仿宋_GB2312" w:cs="仿宋_GB2312"/>
          <w:color w:val="000000" w:themeColor="text1"/>
          <w:sz w:val="28"/>
          <w:szCs w:val="28"/>
          <w:highlight w:val="none"/>
          <w:lang w:val="en-US" w:eastAsia="en-US" w:bidi="ar-SA"/>
          <w14:textFill>
            <w14:solidFill>
              <w14:schemeClr w14:val="tx1"/>
            </w14:solidFill>
          </w14:textFill>
        </w:rPr>
        <w:t>对象为为符合资格条件的省属、市属、县属国有企业。但同等条件下本行股东享有优先认购权。</w:t>
      </w:r>
    </w:p>
    <w:p w14:paraId="242DF2DC">
      <w:pPr>
        <w:pStyle w:val="5"/>
        <w:keepNext w:val="0"/>
        <w:keepLines w:val="0"/>
        <w:pageBreakBefore w:val="0"/>
        <w:widowControl/>
        <w:numPr>
          <w:ilvl w:val="0"/>
          <w:numId w:val="0"/>
        </w:numPr>
        <w:wordWrap/>
        <w:overflowPunct/>
        <w:topLinePunct w:val="0"/>
        <w:bidi w:val="0"/>
        <w:adjustRightInd/>
        <w:snapToGrid/>
        <w:spacing w:beforeLines="0" w:afterLines="0" w:line="550" w:lineRule="exact"/>
        <w:ind w:firstLine="562" w:firstLineChars="200"/>
        <w:textAlignment w:val="auto"/>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实际募集资金总额及投入安排</w:t>
      </w:r>
    </w:p>
    <w:p w14:paraId="2857E90D">
      <w:pPr>
        <w:keepNext w:val="0"/>
        <w:keepLines w:val="0"/>
        <w:pageBreakBefore w:val="0"/>
        <w:widowControl/>
        <w:numPr>
          <w:ilvl w:val="0"/>
          <w:numId w:val="0"/>
        </w:numPr>
        <w:wordWrap/>
        <w:overflowPunct/>
        <w:topLinePunct w:val="0"/>
        <w:bidi w:val="0"/>
        <w:adjustRightInd/>
        <w:snapToGrid/>
        <w:spacing w:before="0" w:after="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根据信永中和会计师事务所（特殊普通合伙）出具的《江西赣昌农村商业银行股份有限公司验资报告》(XYZH/2025SZAB1B0410),本次募集资金总额为15</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 xml:space="preserve">840万元。 </w:t>
      </w:r>
    </w:p>
    <w:p w14:paraId="2CF9C31C">
      <w:pPr>
        <w:keepNext w:val="0"/>
        <w:keepLines w:val="0"/>
        <w:pageBreakBefore w:val="0"/>
        <w:widowControl/>
        <w:kinsoku w:val="0"/>
        <w:wordWrap/>
        <w:overflowPunct/>
        <w:topLinePunct w:val="0"/>
        <w:autoSpaceDE w:val="0"/>
        <w:autoSpaceDN w:val="0"/>
        <w:bidi w:val="0"/>
        <w:adjustRightInd/>
        <w:snapToGrid/>
        <w:spacing w:before="254" w:after="0" w:line="550" w:lineRule="exact"/>
        <w:ind w:right="288"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本次募集资金在扣除发行费用后的募集资金净额用于补充本行核心资本金、压降风险。其中：11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000万元用于增加资本金，以提高资本充足率，增强经营实力；4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t>840万元用于补充本行资本公积作为有条件入股对价。</w:t>
      </w:r>
    </w:p>
    <w:p w14:paraId="7789D3D1">
      <w:pPr>
        <w:keepNext w:val="0"/>
        <w:keepLines w:val="0"/>
        <w:pageBreakBefore w:val="0"/>
        <w:widowControl/>
        <w:kinsoku w:val="0"/>
        <w:wordWrap/>
        <w:overflowPunct/>
        <w:topLinePunct w:val="0"/>
        <w:autoSpaceDE w:val="0"/>
        <w:autoSpaceDN w:val="0"/>
        <w:bidi w:val="0"/>
        <w:adjustRightInd/>
        <w:snapToGrid/>
        <w:spacing w:after="0" w:line="550" w:lineRule="exact"/>
        <w:ind w:right="289" w:rightChars="0" w:firstLine="562" w:firstLineChars="200"/>
        <w:jc w:val="both"/>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9" w:name="_Toc4501"/>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新增股份限售安排</w:t>
      </w:r>
      <w:bookmarkEnd w:id="9"/>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7F3AFB2E">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本次定向募股未在协议中约定自愿限售安排。 </w:t>
      </w:r>
    </w:p>
    <w:p w14:paraId="31354E2C">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参与本次定向发行的投资者已按照《公司法 》《商业银行股权管理暂行办法》《中国银保监会农村中小银行机构行政许可事项实施办法》及其他相关规定的要求出具了《商业银行主要股东承诺书》：“除法律法规、监管规定的特殊情形外，自取得赣昌农商银行股权之日起5年内不转让所持有的股权。”除上述列明的情形外，本次定向发行股票无其他限售安排或自愿锁定承诺。 </w:t>
      </w:r>
    </w:p>
    <w:p w14:paraId="64E1523F">
      <w:pPr>
        <w:keepNext w:val="0"/>
        <w:keepLines w:val="0"/>
        <w:pageBreakBefore w:val="0"/>
        <w:widowControl/>
        <w:kinsoku w:val="0"/>
        <w:wordWrap/>
        <w:overflowPunct/>
        <w:topLinePunct w:val="0"/>
        <w:autoSpaceDE w:val="0"/>
        <w:autoSpaceDN w:val="0"/>
        <w:bidi w:val="0"/>
        <w:adjustRightInd/>
        <w:snapToGrid/>
        <w:spacing w:after="0" w:line="550" w:lineRule="exact"/>
        <w:ind w:right="289"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10" w:name="_Toc28685"/>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募集资金专项账户的设立及保证募集资金合理使用的措施</w:t>
      </w:r>
      <w:bookmarkEnd w:id="10"/>
    </w:p>
    <w:p w14:paraId="6847A9AB">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both"/>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就本次定向发行事宜，公司董事会、股东会审议通过了本次增资扩股方案的议案，公司为本次股票发行设立募集资金专项账户，对本次发行的募集资金进行专户管理。公司已在江西赣昌农村商业银行股份有限公司开立募集资金专项账户用于本次定向发行募集资金的存储和管理，账户名称：江西赣昌农村商业银行股份有限公司验资专户，账户号：1010301262122000010005，以规范募集资金管理，保护投资者合法权益。</w:t>
      </w:r>
    </w:p>
    <w:p w14:paraId="6D0B7CF0">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《江西赣昌农村商业银行股份有限公司定向募股实施方案》中明确了募集资金的使用用途为本次发行拟募集资金总额不超28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800万元（含）资金，扣除发行费用后的募集资金净额拟用于补充本行核心资本金、压降风险。其中：20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000万元用于增加资本金，以提高资本充足率，增强经营实力；8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800万元用于购买本行不良资产作为有条件入股对价。截至本报告书出具之日实际发行的股份数量为11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000万股，募集资金总额为15</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840万元。对于以上募集资金的使用，有如下措施保证其按计划使用： </w:t>
      </w:r>
    </w:p>
    <w:p w14:paraId="78715DD6">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1.所有募集资金的支出，均会依照公司内部财务管理制度履行严格的审批手续。 </w:t>
      </w:r>
    </w:p>
    <w:p w14:paraId="30CE8574">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2.资金支付必须依据合规的流程办理资金划转，确保资金流向清晰、有据可查。 </w:t>
      </w:r>
    </w:p>
    <w:p w14:paraId="3F982198">
      <w:pPr>
        <w:keepNext w:val="0"/>
        <w:keepLines w:val="0"/>
        <w:pageBreakBefore w:val="0"/>
        <w:widowControl/>
        <w:kinsoku w:val="0"/>
        <w:wordWrap/>
        <w:overflowPunct/>
        <w:topLinePunct w:val="0"/>
        <w:autoSpaceDE w:val="0"/>
        <w:autoSpaceDN w:val="0"/>
        <w:bidi w:val="0"/>
        <w:adjustRightInd/>
        <w:snapToGrid/>
        <w:spacing w:after="0" w:line="550" w:lineRule="exact"/>
        <w:ind w:right="144"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3.公司的审计部门将负责对募集资金的存放、使用及管理情况进行定期或不定期审计，以确保资金的合规和透明。 </w:t>
      </w:r>
    </w:p>
    <w:p w14:paraId="553AF0D7">
      <w:pPr>
        <w:keepNext w:val="0"/>
        <w:keepLines w:val="0"/>
        <w:pageBreakBefore w:val="0"/>
        <w:widowControl/>
        <w:kinsoku w:val="0"/>
        <w:wordWrap/>
        <w:overflowPunct/>
        <w:topLinePunct w:val="0"/>
        <w:autoSpaceDE w:val="0"/>
        <w:autoSpaceDN w:val="0"/>
        <w:bidi w:val="0"/>
        <w:adjustRightInd/>
        <w:snapToGrid/>
        <w:spacing w:before="282" w:after="0" w:line="550" w:lineRule="exact"/>
        <w:ind w:left="0" w:leftChars="0" w:right="0" w:rightChars="0" w:firstLine="627" w:firstLineChars="200"/>
        <w:jc w:val="left"/>
        <w:textAlignment w:val="auto"/>
        <w:outlineLvl w:val="1"/>
        <w:rPr>
          <w:rFonts w:ascii="Times New Roman" w:hAnsi="Times New Roman"/>
          <w:spacing w:val="57"/>
          <w:sz w:val="32"/>
          <w:szCs w:val="32"/>
        </w:rPr>
      </w:pPr>
      <w:bookmarkStart w:id="11" w:name="_Toc25544"/>
      <w:r>
        <w:rPr>
          <w:rFonts w:ascii="黑体" w:hAnsi="黑体" w:eastAsia="黑体"/>
          <w:b/>
          <w:i w:val="0"/>
          <w:color w:val="070A0E"/>
          <w:spacing w:val="-4"/>
          <w:w w:val="100"/>
          <w:sz w:val="32"/>
          <w:szCs w:val="32"/>
        </w:rPr>
        <w:t>二</w:t>
      </w:r>
      <w:r>
        <w:rPr>
          <w:rFonts w:hint="eastAsia" w:ascii="黑体" w:hAnsi="黑体" w:eastAsia="黑体"/>
          <w:b/>
          <w:i w:val="0"/>
          <w:color w:val="070A0E"/>
          <w:spacing w:val="-4"/>
          <w:w w:val="100"/>
          <w:sz w:val="32"/>
          <w:szCs w:val="32"/>
          <w:lang w:eastAsia="zh-CN"/>
        </w:rPr>
        <w:t>、</w:t>
      </w:r>
      <w:r>
        <w:rPr>
          <w:rFonts w:ascii="黑体" w:hAnsi="黑体" w:eastAsia="黑体"/>
          <w:b/>
          <w:i w:val="0"/>
          <w:color w:val="070A0E"/>
          <w:spacing w:val="0"/>
          <w:w w:val="100"/>
          <w:sz w:val="32"/>
          <w:szCs w:val="32"/>
        </w:rPr>
        <w:t>本次股份发行履行的审批、核准程序</w:t>
      </w:r>
      <w:bookmarkEnd w:id="11"/>
      <w:r>
        <w:rPr>
          <w:rFonts w:ascii="Times New Roman" w:hAnsi="Times New Roman"/>
          <w:spacing w:val="57"/>
          <w:sz w:val="32"/>
          <w:szCs w:val="32"/>
        </w:rPr>
        <w:t xml:space="preserve"> </w:t>
      </w:r>
    </w:p>
    <w:p w14:paraId="712F8150">
      <w:pPr>
        <w:keepNext w:val="0"/>
        <w:keepLines w:val="0"/>
        <w:pageBreakBefore w:val="0"/>
        <w:widowControl/>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本次定向发行经公司董事会和股东会审议通过，具体审议情况如下：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12A27B21">
      <w:pPr>
        <w:keepNext w:val="0"/>
        <w:keepLines w:val="0"/>
        <w:pageBreakBefore w:val="0"/>
        <w:widowControl/>
        <w:kinsoku w:val="0"/>
        <w:wordWrap/>
        <w:overflowPunct/>
        <w:topLinePunct w:val="0"/>
        <w:autoSpaceDE w:val="0"/>
        <w:autoSpaceDN w:val="0"/>
        <w:bidi w:val="0"/>
        <w:adjustRightInd/>
        <w:snapToGrid/>
        <w:spacing w:before="250" w:after="0" w:line="550" w:lineRule="exact"/>
        <w:ind w:left="0" w:leftChars="0" w:right="0" w:rightChars="0" w:firstLine="562" w:firstLineChars="200"/>
        <w:jc w:val="left"/>
        <w:textAlignment w:val="auto"/>
        <w:outlineLvl w:val="2"/>
        <w:rPr>
          <w:sz w:val="28"/>
          <w:szCs w:val="28"/>
        </w:rPr>
      </w:pPr>
      <w:bookmarkStart w:id="12" w:name="_Toc30753"/>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(一)本次发行已经履行的程序</w:t>
      </w:r>
      <w:bookmarkEnd w:id="12"/>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76E8A8C5">
      <w:pPr>
        <w:keepNext w:val="0"/>
        <w:keepLines w:val="0"/>
        <w:pageBreakBefore w:val="0"/>
        <w:widowControl/>
        <w:kinsoku w:val="0"/>
        <w:wordWrap/>
        <w:overflowPunct/>
        <w:topLinePunct w:val="0"/>
        <w:autoSpaceDE w:val="0"/>
        <w:autoSpaceDN w:val="0"/>
        <w:bidi w:val="0"/>
        <w:adjustRightInd/>
        <w:snapToGrid/>
        <w:spacing w:before="284" w:after="0" w:line="550" w:lineRule="exact"/>
        <w:ind w:right="0" w:firstLine="562" w:firstLineChars="200"/>
        <w:jc w:val="left"/>
        <w:textAlignment w:val="auto"/>
      </w:pPr>
      <w:r>
        <w:rPr>
          <w:rFonts w:hint="eastAsia" w:ascii="仿宋_GB2312" w:hAnsi="仿宋_GB2312" w:eastAsia="仿宋_GB2312" w:cs="仿宋_GB2312"/>
          <w:b/>
          <w:bCs/>
          <w:color w:val="000000" w:themeColor="text1"/>
          <w:sz w:val="28"/>
          <w:szCs w:val="28"/>
          <w:highlight w:val="none"/>
          <w:lang w:val="en-US" w:eastAsia="zh-CN" w:bidi="ar-SA"/>
          <w14:textFill>
            <w14:solidFill>
              <w14:schemeClr w14:val="tx1"/>
            </w14:solidFill>
          </w14:textFill>
        </w:rPr>
        <w:t>1.董事会审议情况</w:t>
      </w:r>
      <w:r>
        <w:rPr>
          <w:rFonts w:ascii="Times New Roman" w:hAnsi="Times New Roman"/>
          <w:spacing w:val="5697"/>
          <w:sz w:val="22"/>
        </w:rPr>
        <w:t xml:space="preserve"> </w:t>
      </w:r>
    </w:p>
    <w:p w14:paraId="21D13E59">
      <w:pPr>
        <w:keepNext w:val="0"/>
        <w:keepLines w:val="0"/>
        <w:pageBreakBefore w:val="0"/>
        <w:widowControl/>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2025年7月21日，公司召开第三届董事会第二十三次会议，会议应到董事8名，实到董事8名，其中与本次定向增发相关的有11项，分别是《江西赣昌农村商业银行股份有限公司2025年定向募股实施方案》《江西赣昌农村商业银行股份有限公司定向募股说明书》《关于授权董事会代表江西赣昌农村商业银行股份有限公司全权办理本次发行具体事宜的议案》《关于信永中和会计师事务所（特殊普通合伙）所出具2023年度、2024年度、2025年1-3月审计报告的议案》《关于信永中和会计师事务所（特殊普通合伙）出具的清产核资专项审计报告的议案》《关于中瑞世联资产评估集团有限公司出具的资产评估报告的议案》《关于使用以前年度未分配利润补提贷款减值准备的议案》《关于江西赣昌农村商业银行股份有限公司定向发行股份募集资金运用可行性说明的议案》《关于江西赣昌农村商业银行股份有限公司定向发行股份认购协议的议案》《关于江西赣昌农村商业银行股份有限公司设立募集资金专项账户的议案》《关于江西农商联合银行收购存量股权的议案》。</w:t>
      </w:r>
    </w:p>
    <w:p w14:paraId="70D647F7">
      <w:pPr>
        <w:pStyle w:val="3"/>
        <w:keepNext w:val="0"/>
        <w:keepLines w:val="0"/>
        <w:pageBreakBefore w:val="0"/>
        <w:widowControl/>
        <w:wordWrap/>
        <w:overflowPunct/>
        <w:topLinePunct w:val="0"/>
        <w:bidi w:val="0"/>
        <w:adjustRightInd/>
        <w:snapToGrid/>
        <w:spacing w:beforeLines="0" w:afterLines="0" w:line="55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监事会审议情况</w:t>
      </w:r>
    </w:p>
    <w:p w14:paraId="1A92CCAE">
      <w:pPr>
        <w:keepNext w:val="0"/>
        <w:keepLines w:val="0"/>
        <w:pageBreakBefore w:val="0"/>
        <w:widowControl/>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2025年7月21日，公司第三届监事会第10次会议审议通过了《江西赣昌农村商业银行股份有限公司2025年定向募股实施方案》，与会监事听取了方案报告并发表了意见。</w:t>
      </w:r>
    </w:p>
    <w:p w14:paraId="534DDABD">
      <w:pPr>
        <w:keepNext w:val="0"/>
        <w:keepLines w:val="0"/>
        <w:pageBreakBefore w:val="0"/>
        <w:widowControl/>
        <w:wordWrap/>
        <w:overflowPunct/>
        <w:topLinePunct w:val="0"/>
        <w:bidi w:val="0"/>
        <w:adjustRightInd/>
        <w:snapToGrid/>
        <w:spacing w:beforeLines="0" w:afterLines="0" w:line="550" w:lineRule="exact"/>
        <w:ind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2025年7月21日，公司第三届监事会第10次会议审议通过了《江西赣昌农村商业银行股份有限公司2025年定向募股实施方案》，在董事会编制本次发行的文件时，公司监事会同步进行了审核。2025年7月21日，公司监事会对董事会编制的股票发行文件进行审核后，结合公司实际情况出具《审核意见》明确载明“本行监事对董事会编制的股票发行文件进行审核后，结合公司实际情况，确认公司符合发行条件。”</w:t>
      </w:r>
    </w:p>
    <w:p w14:paraId="3BA1D02B">
      <w:pPr>
        <w:keepNext w:val="0"/>
        <w:keepLines w:val="0"/>
        <w:pageBreakBefore w:val="0"/>
        <w:widowControl/>
        <w:wordWrap/>
        <w:overflowPunct/>
        <w:topLinePunct w:val="0"/>
        <w:bidi w:val="0"/>
        <w:adjustRightInd/>
        <w:snapToGrid/>
        <w:spacing w:beforeLines="0" w:afterLines="0" w:line="550" w:lineRule="exact"/>
        <w:ind w:left="950" w:leftChars="304" w:hanging="281" w:hangingChars="1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股东会审议情况</w:t>
      </w:r>
    </w:p>
    <w:p w14:paraId="4248490B">
      <w:pPr>
        <w:keepNext w:val="0"/>
        <w:keepLines w:val="0"/>
        <w:pageBreakBefore w:val="0"/>
        <w:widowControl/>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2025年8月10日，公司召开2024年度股东会，出席本次会议的股东及代表共72人，所持股份781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633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723股，占本行全部股份的69.84%;其中具有表决权的股份761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313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167股,占本行全部有效表决权的84.14%。会议审议通过了《江西赣昌农村商业银行股份有限公司2025年定向募股实施方案》《江西赣昌农村商业银行股份有限公司2025年定向募股说明书》《关于授权董事会代表江西赣昌农村商业银行股份有限公司全权办理增资扩股事宜的议案》《关于信永中和会计师事务所（特殊普通合伙）所出具2023年度、2024年度、2025年1-3月审计报告的议案》《关于信永中和会计师事务所（特殊普通合伙）出具的清产核资专项审计报告的议案》《关于中瑞世联资产评估集团有限公司出具的资产评估报告的议案》《关于使用以前年度未分配利润补提贷款减值准备的议案》《关于江西赣昌农村商业银行股份有限公司定向发行股份募集资金运用可行性说明的议案》《关于江西赣昌农村商业银行股份有限公司定向发行股份认购协议的议案》《关于江西赣昌农村商业银行股份有限公司设立募集资金专项账户的议案》《关于江西农商联合银行收购存量股权的议案》。 </w:t>
      </w:r>
    </w:p>
    <w:p w14:paraId="07FD381B">
      <w:pPr>
        <w:keepNext w:val="0"/>
        <w:keepLines w:val="0"/>
        <w:pageBreakBefore w:val="0"/>
        <w:widowControl/>
        <w:wordWrap/>
        <w:overflowPunct/>
        <w:topLinePunct w:val="0"/>
        <w:bidi w:val="0"/>
        <w:adjustRightInd/>
        <w:snapToGrid/>
        <w:spacing w:beforeLines="0" w:afterLines="0" w:line="55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北京市中伦文德（南昌）律师事务所指派律师列席了公司2024年度股东会进行见证并出具了《关于江西赣昌农村商业银行股份有限公司2024年度股东大会的法律意见书》,见证律师认为：本次会议的召开时间、地点及会议内容与会议通知的内容一致，会议的召集、召开程序符合现行有效的法律、行政法规及《章程》的规定，合法有效。 </w:t>
      </w:r>
    </w:p>
    <w:p w14:paraId="17EBFBB9">
      <w:pPr>
        <w:keepNext w:val="0"/>
        <w:keepLines w:val="0"/>
        <w:pageBreakBefore w:val="0"/>
        <w:widowControl/>
        <w:wordWrap/>
        <w:overflowPunct/>
        <w:topLinePunct w:val="0"/>
        <w:bidi w:val="0"/>
        <w:adjustRightInd/>
        <w:snapToGrid/>
        <w:spacing w:beforeLines="0" w:afterLines="0" w:line="550" w:lineRule="exact"/>
        <w:ind w:left="950" w:leftChars="304" w:hanging="281" w:hangingChars="1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银行业监督管理机构审批 </w:t>
      </w:r>
    </w:p>
    <w:p w14:paraId="6E206E5C">
      <w:pPr>
        <w:keepNext w:val="0"/>
        <w:keepLines w:val="0"/>
        <w:pageBreakBefore w:val="0"/>
        <w:widowControl/>
        <w:kinsoku w:val="0"/>
        <w:wordWrap/>
        <w:overflowPunct/>
        <w:topLinePunct w:val="0"/>
        <w:autoSpaceDE w:val="0"/>
        <w:autoSpaceDN w:val="0"/>
        <w:bidi w:val="0"/>
        <w:adjustRightInd/>
        <w:snapToGrid/>
        <w:spacing w:before="216" w:after="0" w:line="550" w:lineRule="exact"/>
        <w:ind w:right="144" w:firstLine="560" w:firstLineChars="200"/>
        <w:jc w:val="both"/>
        <w:textAlignment w:val="auto"/>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商业银行股权管理暂行办法》、《商业银行资本管理办法》、《中国银保监会农村中小银行机构行政许可事项实施办法》等相关规定，本行本次发行应当取得审核批准。2025年10月10日，国家金融监督管理总局江西监管局出具了《国家金融监督管理总局江西监管局关于赣昌农商银行2025年定向募股方案的批复》(赣金监复【2025】167号),原则同意赣昌农商银行定向募股实施方案。2026年2月5日，国家金融监督管理总局江西监管局出具了《江西金融监管局关于赣昌农商银行变更注册资本的批复》(赣金监复【2026】25号），同意江西农商联合银行对本行入股11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000万股。</w:t>
      </w:r>
    </w:p>
    <w:p w14:paraId="7A601744">
      <w:pPr>
        <w:keepNext w:val="0"/>
        <w:keepLines w:val="0"/>
        <w:pageBreakBefore w:val="0"/>
        <w:widowControl/>
        <w:wordWrap/>
        <w:overflowPunct/>
        <w:topLinePunct w:val="0"/>
        <w:bidi w:val="0"/>
        <w:adjustRightInd/>
        <w:snapToGrid/>
        <w:spacing w:beforeLines="0" w:afterLines="0" w:line="550" w:lineRule="exact"/>
        <w:ind w:left="950" w:leftChars="304" w:hanging="281" w:hangingChars="1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中国证监会核准 </w:t>
      </w:r>
    </w:p>
    <w:p w14:paraId="6FF5665A">
      <w:pPr>
        <w:keepNext w:val="0"/>
        <w:keepLines w:val="0"/>
        <w:pageBreakBefore w:val="0"/>
        <w:widowControl/>
        <w:kinsoku w:val="0"/>
        <w:wordWrap/>
        <w:overflowPunct/>
        <w:topLinePunct w:val="0"/>
        <w:autoSpaceDE w:val="0"/>
        <w:autoSpaceDN w:val="0"/>
        <w:bidi w:val="0"/>
        <w:adjustRightInd/>
        <w:snapToGrid/>
        <w:spacing w:before="216" w:after="0" w:line="550" w:lineRule="exact"/>
        <w:ind w:right="144" w:firstLine="560" w:firstLineChars="200"/>
        <w:jc w:val="left"/>
        <w:textAlignment w:val="auto"/>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中国证监会于2025年12月30日出具了《关于同意江西赣昌农村商业银行股份有限公司向特定对象发行股票注册的批复》(证监许可【2025】2976号），核准本次发行。</w:t>
      </w:r>
      <w:r>
        <w:rPr>
          <w:rFonts w:ascii="Times New Roman" w:hAnsi="Times New Roman"/>
          <w:spacing w:val="4434"/>
          <w:sz w:val="22"/>
        </w:rPr>
        <w:t xml:space="preserve"> </w:t>
      </w:r>
    </w:p>
    <w:p w14:paraId="5A381EFC">
      <w:pPr>
        <w:keepNext w:val="0"/>
        <w:keepLines w:val="0"/>
        <w:pageBreakBefore w:val="0"/>
        <w:widowControl/>
        <w:wordWrap/>
        <w:overflowPunct/>
        <w:topLinePunct w:val="0"/>
        <w:bidi w:val="0"/>
        <w:adjustRightInd/>
        <w:snapToGrid/>
        <w:spacing w:beforeLines="0" w:afterLines="0" w:line="550" w:lineRule="exact"/>
        <w:ind w:left="950" w:leftChars="304" w:hanging="281" w:hangingChars="100"/>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6.注册资本变更 </w:t>
      </w:r>
    </w:p>
    <w:p w14:paraId="4A7E42AF">
      <w:pPr>
        <w:keepNext w:val="0"/>
        <w:keepLines w:val="0"/>
        <w:pageBreakBefore w:val="0"/>
        <w:widowControl/>
        <w:kinsoku w:val="0"/>
        <w:wordWrap/>
        <w:overflowPunct/>
        <w:topLinePunct w:val="0"/>
        <w:autoSpaceDE w:val="0"/>
        <w:autoSpaceDN w:val="0"/>
        <w:bidi w:val="0"/>
        <w:adjustRightInd/>
        <w:snapToGrid/>
        <w:spacing w:before="216" w:after="0" w:line="550" w:lineRule="exact"/>
        <w:ind w:right="144" w:firstLine="56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国家金融监督管理总局江西监管局于2026年2月5日出具了《江西金融监管局关于赣昌农商银行变更注册资本的批复》(赣金监复【2026】25号），同意本行增加注册资本11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000万元人民币，由1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119</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145</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790元人民币变更为1</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229</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145</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790元人民币。</w:t>
      </w:r>
    </w:p>
    <w:p w14:paraId="5830B68E">
      <w:pPr>
        <w:keepNext w:val="0"/>
        <w:keepLines w:val="0"/>
        <w:pageBreakBefore w:val="0"/>
        <w:widowControl/>
        <w:kinsoku w:val="0"/>
        <w:wordWrap/>
        <w:overflowPunct/>
        <w:topLinePunct w:val="0"/>
        <w:autoSpaceDE w:val="0"/>
        <w:autoSpaceDN w:val="0"/>
        <w:bidi w:val="0"/>
        <w:adjustRightInd/>
        <w:snapToGrid/>
        <w:spacing w:before="250" w:after="0" w:line="550" w:lineRule="exact"/>
        <w:ind w:left="0" w:leftChars="0" w:right="0"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13" w:name="_Toc21931"/>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(二)本次发行无需履行的审批、核准程序</w:t>
      </w:r>
      <w:bookmarkEnd w:id="13"/>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6C3A85B4">
      <w:pPr>
        <w:keepNext w:val="0"/>
        <w:keepLines w:val="0"/>
        <w:pageBreakBefore w:val="0"/>
        <w:widowControl/>
        <w:kinsoku w:val="0"/>
        <w:wordWrap/>
        <w:overflowPunct/>
        <w:topLinePunct w:val="0"/>
        <w:autoSpaceDE w:val="0"/>
        <w:autoSpaceDN w:val="0"/>
        <w:bidi w:val="0"/>
        <w:adjustRightInd/>
        <w:snapToGrid/>
        <w:spacing w:before="216" w:after="0" w:line="550" w:lineRule="exact"/>
        <w:ind w:right="144" w:firstLine="560" w:firstLineChars="200"/>
        <w:jc w:val="both"/>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本行不属于《企业国有资产交易监督管理办法》(国资委、财政部令第32号)所认定的国有及国有控股企业、国有实际控制企业，本行无需就本次定向发行取得国资主管部门的审批。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2900045</wp:posOffset>
                </wp:positionH>
                <wp:positionV relativeFrom="paragraph">
                  <wp:posOffset>9498330</wp:posOffset>
                </wp:positionV>
                <wp:extent cx="96520" cy="166370"/>
                <wp:effectExtent l="0" t="0" r="0" b="0"/>
                <wp:wrapNone/>
                <wp:docPr id="6683" name="文本框 83"/>
                <wp:cNvGraphicFramePr/>
                <a:graphic xmlns:a="http://schemas.openxmlformats.org/drawingml/2006/main">
                  <a:graphicData uri="http://schemas.microsoft.com/office/word/2010/wordprocessingShape">
                    <wps:wsp>
                      <wps:cNvSpPr txBox="1"/>
                      <wps:spPr>
                        <a:xfrm rot="10800000">
                          <a:off x="2900679" y="9498330"/>
                          <a:ext cx="96520" cy="166370"/>
                        </a:xfrm>
                        <a:prstGeom prst="rect">
                          <a:avLst/>
                        </a:prstGeom>
                        <a:solidFill>
                          <a:srgbClr val="FFFFFF">
                            <a:alpha val="0"/>
                          </a:srgbClr>
                        </a:solidFill>
                      </wps:spPr>
                      <wps:txbx>
                        <w:txbxContent>
                          <w:p w14:paraId="756357D1">
                            <w:pPr>
                              <w:widowControl/>
                              <w:kinsoku w:val="0"/>
                              <w:autoSpaceDE w:val="0"/>
                              <w:autoSpaceDN w:val="0"/>
                              <w:spacing w:before="50" w:after="0" w:line="209" w:lineRule="auto"/>
                              <w:ind w:left="0" w:right="0" w:firstLine="0"/>
                              <w:jc w:val="right"/>
                            </w:pPr>
                            <w:r>
                              <w:rPr>
                                <w:rFonts w:ascii="Arial" w:hAnsi="Arial" w:eastAsia="Arial"/>
                                <w:b w:val="0"/>
                                <w:i w:val="0"/>
                                <w:color w:val="0D0E13"/>
                                <w:spacing w:val="0"/>
                                <w:w w:val="100"/>
                                <w:sz w:val="20"/>
                              </w:rPr>
                              <w:t>6</w:t>
                            </w:r>
                            <w:r>
                              <w:rPr>
                                <w:rFonts w:ascii="Times New Roman" w:hAnsi="Times New Roman"/>
                                <w:spacing w:val="51"/>
                                <w:sz w:val="20"/>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83" o:spid="_x0000_s1026" o:spt="202" type="#_x0000_t202" style="position:absolute;left:0pt;margin-left:228.35pt;margin-top:747.9pt;height:13.1pt;width:7.6pt;rotation:11796480f;z-index:251661312;mso-width-relative:page;mso-height-relative:page;" fillcolor="#FFFFFF" filled="t" stroked="f" coordsize="21600,21600" o:gfxdata="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y3b&#10;UdsAAAANAQAADwAAAAAAAAABACAAAAAiAAAAZHJzL2Rvd25yZXYueG1sUEsBAhQAFAAAAAgAh07i&#10;QIU9JSxYAgAAmAQAAA4AAAAAAAAAAQAgAAAAKgEAAGRycy9lMm9Eb2MueG1sUEsFBgAAAAAGAAYA&#10;WQEAAPQFAAAAAA==&#10;">
                <v:fill on="t" opacity="0f" focussize="0,0"/>
                <v:stroke on="f"/>
                <v:imagedata o:title=""/>
                <o:lock v:ext="edit" aspectratio="f"/>
                <v:textbox inset="0mm,0mm,0mm,0mm">
                  <w:txbxContent>
                    <w:p w14:paraId="756357D1">
                      <w:pPr>
                        <w:widowControl/>
                        <w:kinsoku w:val="0"/>
                        <w:autoSpaceDE w:val="0"/>
                        <w:autoSpaceDN w:val="0"/>
                        <w:spacing w:before="50" w:after="0" w:line="209" w:lineRule="auto"/>
                        <w:ind w:left="0" w:right="0" w:firstLine="0"/>
                        <w:jc w:val="right"/>
                      </w:pPr>
                      <w:r>
                        <w:rPr>
                          <w:rFonts w:ascii="Arial" w:hAnsi="Arial" w:eastAsia="Arial"/>
                          <w:b w:val="0"/>
                          <w:i w:val="0"/>
                          <w:color w:val="0D0E13"/>
                          <w:spacing w:val="0"/>
                          <w:w w:val="100"/>
                          <w:sz w:val="20"/>
                        </w:rPr>
                        <w:t>6</w:t>
                      </w:r>
                      <w:r>
                        <w:rPr>
                          <w:rFonts w:ascii="Times New Roman" w:hAnsi="Times New Roman"/>
                          <w:spacing w:val="51"/>
                          <w:sz w:val="20"/>
                        </w:rPr>
                        <w:t xml:space="preserve"> </w:t>
                      </w:r>
                    </w:p>
                  </w:txbxContent>
                </v:textbox>
              </v:shape>
            </w:pict>
          </mc:Fallback>
        </mc:AlternateContent>
      </w:r>
    </w:p>
    <w:p w14:paraId="5571F1A7">
      <w:pPr>
        <w:widowControl/>
        <w:kinsoku w:val="0"/>
        <w:autoSpaceDE w:val="0"/>
        <w:autoSpaceDN w:val="0"/>
        <w:spacing w:before="164" w:after="0" w:line="185" w:lineRule="auto"/>
        <w:ind w:right="0"/>
        <w:jc w:val="center"/>
        <w:rPr>
          <w:rFonts w:hint="eastAsia" w:ascii="黑体" w:hAnsi="黑体" w:eastAsia="黑体" w:cs="黑体"/>
          <w:b/>
          <w:bCs w:val="0"/>
          <w:i w:val="0"/>
          <w:color w:val="0B0D11"/>
          <w:spacing w:val="0"/>
          <w:w w:val="100"/>
          <w:sz w:val="36"/>
        </w:rPr>
      </w:pPr>
    </w:p>
    <w:p w14:paraId="0E834BFE">
      <w:pPr>
        <w:keepNext w:val="0"/>
        <w:keepLines w:val="0"/>
        <w:pageBreakBefore w:val="0"/>
        <w:widowControl/>
        <w:kinsoku w:val="0"/>
        <w:wordWrap/>
        <w:overflowPunct/>
        <w:topLinePunct w:val="0"/>
        <w:autoSpaceDE w:val="0"/>
        <w:autoSpaceDN w:val="0"/>
        <w:bidi w:val="0"/>
        <w:adjustRightInd/>
        <w:snapToGrid/>
        <w:spacing w:before="164" w:after="0" w:line="185" w:lineRule="auto"/>
        <w:ind w:left="0" w:leftChars="0" w:right="0" w:rightChars="0" w:firstLine="0" w:firstLineChars="0"/>
        <w:jc w:val="center"/>
        <w:textAlignment w:val="auto"/>
        <w:outlineLvl w:val="0"/>
        <w:rPr>
          <w:rFonts w:hint="eastAsia" w:ascii="黑体" w:hAnsi="黑体" w:eastAsia="黑体" w:cs="黑体"/>
          <w:b/>
          <w:bCs w:val="0"/>
          <w:i w:val="0"/>
          <w:color w:val="0B0D11"/>
          <w:spacing w:val="0"/>
          <w:w w:val="100"/>
          <w:sz w:val="36"/>
        </w:rPr>
      </w:pPr>
      <w:bookmarkStart w:id="14" w:name="_Toc29115"/>
      <w:r>
        <w:rPr>
          <w:rFonts w:hint="eastAsia" w:ascii="黑体" w:hAnsi="黑体" w:eastAsia="黑体" w:cs="黑体"/>
          <w:b/>
          <w:bCs w:val="0"/>
          <w:i w:val="0"/>
          <w:color w:val="0B0D11"/>
          <w:spacing w:val="0"/>
          <w:w w:val="100"/>
          <w:sz w:val="36"/>
        </w:rPr>
        <w:t>第二节  本次发行前后相关情况对比</w:t>
      </w:r>
      <w:bookmarkEnd w:id="14"/>
    </w:p>
    <w:p w14:paraId="05E36585">
      <w:pPr>
        <w:keepNext w:val="0"/>
        <w:keepLines w:val="0"/>
        <w:pageBreakBefore w:val="0"/>
        <w:widowControl/>
        <w:kinsoku w:val="0"/>
        <w:wordWrap/>
        <w:overflowPunct/>
        <w:topLinePunct w:val="0"/>
        <w:autoSpaceDE w:val="0"/>
        <w:autoSpaceDN w:val="0"/>
        <w:bidi w:val="0"/>
        <w:adjustRightInd/>
        <w:snapToGrid/>
        <w:spacing w:before="490" w:after="0" w:line="550" w:lineRule="exact"/>
        <w:ind w:left="0" w:leftChars="0" w:right="289" w:rightChars="0" w:firstLine="627" w:firstLineChars="200"/>
        <w:jc w:val="left"/>
        <w:textAlignment w:val="auto"/>
        <w:outlineLvl w:val="1"/>
        <w:rPr>
          <w:rFonts w:ascii="黑体" w:hAnsi="黑体" w:eastAsia="黑体"/>
          <w:b/>
          <w:i w:val="0"/>
          <w:color w:val="0D0E13"/>
          <w:spacing w:val="-4"/>
          <w:w w:val="100"/>
          <w:sz w:val="32"/>
          <w:szCs w:val="32"/>
        </w:rPr>
      </w:pPr>
      <w:bookmarkStart w:id="15" w:name="_Toc12852"/>
      <w:r>
        <w:rPr>
          <w:rFonts w:ascii="黑体" w:hAnsi="黑体" w:eastAsia="黑体"/>
          <w:b/>
          <w:i w:val="0"/>
          <w:color w:val="0D0E13"/>
          <w:spacing w:val="-4"/>
          <w:w w:val="100"/>
          <w:sz w:val="32"/>
          <w:szCs w:val="32"/>
        </w:rPr>
        <w:t>一</w:t>
      </w:r>
      <w:r>
        <w:rPr>
          <w:rFonts w:hint="eastAsia" w:ascii="黑体" w:hAnsi="黑体" w:eastAsia="黑体"/>
          <w:b/>
          <w:i w:val="0"/>
          <w:color w:val="0D0E13"/>
          <w:spacing w:val="-4"/>
          <w:w w:val="100"/>
          <w:sz w:val="32"/>
          <w:szCs w:val="32"/>
          <w:lang w:eastAsia="zh-CN"/>
        </w:rPr>
        <w:t>、</w:t>
      </w:r>
      <w:r>
        <w:rPr>
          <w:rFonts w:ascii="黑体" w:hAnsi="黑体" w:eastAsia="黑体"/>
          <w:b/>
          <w:i w:val="0"/>
          <w:color w:val="0D0E13"/>
          <w:spacing w:val="-4"/>
          <w:w w:val="100"/>
          <w:sz w:val="32"/>
          <w:szCs w:val="32"/>
        </w:rPr>
        <w:t>本次发行前后前十名股东持股数量、持股比例等比较情况</w:t>
      </w:r>
      <w:bookmarkEnd w:id="15"/>
    </w:p>
    <w:p w14:paraId="4090339F">
      <w:pPr>
        <w:keepNext w:val="0"/>
        <w:keepLines w:val="0"/>
        <w:pageBreakBefore w:val="0"/>
        <w:widowControl/>
        <w:kinsoku w:val="0"/>
        <w:wordWrap/>
        <w:overflowPunct/>
        <w:topLinePunct w:val="0"/>
        <w:autoSpaceDE w:val="0"/>
        <w:autoSpaceDN w:val="0"/>
        <w:bidi w:val="0"/>
        <w:adjustRightInd/>
        <w:snapToGrid/>
        <w:spacing w:before="490" w:after="0" w:line="550" w:lineRule="exact"/>
        <w:ind w:left="0" w:leftChars="0" w:right="289" w:rightChars="0" w:firstLine="562" w:firstLineChars="200"/>
        <w:jc w:val="left"/>
        <w:textAlignment w:val="auto"/>
        <w:outlineLvl w:val="2"/>
      </w:pPr>
      <w:bookmarkStart w:id="16" w:name="_Toc23230"/>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(一)本次发行前，前十名股东的持股情况</w:t>
      </w:r>
      <w:bookmarkEnd w:id="16"/>
      <w:r>
        <w:rPr>
          <w:rFonts w:ascii="Times New Roman" w:hAnsi="Times New Roman"/>
          <w:spacing w:val="2707"/>
          <w:sz w:val="22"/>
        </w:rPr>
        <w:t xml:space="preserve"> </w:t>
      </w:r>
    </w:p>
    <w:p w14:paraId="36FEC487">
      <w:pPr>
        <w:widowControl/>
        <w:kinsoku w:val="0"/>
        <w:autoSpaceDE w:val="0"/>
        <w:autoSpaceDN w:val="0"/>
        <w:spacing w:before="0" w:after="0" w:line="46" w:lineRule="exact"/>
        <w:ind w:left="0" w:right="0"/>
      </w:pPr>
    </w:p>
    <w:tbl>
      <w:tblPr>
        <w:tblStyle w:val="12"/>
        <w:tblpPr w:leftFromText="180" w:rightFromText="180" w:vertAnchor="text" w:horzAnchor="page" w:tblpX="1585" w:tblpY="259"/>
        <w:tblOverlap w:val="never"/>
        <w:tblW w:w="879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2"/>
        <w:gridCol w:w="3750"/>
        <w:gridCol w:w="1483"/>
        <w:gridCol w:w="1530"/>
        <w:gridCol w:w="1491"/>
      </w:tblGrid>
      <w:tr w14:paraId="1CCA6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42" w:type="dxa"/>
            <w:vAlign w:val="center"/>
          </w:tcPr>
          <w:p w14:paraId="4A54222E">
            <w:pPr>
              <w:pStyle w:val="17"/>
              <w:spacing w:beforeLines="0" w:afterLines="0" w:line="240" w:lineRule="exact"/>
              <w:ind w:firstLine="0" w:firstLineChars="0"/>
              <w:jc w:val="center"/>
              <w:rPr>
                <w:rFonts w:ascii="Times New Roman" w:hAnsi="Times New Roman" w:eastAsiaTheme="minorEastAsia"/>
                <w:color w:val="000000" w:themeColor="text1"/>
                <w:sz w:val="21"/>
                <w:highlight w:val="none"/>
                <w14:textFill>
                  <w14:solidFill>
                    <w14:schemeClr w14:val="tx1"/>
                  </w14:solidFill>
                </w14:textFill>
              </w:rPr>
            </w:pPr>
            <w:r>
              <w:rPr>
                <w:rFonts w:ascii="Times New Roman" w:hAnsi="Times New Roman" w:eastAsiaTheme="minorEastAsia"/>
                <w:color w:val="000000" w:themeColor="text1"/>
                <w:sz w:val="21"/>
                <w:highlight w:val="none"/>
                <w14:textFill>
                  <w14:solidFill>
                    <w14:schemeClr w14:val="tx1"/>
                  </w14:solidFill>
                </w14:textFill>
              </w:rPr>
              <w:t>序号</w:t>
            </w:r>
          </w:p>
        </w:tc>
        <w:tc>
          <w:tcPr>
            <w:tcW w:w="3750" w:type="dxa"/>
            <w:vAlign w:val="center"/>
          </w:tcPr>
          <w:p w14:paraId="02BA7705">
            <w:pPr>
              <w:pStyle w:val="17"/>
              <w:spacing w:beforeLines="0" w:afterLines="0" w:line="240" w:lineRule="exact"/>
              <w:ind w:firstLine="0" w:firstLineChars="0"/>
              <w:jc w:val="center"/>
              <w:rPr>
                <w:rFonts w:ascii="Times New Roman" w:hAnsi="Times New Roman" w:eastAsiaTheme="minorEastAsia"/>
                <w:color w:val="000000" w:themeColor="text1"/>
                <w:sz w:val="21"/>
                <w:highlight w:val="none"/>
                <w14:textFill>
                  <w14:solidFill>
                    <w14:schemeClr w14:val="tx1"/>
                  </w14:solidFill>
                </w14:textFill>
              </w:rPr>
            </w:pPr>
            <w:r>
              <w:rPr>
                <w:rFonts w:ascii="Times New Roman" w:hAnsi="Times New Roman" w:eastAsiaTheme="minorEastAsia"/>
                <w:color w:val="000000" w:themeColor="text1"/>
                <w:sz w:val="21"/>
                <w:highlight w:val="none"/>
                <w14:textFill>
                  <w14:solidFill>
                    <w14:schemeClr w14:val="tx1"/>
                  </w14:solidFill>
                </w14:textFill>
              </w:rPr>
              <w:t>股 东 名 称</w:t>
            </w:r>
          </w:p>
        </w:tc>
        <w:tc>
          <w:tcPr>
            <w:tcW w:w="1483" w:type="dxa"/>
            <w:vAlign w:val="center"/>
          </w:tcPr>
          <w:p w14:paraId="08D75275">
            <w:pPr>
              <w:pStyle w:val="17"/>
              <w:spacing w:beforeLines="0" w:afterLines="0" w:line="240" w:lineRule="exact"/>
              <w:ind w:firstLine="0" w:firstLineChars="0"/>
              <w:jc w:val="center"/>
              <w:rPr>
                <w:rFonts w:ascii="Times New Roman" w:hAnsi="Times New Roman" w:eastAsiaTheme="minorEastAsia"/>
                <w:color w:val="000000" w:themeColor="text1"/>
                <w:sz w:val="21"/>
                <w:highlight w:val="none"/>
                <w14:textFill>
                  <w14:solidFill>
                    <w14:schemeClr w14:val="tx1"/>
                  </w14:solidFill>
                </w14:textFill>
              </w:rPr>
            </w:pPr>
            <w:r>
              <w:rPr>
                <w:rFonts w:ascii="Times New Roman" w:hAnsi="Times New Roman" w:eastAsiaTheme="minorEastAsia"/>
                <w:color w:val="000000" w:themeColor="text1"/>
                <w:sz w:val="21"/>
                <w:highlight w:val="none"/>
                <w14:textFill>
                  <w14:solidFill>
                    <w14:schemeClr w14:val="tx1"/>
                  </w14:solidFill>
                </w14:textFill>
              </w:rPr>
              <w:t>股东性质</w:t>
            </w:r>
          </w:p>
        </w:tc>
        <w:tc>
          <w:tcPr>
            <w:tcW w:w="1530" w:type="dxa"/>
            <w:vAlign w:val="center"/>
          </w:tcPr>
          <w:p w14:paraId="7AE13C8D">
            <w:pPr>
              <w:pStyle w:val="17"/>
              <w:spacing w:beforeLines="0" w:afterLines="0" w:line="240" w:lineRule="exact"/>
              <w:ind w:firstLine="0" w:firstLineChars="0"/>
              <w:jc w:val="center"/>
              <w:rPr>
                <w:rFonts w:ascii="Times New Roman" w:hAnsi="Times New Roman" w:eastAsiaTheme="minorEastAsia"/>
                <w:color w:val="000000" w:themeColor="text1"/>
                <w:sz w:val="21"/>
                <w:highlight w:val="none"/>
                <w14:textFill>
                  <w14:solidFill>
                    <w14:schemeClr w14:val="tx1"/>
                  </w14:solidFill>
                </w14:textFill>
              </w:rPr>
            </w:pPr>
            <w:r>
              <w:rPr>
                <w:rFonts w:ascii="Times New Roman" w:hAnsi="Times New Roman" w:eastAsiaTheme="minorEastAsia"/>
                <w:color w:val="000000" w:themeColor="text1"/>
                <w:sz w:val="21"/>
                <w:highlight w:val="none"/>
                <w14:textFill>
                  <w14:solidFill>
                    <w14:schemeClr w14:val="tx1"/>
                  </w14:solidFill>
                </w14:textFill>
              </w:rPr>
              <w:t>持股数额（股）</w:t>
            </w:r>
          </w:p>
        </w:tc>
        <w:tc>
          <w:tcPr>
            <w:tcW w:w="1491" w:type="dxa"/>
            <w:vAlign w:val="center"/>
          </w:tcPr>
          <w:p w14:paraId="292BE887">
            <w:pPr>
              <w:pStyle w:val="17"/>
              <w:spacing w:beforeLines="0" w:afterLines="0" w:line="240" w:lineRule="exact"/>
              <w:ind w:firstLine="0" w:firstLineChars="0"/>
              <w:jc w:val="center"/>
              <w:rPr>
                <w:rFonts w:ascii="Times New Roman" w:hAnsi="Times New Roman" w:eastAsiaTheme="minorEastAsia"/>
                <w:color w:val="000000" w:themeColor="text1"/>
                <w:sz w:val="21"/>
                <w:highlight w:val="none"/>
                <w14:textFill>
                  <w14:solidFill>
                    <w14:schemeClr w14:val="tx1"/>
                  </w14:solidFill>
                </w14:textFill>
              </w:rPr>
            </w:pPr>
            <w:r>
              <w:rPr>
                <w:rFonts w:ascii="Times New Roman" w:hAnsi="Times New Roman" w:eastAsiaTheme="minorEastAsia"/>
                <w:color w:val="000000" w:themeColor="text1"/>
                <w:sz w:val="21"/>
                <w:highlight w:val="none"/>
                <w14:textFill>
                  <w14:solidFill>
                    <w14:schemeClr w14:val="tx1"/>
                  </w14:solidFill>
                </w14:textFill>
              </w:rPr>
              <w:t>持股比例（%）</w:t>
            </w:r>
          </w:p>
        </w:tc>
      </w:tr>
      <w:tr w14:paraId="3C15E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42" w:type="dxa"/>
            <w:vAlign w:val="center"/>
          </w:tcPr>
          <w:p w14:paraId="37223983">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1</w:t>
            </w:r>
          </w:p>
        </w:tc>
        <w:tc>
          <w:tcPr>
            <w:tcW w:w="3750" w:type="dxa"/>
            <w:vAlign w:val="center"/>
          </w:tcPr>
          <w:p w14:paraId="448C31BB">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江西农村商业联合银行股份有限公司</w:t>
            </w:r>
          </w:p>
        </w:tc>
        <w:tc>
          <w:tcPr>
            <w:tcW w:w="1483" w:type="dxa"/>
            <w:vAlign w:val="center"/>
          </w:tcPr>
          <w:p w14:paraId="7EC32256">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国有法人</w:t>
            </w:r>
          </w:p>
        </w:tc>
        <w:tc>
          <w:tcPr>
            <w:tcW w:w="1530" w:type="dxa"/>
            <w:vAlign w:val="center"/>
          </w:tcPr>
          <w:p w14:paraId="39B3CE6B">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64622294 </w:t>
            </w:r>
          </w:p>
        </w:tc>
        <w:tc>
          <w:tcPr>
            <w:tcW w:w="1491" w:type="dxa"/>
            <w:vAlign w:val="center"/>
          </w:tcPr>
          <w:p w14:paraId="30B1E2C4">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5.7743</w:t>
            </w:r>
          </w:p>
        </w:tc>
      </w:tr>
      <w:tr w14:paraId="2C665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2" w:type="dxa"/>
            <w:vAlign w:val="center"/>
          </w:tcPr>
          <w:p w14:paraId="149E3054">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2</w:t>
            </w:r>
          </w:p>
        </w:tc>
        <w:tc>
          <w:tcPr>
            <w:tcW w:w="3750" w:type="dxa"/>
            <w:vAlign w:val="center"/>
          </w:tcPr>
          <w:p w14:paraId="53ED27D6">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南昌小蓝经济技术开发区经济发展投资有限责任公司</w:t>
            </w:r>
          </w:p>
        </w:tc>
        <w:tc>
          <w:tcPr>
            <w:tcW w:w="1483" w:type="dxa"/>
            <w:vAlign w:val="center"/>
          </w:tcPr>
          <w:p w14:paraId="64966B58">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国有法人</w:t>
            </w:r>
          </w:p>
        </w:tc>
        <w:tc>
          <w:tcPr>
            <w:tcW w:w="1530" w:type="dxa"/>
            <w:vAlign w:val="center"/>
          </w:tcPr>
          <w:p w14:paraId="5ED49C51">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55000000 </w:t>
            </w:r>
          </w:p>
        </w:tc>
        <w:tc>
          <w:tcPr>
            <w:tcW w:w="1491" w:type="dxa"/>
            <w:vAlign w:val="center"/>
          </w:tcPr>
          <w:p w14:paraId="50FC9B6C">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4.9145</w:t>
            </w:r>
          </w:p>
        </w:tc>
      </w:tr>
      <w:tr w14:paraId="3D683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42" w:type="dxa"/>
            <w:vAlign w:val="center"/>
          </w:tcPr>
          <w:p w14:paraId="457BB20F">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3</w:t>
            </w:r>
          </w:p>
        </w:tc>
        <w:tc>
          <w:tcPr>
            <w:tcW w:w="3750" w:type="dxa"/>
            <w:vAlign w:val="center"/>
          </w:tcPr>
          <w:p w14:paraId="3C4AB59D">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南昌县交通建设投资发展有限公司</w:t>
            </w:r>
          </w:p>
        </w:tc>
        <w:tc>
          <w:tcPr>
            <w:tcW w:w="1483" w:type="dxa"/>
            <w:vAlign w:val="center"/>
          </w:tcPr>
          <w:p w14:paraId="1AD53ECB">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国有法人</w:t>
            </w:r>
          </w:p>
        </w:tc>
        <w:tc>
          <w:tcPr>
            <w:tcW w:w="1530" w:type="dxa"/>
            <w:vAlign w:val="center"/>
          </w:tcPr>
          <w:p w14:paraId="2624E524">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55000000 </w:t>
            </w:r>
          </w:p>
        </w:tc>
        <w:tc>
          <w:tcPr>
            <w:tcW w:w="1491" w:type="dxa"/>
            <w:vAlign w:val="center"/>
          </w:tcPr>
          <w:p w14:paraId="4AB557B9">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4.9145</w:t>
            </w:r>
          </w:p>
        </w:tc>
      </w:tr>
      <w:tr w14:paraId="5A719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2" w:type="dxa"/>
            <w:vAlign w:val="center"/>
          </w:tcPr>
          <w:p w14:paraId="25493AB5">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4</w:t>
            </w:r>
          </w:p>
        </w:tc>
        <w:tc>
          <w:tcPr>
            <w:tcW w:w="3750" w:type="dxa"/>
            <w:vAlign w:val="center"/>
          </w:tcPr>
          <w:p w14:paraId="558B1DA2">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南昌县文化旅游投资有限公司</w:t>
            </w:r>
          </w:p>
        </w:tc>
        <w:tc>
          <w:tcPr>
            <w:tcW w:w="1483" w:type="dxa"/>
            <w:vAlign w:val="center"/>
          </w:tcPr>
          <w:p w14:paraId="67B83AFD">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国有法人</w:t>
            </w:r>
          </w:p>
        </w:tc>
        <w:tc>
          <w:tcPr>
            <w:tcW w:w="1530" w:type="dxa"/>
            <w:vAlign w:val="center"/>
          </w:tcPr>
          <w:p w14:paraId="04ED1606">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55000000 </w:t>
            </w:r>
          </w:p>
        </w:tc>
        <w:tc>
          <w:tcPr>
            <w:tcW w:w="1491" w:type="dxa"/>
            <w:vAlign w:val="center"/>
          </w:tcPr>
          <w:p w14:paraId="0D680B11">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4.9145</w:t>
            </w:r>
          </w:p>
        </w:tc>
      </w:tr>
      <w:tr w14:paraId="14081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42" w:type="dxa"/>
            <w:vAlign w:val="center"/>
          </w:tcPr>
          <w:p w14:paraId="41E694F5">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5</w:t>
            </w:r>
          </w:p>
        </w:tc>
        <w:tc>
          <w:tcPr>
            <w:tcW w:w="3750" w:type="dxa"/>
            <w:vAlign w:val="center"/>
          </w:tcPr>
          <w:p w14:paraId="625F9001">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南昌市熠顺实业有限公司</w:t>
            </w:r>
          </w:p>
        </w:tc>
        <w:tc>
          <w:tcPr>
            <w:tcW w:w="1483" w:type="dxa"/>
            <w:vAlign w:val="center"/>
          </w:tcPr>
          <w:p w14:paraId="5212AF02">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境内非国有法人</w:t>
            </w:r>
          </w:p>
        </w:tc>
        <w:tc>
          <w:tcPr>
            <w:tcW w:w="1530" w:type="dxa"/>
            <w:vAlign w:val="center"/>
          </w:tcPr>
          <w:p w14:paraId="11655713">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26203098 </w:t>
            </w:r>
          </w:p>
        </w:tc>
        <w:tc>
          <w:tcPr>
            <w:tcW w:w="1491" w:type="dxa"/>
            <w:vAlign w:val="center"/>
          </w:tcPr>
          <w:p w14:paraId="55A7B7D0">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2.3413</w:t>
            </w:r>
          </w:p>
        </w:tc>
      </w:tr>
      <w:tr w14:paraId="23FBD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42" w:type="dxa"/>
            <w:vAlign w:val="center"/>
          </w:tcPr>
          <w:p w14:paraId="01FE5FF9">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6</w:t>
            </w:r>
          </w:p>
        </w:tc>
        <w:tc>
          <w:tcPr>
            <w:tcW w:w="3750" w:type="dxa"/>
            <w:vAlign w:val="center"/>
          </w:tcPr>
          <w:p w14:paraId="6D226ADB">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张水平</w:t>
            </w:r>
          </w:p>
        </w:tc>
        <w:tc>
          <w:tcPr>
            <w:tcW w:w="1483" w:type="dxa"/>
            <w:vAlign w:val="center"/>
          </w:tcPr>
          <w:p w14:paraId="33D5270E">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境内自然人</w:t>
            </w:r>
          </w:p>
        </w:tc>
        <w:tc>
          <w:tcPr>
            <w:tcW w:w="1530" w:type="dxa"/>
            <w:vAlign w:val="center"/>
          </w:tcPr>
          <w:p w14:paraId="7B94FF6D">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21898164 </w:t>
            </w:r>
          </w:p>
        </w:tc>
        <w:tc>
          <w:tcPr>
            <w:tcW w:w="1491" w:type="dxa"/>
            <w:vAlign w:val="center"/>
          </w:tcPr>
          <w:p w14:paraId="54786F58">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1.9567</w:t>
            </w:r>
          </w:p>
        </w:tc>
      </w:tr>
      <w:tr w14:paraId="7DF86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2" w:type="dxa"/>
            <w:vAlign w:val="center"/>
          </w:tcPr>
          <w:p w14:paraId="225050B4">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7</w:t>
            </w:r>
          </w:p>
        </w:tc>
        <w:tc>
          <w:tcPr>
            <w:tcW w:w="3750" w:type="dxa"/>
            <w:vAlign w:val="center"/>
          </w:tcPr>
          <w:p w14:paraId="3FD57D21">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中禾元丰建设工程有限公司</w:t>
            </w:r>
          </w:p>
        </w:tc>
        <w:tc>
          <w:tcPr>
            <w:tcW w:w="1483" w:type="dxa"/>
            <w:vAlign w:val="center"/>
          </w:tcPr>
          <w:p w14:paraId="434A1368">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境内非国有法人</w:t>
            </w:r>
          </w:p>
        </w:tc>
        <w:tc>
          <w:tcPr>
            <w:tcW w:w="1530" w:type="dxa"/>
            <w:vAlign w:val="center"/>
          </w:tcPr>
          <w:p w14:paraId="434B59F8">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21121662 </w:t>
            </w:r>
          </w:p>
        </w:tc>
        <w:tc>
          <w:tcPr>
            <w:tcW w:w="1491" w:type="dxa"/>
            <w:vAlign w:val="center"/>
          </w:tcPr>
          <w:p w14:paraId="65325728">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1.8873</w:t>
            </w:r>
          </w:p>
        </w:tc>
      </w:tr>
      <w:tr w14:paraId="50F6E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42" w:type="dxa"/>
            <w:vAlign w:val="center"/>
          </w:tcPr>
          <w:p w14:paraId="714B3B9C">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8</w:t>
            </w:r>
          </w:p>
        </w:tc>
        <w:tc>
          <w:tcPr>
            <w:tcW w:w="3750" w:type="dxa"/>
            <w:vAlign w:val="center"/>
          </w:tcPr>
          <w:p w14:paraId="722D1399">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厦门均华达投资有限公司</w:t>
            </w:r>
          </w:p>
        </w:tc>
        <w:tc>
          <w:tcPr>
            <w:tcW w:w="1483" w:type="dxa"/>
            <w:vAlign w:val="center"/>
          </w:tcPr>
          <w:p w14:paraId="28E39B4E">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境内非国有法人</w:t>
            </w:r>
          </w:p>
        </w:tc>
        <w:tc>
          <w:tcPr>
            <w:tcW w:w="1530" w:type="dxa"/>
            <w:vAlign w:val="center"/>
          </w:tcPr>
          <w:p w14:paraId="1997A2BB">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15132290 </w:t>
            </w:r>
          </w:p>
        </w:tc>
        <w:tc>
          <w:tcPr>
            <w:tcW w:w="1491" w:type="dxa"/>
            <w:vAlign w:val="center"/>
          </w:tcPr>
          <w:p w14:paraId="6DB92372">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1.3521</w:t>
            </w:r>
          </w:p>
        </w:tc>
      </w:tr>
      <w:tr w14:paraId="200B5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542" w:type="dxa"/>
            <w:vAlign w:val="center"/>
          </w:tcPr>
          <w:p w14:paraId="180910F7">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9</w:t>
            </w:r>
          </w:p>
        </w:tc>
        <w:tc>
          <w:tcPr>
            <w:tcW w:w="3750" w:type="dxa"/>
            <w:vAlign w:val="center"/>
          </w:tcPr>
          <w:p w14:paraId="1B266EB4">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江西银城实业发展有限公司</w:t>
            </w:r>
          </w:p>
        </w:tc>
        <w:tc>
          <w:tcPr>
            <w:tcW w:w="1483" w:type="dxa"/>
            <w:vAlign w:val="center"/>
          </w:tcPr>
          <w:p w14:paraId="2F75A0D0">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境内非国有法人</w:t>
            </w:r>
          </w:p>
        </w:tc>
        <w:tc>
          <w:tcPr>
            <w:tcW w:w="1530" w:type="dxa"/>
            <w:vAlign w:val="center"/>
          </w:tcPr>
          <w:p w14:paraId="0C14B0E2">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15132290 </w:t>
            </w:r>
          </w:p>
        </w:tc>
        <w:tc>
          <w:tcPr>
            <w:tcW w:w="1491" w:type="dxa"/>
            <w:vAlign w:val="center"/>
          </w:tcPr>
          <w:p w14:paraId="2C72C866">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1.3521</w:t>
            </w:r>
          </w:p>
        </w:tc>
      </w:tr>
      <w:tr w14:paraId="7C272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42" w:type="dxa"/>
            <w:vAlign w:val="center"/>
          </w:tcPr>
          <w:p w14:paraId="5023ECD6">
            <w:pPr>
              <w:widowControl/>
              <w:spacing w:beforeLines="0" w:afterLines="0" w:line="240" w:lineRule="exact"/>
              <w:jc w:val="center"/>
              <w:textAlignment w:val="center"/>
              <w:rPr>
                <w:rFonts w:eastAsiaTheme="minorEastAsia"/>
                <w:color w:val="000000" w:themeColor="text1"/>
                <w:kern w:val="0"/>
                <w:szCs w:val="21"/>
                <w:highlight w:val="none"/>
                <w14:textFill>
                  <w14:solidFill>
                    <w14:schemeClr w14:val="tx1"/>
                  </w14:solidFill>
                </w14:textFill>
              </w:rPr>
            </w:pPr>
            <w:r>
              <w:rPr>
                <w:rFonts w:eastAsiaTheme="minorEastAsia"/>
                <w:color w:val="000000" w:themeColor="text1"/>
                <w:kern w:val="0"/>
                <w:szCs w:val="21"/>
                <w:highlight w:val="none"/>
                <w14:textFill>
                  <w14:solidFill>
                    <w14:schemeClr w14:val="tx1"/>
                  </w14:solidFill>
                </w14:textFill>
              </w:rPr>
              <w:t>10</w:t>
            </w:r>
          </w:p>
        </w:tc>
        <w:tc>
          <w:tcPr>
            <w:tcW w:w="3750" w:type="dxa"/>
            <w:vAlign w:val="center"/>
          </w:tcPr>
          <w:p w14:paraId="53FAFE79">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江西省永青林实业发展有限公司</w:t>
            </w:r>
          </w:p>
        </w:tc>
        <w:tc>
          <w:tcPr>
            <w:tcW w:w="1483" w:type="dxa"/>
            <w:vAlign w:val="center"/>
          </w:tcPr>
          <w:p w14:paraId="6EF4EBB3">
            <w:pPr>
              <w:keepNext w:val="0"/>
              <w:keepLines w:val="0"/>
              <w:widowControl/>
              <w:suppressLineNumbers w:val="0"/>
              <w:jc w:val="center"/>
              <w:textAlignment w:val="center"/>
              <w:rPr>
                <w:rFonts w:eastAsiaTheme="minorEastAsia"/>
                <w:color w:val="000000" w:themeColor="text1"/>
                <w:kern w:val="0"/>
                <w:szCs w:val="21"/>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境内非国有法人</w:t>
            </w:r>
          </w:p>
        </w:tc>
        <w:tc>
          <w:tcPr>
            <w:tcW w:w="1530" w:type="dxa"/>
            <w:vAlign w:val="center"/>
          </w:tcPr>
          <w:p w14:paraId="4C7BE06F">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 xml:space="preserve">15132290 </w:t>
            </w:r>
          </w:p>
        </w:tc>
        <w:tc>
          <w:tcPr>
            <w:tcW w:w="1491" w:type="dxa"/>
            <w:vAlign w:val="center"/>
          </w:tcPr>
          <w:p w14:paraId="70B94130">
            <w:pPr>
              <w:keepNext w:val="0"/>
              <w:keepLines w:val="0"/>
              <w:widowControl/>
              <w:suppressLineNumbers w:val="0"/>
              <w:jc w:val="center"/>
              <w:textAlignment w:val="center"/>
              <w:rPr>
                <w:rFonts w:eastAsiaTheme="minorEastAsia"/>
                <w:color w:val="000000" w:themeColor="text1"/>
                <w:szCs w:val="21"/>
                <w:highlight w:val="none"/>
                <w:lang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1.3521</w:t>
            </w:r>
          </w:p>
        </w:tc>
      </w:tr>
      <w:tr w14:paraId="0B10C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75" w:type="dxa"/>
            <w:gridSpan w:val="3"/>
            <w:vAlign w:val="center"/>
          </w:tcPr>
          <w:p w14:paraId="505CF01E">
            <w:pPr>
              <w:widowControl/>
              <w:spacing w:beforeLines="0" w:afterLines="0" w:line="240" w:lineRule="exact"/>
              <w:ind w:firstLine="2650" w:firstLineChars="1200"/>
              <w:jc w:val="center"/>
              <w:rPr>
                <w:rFonts w:eastAsiaTheme="minorEastAsia"/>
                <w:b/>
                <w:bCs/>
                <w:color w:val="000000" w:themeColor="text1"/>
                <w:kern w:val="0"/>
                <w:szCs w:val="21"/>
                <w:highlight w:val="none"/>
                <w14:textFill>
                  <w14:solidFill>
                    <w14:schemeClr w14:val="tx1"/>
                  </w14:solidFill>
                </w14:textFill>
              </w:rPr>
            </w:pPr>
            <w:r>
              <w:rPr>
                <w:rFonts w:eastAsiaTheme="minorEastAsia"/>
                <w:b/>
                <w:bCs/>
                <w:color w:val="000000" w:themeColor="text1"/>
                <w:kern w:val="0"/>
                <w:szCs w:val="21"/>
                <w:highlight w:val="none"/>
                <w14:textFill>
                  <w14:solidFill>
                    <w14:schemeClr w14:val="tx1"/>
                  </w14:solidFill>
                </w14:textFill>
              </w:rPr>
              <w:t>合计</w:t>
            </w:r>
          </w:p>
        </w:tc>
        <w:tc>
          <w:tcPr>
            <w:tcW w:w="1530" w:type="dxa"/>
            <w:vAlign w:val="center"/>
          </w:tcPr>
          <w:p w14:paraId="39280B5E">
            <w:pPr>
              <w:keepNext w:val="0"/>
              <w:keepLines w:val="0"/>
              <w:widowControl/>
              <w:suppressLineNumbers w:val="0"/>
              <w:jc w:val="center"/>
              <w:textAlignment w:val="center"/>
              <w:rPr>
                <w:rFonts w:eastAsiaTheme="minorEastAsia"/>
                <w:b/>
                <w:bCs/>
                <w:color w:val="000000" w:themeColor="text1"/>
                <w:kern w:val="0"/>
                <w:szCs w:val="21"/>
                <w:highlight w:val="none"/>
                <w:lang w:bidi="ar"/>
                <w14:textFill>
                  <w14:solidFill>
                    <w14:schemeClr w14:val="tx1"/>
                  </w14:solidFill>
                </w14:textFill>
              </w:rPr>
            </w:pPr>
            <w:r>
              <w:rPr>
                <w:rFonts w:hint="eastAsia" w:ascii="宋体" w:hAnsi="宋体" w:eastAsia="宋体" w:cs="宋体"/>
                <w:b/>
                <w:bCs/>
                <w:i w:val="0"/>
                <w:color w:val="000000"/>
                <w:kern w:val="0"/>
                <w:sz w:val="22"/>
                <w:szCs w:val="22"/>
                <w:u w:val="none"/>
                <w:lang w:val="en-US" w:eastAsia="zh-CN" w:bidi="ar"/>
              </w:rPr>
              <w:t>344242088</w:t>
            </w:r>
          </w:p>
        </w:tc>
        <w:tc>
          <w:tcPr>
            <w:tcW w:w="1491" w:type="dxa"/>
            <w:vAlign w:val="center"/>
          </w:tcPr>
          <w:p w14:paraId="05B04095">
            <w:pPr>
              <w:keepNext w:val="0"/>
              <w:keepLines w:val="0"/>
              <w:widowControl/>
              <w:suppressLineNumbers w:val="0"/>
              <w:jc w:val="center"/>
              <w:textAlignment w:val="center"/>
              <w:rPr>
                <w:rFonts w:eastAsiaTheme="minorEastAsia"/>
                <w:b/>
                <w:bCs/>
                <w:color w:val="000000" w:themeColor="text1"/>
                <w:kern w:val="0"/>
                <w:szCs w:val="21"/>
                <w:highlight w:val="none"/>
                <w:lang w:bidi="ar"/>
                <w14:textFill>
                  <w14:solidFill>
                    <w14:schemeClr w14:val="tx1"/>
                  </w14:solidFill>
                </w14:textFill>
              </w:rPr>
            </w:pPr>
            <w:r>
              <w:rPr>
                <w:rFonts w:hint="eastAsia" w:ascii="宋体" w:hAnsi="宋体" w:eastAsia="宋体" w:cs="宋体"/>
                <w:b/>
                <w:bCs/>
                <w:i w:val="0"/>
                <w:color w:val="000000"/>
                <w:kern w:val="0"/>
                <w:sz w:val="22"/>
                <w:szCs w:val="22"/>
                <w:u w:val="none"/>
                <w:lang w:val="en-US" w:eastAsia="zh-CN" w:bidi="ar"/>
              </w:rPr>
              <w:t>30.7594</w:t>
            </w:r>
          </w:p>
        </w:tc>
      </w:tr>
    </w:tbl>
    <w:p w14:paraId="45CD026E">
      <w:pPr>
        <w:keepNext w:val="0"/>
        <w:keepLines w:val="0"/>
        <w:pageBreakBefore w:val="0"/>
        <w:widowControl/>
        <w:kinsoku w:val="0"/>
        <w:wordWrap/>
        <w:overflowPunct/>
        <w:topLinePunct w:val="0"/>
        <w:autoSpaceDE w:val="0"/>
        <w:autoSpaceDN w:val="0"/>
        <w:bidi w:val="0"/>
        <w:adjustRightInd/>
        <w:snapToGrid/>
        <w:spacing w:before="490" w:after="0" w:line="375" w:lineRule="auto"/>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bookmarkStart w:id="17" w:name="_Toc27505"/>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(二)本次发行后，前十名股东的持股情况</w:t>
      </w:r>
      <w:bookmarkEnd w:id="17"/>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 xml:space="preserve"> </w:t>
      </w:r>
    </w:p>
    <w:p w14:paraId="60774D01">
      <w:pPr>
        <w:widowControl/>
        <w:kinsoku w:val="0"/>
        <w:autoSpaceDE w:val="0"/>
        <w:autoSpaceDN w:val="0"/>
        <w:spacing w:before="0" w:after="0" w:line="48" w:lineRule="exact"/>
        <w:ind w:left="0" w:right="0"/>
      </w:pPr>
    </w:p>
    <w:p w14:paraId="6B95BCA9">
      <w:pPr>
        <w:widowControl/>
        <w:kinsoku w:val="0"/>
        <w:autoSpaceDE w:val="0"/>
        <w:autoSpaceDN w:val="0"/>
        <w:spacing w:before="0" w:after="0" w:line="220" w:lineRule="exact"/>
        <w:ind w:left="0" w:right="0"/>
      </w:pPr>
    </w:p>
    <w:tbl>
      <w:tblPr>
        <w:tblStyle w:val="12"/>
        <w:tblW w:w="8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4"/>
        <w:gridCol w:w="3421"/>
        <w:gridCol w:w="2528"/>
        <w:gridCol w:w="1263"/>
        <w:gridCol w:w="991"/>
      </w:tblGrid>
      <w:tr w14:paraId="212B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6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C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客户名称</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6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客户性质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6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持有数量(股/份)</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D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持有份额比例(%)</w:t>
            </w:r>
          </w:p>
        </w:tc>
      </w:tr>
      <w:tr w14:paraId="5DCB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DE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8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江西农村商业联合银行股份有限公司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E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8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174622294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5C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14.2068</w:t>
            </w:r>
          </w:p>
        </w:tc>
      </w:tr>
      <w:tr w14:paraId="65FF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C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C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南昌小蓝经济技术开发区经济发展投资有限责任公司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74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D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4.4747</w:t>
            </w:r>
          </w:p>
        </w:tc>
      </w:tr>
      <w:tr w14:paraId="3B4E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63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9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南昌县交通建设投资发展有限公司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2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9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9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4.4747</w:t>
            </w:r>
          </w:p>
        </w:tc>
      </w:tr>
      <w:tr w14:paraId="25B7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A1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南昌县文化旅游投资有限公司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6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F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4.4747</w:t>
            </w:r>
          </w:p>
        </w:tc>
      </w:tr>
      <w:tr w14:paraId="3B43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E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F6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南昌市熠顺实业有限公司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1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境内非国有法人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5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26203098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44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2.1318</w:t>
            </w:r>
          </w:p>
        </w:tc>
      </w:tr>
      <w:tr w14:paraId="2BED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45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8A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张水平</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34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境内自然人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77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21898164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EE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1.7816</w:t>
            </w:r>
          </w:p>
        </w:tc>
      </w:tr>
      <w:tr w14:paraId="52A6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3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C1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中禾元丰建设工程有限公司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B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境内非国有法人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D0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21121662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8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1.7184</w:t>
            </w:r>
          </w:p>
        </w:tc>
      </w:tr>
      <w:tr w14:paraId="6660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7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43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厦门均华达投资有限公司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4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境内非国有法人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15132290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AE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1.2311</w:t>
            </w:r>
          </w:p>
        </w:tc>
      </w:tr>
      <w:tr w14:paraId="313C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12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3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江西银城实业发展有限公司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C4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境内非国有法人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4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15132290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4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1.2311</w:t>
            </w:r>
          </w:p>
        </w:tc>
      </w:tr>
      <w:tr w14:paraId="10DC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F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FB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江西省永青林实业发展有限公司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A9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境内非国有法人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93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15132290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91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1.2311</w:t>
            </w:r>
          </w:p>
        </w:tc>
      </w:tr>
      <w:tr w14:paraId="428D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3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A6362">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合计</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A10">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454242088</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D2CA">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36.956</w:t>
            </w:r>
          </w:p>
        </w:tc>
      </w:tr>
    </w:tbl>
    <w:p w14:paraId="31891897">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627" w:firstLineChars="200"/>
        <w:jc w:val="left"/>
        <w:textAlignment w:val="auto"/>
        <w:outlineLvl w:val="1"/>
        <w:rPr>
          <w:rFonts w:ascii="黑体" w:hAnsi="黑体" w:eastAsia="黑体"/>
          <w:b/>
          <w:i w:val="0"/>
          <w:color w:val="0D0E13"/>
          <w:spacing w:val="-4"/>
          <w:w w:val="100"/>
          <w:sz w:val="32"/>
          <w:szCs w:val="32"/>
        </w:rPr>
      </w:pPr>
      <w:bookmarkStart w:id="18" w:name="_Toc464"/>
      <w:r>
        <w:rPr>
          <w:rFonts w:hint="eastAsia" w:ascii="黑体" w:hAnsi="黑体" w:eastAsia="黑体"/>
          <w:b/>
          <w:i w:val="0"/>
          <w:color w:val="0D0E13"/>
          <w:spacing w:val="-4"/>
          <w:w w:val="100"/>
          <w:sz w:val="32"/>
          <w:szCs w:val="32"/>
          <w:lang w:val="en-US" w:eastAsia="zh-CN"/>
        </w:rPr>
        <w:t>二、</w:t>
      </w:r>
      <w:r>
        <w:rPr>
          <w:rFonts w:ascii="黑体" w:hAnsi="黑体" w:eastAsia="黑体"/>
          <w:b/>
          <w:i w:val="0"/>
          <w:color w:val="0D0E13"/>
          <w:spacing w:val="-4"/>
          <w:w w:val="100"/>
          <w:sz w:val="32"/>
          <w:szCs w:val="32"/>
        </w:rPr>
        <w:t>本次定向发行前后股本结构、股东人数、资产结构、业务结构、公司控制权、董事、监事和高级管理人员持股的变动情况</w:t>
      </w:r>
      <w:bookmarkEnd w:id="18"/>
    </w:p>
    <w:p w14:paraId="0C46EBE9">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pPr>
      <w:bookmarkStart w:id="19" w:name="_Toc28414"/>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(一)本次股票发行前后股本结构及股东人数变动情况</w:t>
      </w:r>
      <w:bookmarkEnd w:id="19"/>
      <w:r>
        <w:rPr>
          <w:rFonts w:ascii="Times New Roman" w:hAnsi="Times New Roman"/>
          <w:spacing w:val="1029"/>
          <w:sz w:val="22"/>
        </w:rPr>
        <w:t xml:space="preserve"> </w:t>
      </w:r>
    </w:p>
    <w:p w14:paraId="78B079C6">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144" w:firstLine="560" w:firstLineChars="200"/>
        <w:jc w:val="both"/>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本次股票发行前后的股本结构如下： </w:t>
      </w:r>
    </w:p>
    <w:p w14:paraId="14520932">
      <w:pPr>
        <w:widowControl/>
        <w:kinsoku w:val="0"/>
        <w:autoSpaceDE w:val="0"/>
        <w:autoSpaceDN w:val="0"/>
        <w:spacing w:before="0" w:after="0" w:line="220" w:lineRule="exact"/>
        <w:ind w:left="0" w:right="0"/>
        <w:rPr>
          <w:sz w:val="28"/>
          <w:szCs w:val="28"/>
        </w:rPr>
      </w:pPr>
    </w:p>
    <w:tbl>
      <w:tblPr>
        <w:tblStyle w:val="12"/>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8"/>
        <w:gridCol w:w="1106"/>
        <w:gridCol w:w="1125"/>
        <w:gridCol w:w="1256"/>
        <w:gridCol w:w="1163"/>
        <w:gridCol w:w="1219"/>
        <w:gridCol w:w="1162"/>
        <w:gridCol w:w="975"/>
      </w:tblGrid>
      <w:tr w14:paraId="114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F0E09">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序号</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E1A07">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股东类别</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1E7A1E6">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发行前</w:t>
            </w:r>
          </w:p>
        </w:tc>
        <w:tc>
          <w:tcPr>
            <w:tcW w:w="335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0737B9E6">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发行后</w:t>
            </w:r>
          </w:p>
        </w:tc>
      </w:tr>
      <w:tr w14:paraId="46BA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3270">
            <w:pPr>
              <w:jc w:val="center"/>
              <w:rPr>
                <w:rFonts w:hint="eastAsia" w:ascii="宋体" w:hAnsi="宋体" w:eastAsia="宋体" w:cs="宋体"/>
                <w:i w:val="0"/>
                <w:color w:val="191A1F"/>
                <w:sz w:val="19"/>
                <w:szCs w:val="19"/>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5F34">
            <w:pPr>
              <w:jc w:val="center"/>
              <w:rPr>
                <w:rFonts w:hint="eastAsia" w:ascii="宋体" w:hAnsi="宋体" w:eastAsia="宋体" w:cs="宋体"/>
                <w:i w:val="0"/>
                <w:color w:val="191A1F"/>
                <w:sz w:val="19"/>
                <w:szCs w:val="19"/>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60CCA">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股东户数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CD302">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持股数量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63704">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持股比例</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0BD7E">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股东户数</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A85AA">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持股数量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BA3AE8">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持股比例</w:t>
            </w:r>
          </w:p>
        </w:tc>
      </w:tr>
      <w:tr w14:paraId="5808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C607">
            <w:pPr>
              <w:jc w:val="center"/>
              <w:rPr>
                <w:rFonts w:hint="eastAsia" w:ascii="宋体" w:hAnsi="宋体" w:eastAsia="宋体" w:cs="宋体"/>
                <w:i w:val="0"/>
                <w:color w:val="191A1F"/>
                <w:sz w:val="19"/>
                <w:szCs w:val="19"/>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2E74">
            <w:pPr>
              <w:jc w:val="center"/>
              <w:rPr>
                <w:rFonts w:hint="eastAsia" w:ascii="宋体" w:hAnsi="宋体" w:eastAsia="宋体" w:cs="宋体"/>
                <w:i w:val="0"/>
                <w:color w:val="191A1F"/>
                <w:sz w:val="19"/>
                <w:szCs w:val="19"/>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41BD2">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E6431">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（万股）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74C24">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281E8">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B251A">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（万股）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54BD5">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w:t>
            </w:r>
          </w:p>
        </w:tc>
      </w:tr>
      <w:tr w14:paraId="3BF2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194E">
            <w:pPr>
              <w:keepNext w:val="0"/>
              <w:keepLines w:val="0"/>
              <w:widowControl/>
              <w:suppressLineNumbers w:val="0"/>
              <w:jc w:val="center"/>
              <w:textAlignment w:val="center"/>
              <w:rPr>
                <w:rFonts w:hint="eastAsia" w:ascii="宋体" w:hAnsi="宋体" w:eastAsia="宋体" w:cs="宋体"/>
                <w:i w:val="0"/>
                <w:color w:val="4E62AB"/>
                <w:sz w:val="19"/>
                <w:szCs w:val="19"/>
                <w:u w:val="none"/>
              </w:rPr>
            </w:pPr>
            <w:r>
              <w:rPr>
                <w:rFonts w:hint="eastAsia" w:ascii="宋体" w:hAnsi="宋体" w:eastAsia="宋体" w:cs="宋体"/>
                <w:i w:val="0"/>
                <w:color w:val="4E62AB"/>
                <w:kern w:val="0"/>
                <w:sz w:val="19"/>
                <w:szCs w:val="19"/>
                <w:u w:val="none"/>
                <w:lang w:val="en-US" w:eastAsia="zh-CN" w:bidi="ar"/>
              </w:rPr>
              <w:t>一</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52144388">
            <w:pPr>
              <w:keepNext w:val="0"/>
              <w:keepLines w:val="0"/>
              <w:widowControl/>
              <w:suppressLineNumbers w:val="0"/>
              <w:jc w:val="both"/>
              <w:textAlignment w:val="top"/>
              <w:rPr>
                <w:rFonts w:hint="eastAsia" w:ascii="宋体" w:hAnsi="宋体" w:eastAsia="宋体" w:cs="宋体"/>
                <w:i w:val="0"/>
                <w:color w:val="191A1F"/>
                <w:sz w:val="19"/>
                <w:szCs w:val="19"/>
                <w:u w:val="none"/>
              </w:rPr>
            </w:pPr>
            <w:r>
              <w:rPr>
                <w:rStyle w:val="18"/>
                <w:lang w:val="en-US" w:eastAsia="zh-CN" w:bidi="ar"/>
              </w:rPr>
              <w:t>自然人股东</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A3206A">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1142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14:paraId="51E91488">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64670.0531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14:paraId="082E539F">
            <w:pPr>
              <w:keepNext w:val="0"/>
              <w:keepLines w:val="0"/>
              <w:widowControl/>
              <w:suppressLineNumbers w:val="0"/>
              <w:jc w:val="center"/>
              <w:textAlignment w:val="top"/>
              <w:rPr>
                <w:rFonts w:ascii="仿宋" w:hAnsi="仿宋" w:eastAsia="仿宋" w:cs="仿宋"/>
                <w:i w:val="0"/>
                <w:color w:val="191A1F"/>
                <w:sz w:val="19"/>
                <w:szCs w:val="19"/>
                <w:u w:val="none"/>
              </w:rPr>
            </w:pPr>
            <w:r>
              <w:rPr>
                <w:rFonts w:hint="eastAsia" w:ascii="宋体" w:hAnsi="宋体" w:eastAsia="宋体" w:cs="宋体"/>
                <w:i w:val="0"/>
                <w:color w:val="191A1F"/>
                <w:kern w:val="0"/>
                <w:sz w:val="19"/>
                <w:szCs w:val="19"/>
                <w:u w:val="none"/>
                <w:lang w:val="en-US" w:eastAsia="zh-CN" w:bidi="ar"/>
              </w:rPr>
              <w:t>57.79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6383B9A">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1142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34E0D24">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64670.0531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8AB88">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52.61</w:t>
            </w:r>
          </w:p>
        </w:tc>
      </w:tr>
      <w:tr w14:paraId="75C8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8F3E">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1</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573444F7">
            <w:pPr>
              <w:keepNext w:val="0"/>
              <w:keepLines w:val="0"/>
              <w:widowControl/>
              <w:suppressLineNumbers w:val="0"/>
              <w:jc w:val="left"/>
              <w:textAlignment w:val="top"/>
              <w:rPr>
                <w:rFonts w:hint="eastAsia" w:ascii="宋体" w:hAnsi="宋体" w:eastAsia="宋体" w:cs="宋体"/>
                <w:i w:val="0"/>
                <w:color w:val="191A1F"/>
                <w:sz w:val="19"/>
                <w:szCs w:val="19"/>
                <w:u w:val="none"/>
              </w:rPr>
            </w:pPr>
            <w:r>
              <w:rPr>
                <w:rStyle w:val="18"/>
                <w:lang w:val="en-US" w:eastAsia="zh-CN" w:bidi="ar"/>
              </w:rPr>
              <w:t>职工自然人</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580EBC16">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488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14:paraId="0044601B">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14734.8147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14:paraId="6237B4D6">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13.17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308FDD3">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488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15B1BF83">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14734.8147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174BD4C2">
            <w:pPr>
              <w:keepNext w:val="0"/>
              <w:keepLines w:val="0"/>
              <w:widowControl/>
              <w:suppressLineNumbers w:val="0"/>
              <w:jc w:val="center"/>
              <w:textAlignment w:val="top"/>
              <w:rPr>
                <w:rFonts w:ascii="隶书" w:hAnsi="隶书" w:eastAsia="隶书" w:cs="隶书"/>
                <w:i w:val="0"/>
                <w:color w:val="191A1F"/>
                <w:sz w:val="19"/>
                <w:szCs w:val="19"/>
                <w:u w:val="none"/>
              </w:rPr>
            </w:pPr>
            <w:r>
              <w:rPr>
                <w:rFonts w:hint="default" w:ascii="隶书" w:hAnsi="隶书" w:eastAsia="隶书" w:cs="隶书"/>
                <w:i w:val="0"/>
                <w:color w:val="191A1F"/>
                <w:kern w:val="0"/>
                <w:sz w:val="19"/>
                <w:szCs w:val="19"/>
                <w:u w:val="none"/>
                <w:lang w:val="en-US" w:eastAsia="zh-CN" w:bidi="ar"/>
              </w:rPr>
              <w:t>11.98</w:t>
            </w:r>
          </w:p>
        </w:tc>
      </w:tr>
      <w:tr w14:paraId="2A08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59E">
            <w:pPr>
              <w:keepNext w:val="0"/>
              <w:keepLines w:val="0"/>
              <w:widowControl/>
              <w:suppressLineNumbers w:val="0"/>
              <w:jc w:val="center"/>
              <w:textAlignment w:val="center"/>
              <w:rPr>
                <w:rFonts w:hint="eastAsia" w:ascii="宋体" w:hAnsi="宋体" w:eastAsia="宋体" w:cs="宋体"/>
                <w:i w:val="0"/>
                <w:color w:val="191A1F"/>
                <w:sz w:val="19"/>
                <w:szCs w:val="19"/>
                <w:u w:val="none"/>
              </w:rPr>
            </w:pPr>
            <w:r>
              <w:rPr>
                <w:rStyle w:val="18"/>
                <w:lang w:val="en-US" w:eastAsia="zh-CN" w:bidi="ar"/>
              </w:rPr>
              <w:t>2</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7235174B">
            <w:pPr>
              <w:keepNext w:val="0"/>
              <w:keepLines w:val="0"/>
              <w:widowControl/>
              <w:suppressLineNumbers w:val="0"/>
              <w:jc w:val="left"/>
              <w:textAlignment w:val="top"/>
              <w:rPr>
                <w:rFonts w:hint="eastAsia" w:ascii="宋体" w:hAnsi="宋体" w:eastAsia="宋体" w:cs="宋体"/>
                <w:i w:val="0"/>
                <w:color w:val="191A1F"/>
                <w:sz w:val="19"/>
                <w:szCs w:val="19"/>
                <w:u w:val="none"/>
              </w:rPr>
            </w:pPr>
            <w:r>
              <w:rPr>
                <w:rStyle w:val="18"/>
                <w:lang w:val="en-US" w:eastAsia="zh-CN" w:bidi="ar"/>
              </w:rPr>
              <w:t>社会自然人</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CBAF587">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654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14:paraId="5F2741FC">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49935.2384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14:paraId="35A21378">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44.62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6C7FD40E">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654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6C500E41">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49935.2384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29559E">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40.63</w:t>
            </w:r>
          </w:p>
        </w:tc>
      </w:tr>
      <w:tr w14:paraId="6BB1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0DF9">
            <w:pPr>
              <w:keepNext w:val="0"/>
              <w:keepLines w:val="0"/>
              <w:widowControl/>
              <w:suppressLineNumbers w:val="0"/>
              <w:jc w:val="center"/>
              <w:textAlignment w:val="center"/>
              <w:rPr>
                <w:rFonts w:hint="eastAsia" w:ascii="宋体" w:hAnsi="宋体" w:eastAsia="宋体" w:cs="宋体"/>
                <w:i w:val="0"/>
                <w:color w:val="502D4E"/>
                <w:sz w:val="19"/>
                <w:szCs w:val="19"/>
                <w:u w:val="none"/>
              </w:rPr>
            </w:pPr>
            <w:r>
              <w:rPr>
                <w:rFonts w:hint="eastAsia" w:ascii="宋体" w:hAnsi="宋体" w:eastAsia="宋体" w:cs="宋体"/>
                <w:i w:val="0"/>
                <w:color w:val="502D4E"/>
                <w:kern w:val="0"/>
                <w:sz w:val="19"/>
                <w:szCs w:val="19"/>
                <w:u w:val="none"/>
                <w:lang w:val="en-US" w:eastAsia="zh-CN" w:bidi="ar"/>
              </w:rPr>
              <w:t>二</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46400F89">
            <w:pPr>
              <w:keepNext w:val="0"/>
              <w:keepLines w:val="0"/>
              <w:widowControl/>
              <w:suppressLineNumbers w:val="0"/>
              <w:jc w:val="both"/>
              <w:textAlignment w:val="top"/>
              <w:rPr>
                <w:rFonts w:hint="eastAsia" w:ascii="宋体" w:hAnsi="宋体" w:eastAsia="宋体" w:cs="宋体"/>
                <w:i w:val="0"/>
                <w:color w:val="191A1F"/>
                <w:sz w:val="19"/>
                <w:szCs w:val="19"/>
                <w:u w:val="none"/>
              </w:rPr>
            </w:pPr>
            <w:r>
              <w:rPr>
                <w:rStyle w:val="18"/>
                <w:lang w:val="en-US" w:eastAsia="zh-CN" w:bidi="ar"/>
              </w:rPr>
              <w:t>法人股东</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78B3AEB8">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14:paraId="11728EFC">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47244.5259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ED03BA">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42.21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5AEBD93">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5519880F">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58244.5259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71F2C56C">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47.39</w:t>
            </w:r>
          </w:p>
        </w:tc>
      </w:tr>
      <w:tr w14:paraId="3A0E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9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0D0BD6">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Style w:val="18"/>
                <w:lang w:val="en-US" w:eastAsia="zh-CN" w:bidi="ar"/>
              </w:rPr>
              <w:t>合计</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CE6E8">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1186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top"/>
          </w:tcPr>
          <w:p w14:paraId="0694C661">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111914.579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3ACF">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100</w:t>
            </w:r>
            <w:r>
              <w:rPr>
                <w:rFonts w:hint="default" w:ascii="Times New Roman" w:hAnsi="Times New Roman" w:eastAsia="宋体" w:cs="Times New Roman"/>
                <w:i w:val="0"/>
                <w:color w:val="000000"/>
                <w:kern w:val="0"/>
                <w:sz w:val="19"/>
                <w:szCs w:val="19"/>
                <w:u w:val="none"/>
                <w:lang w:val="en-US" w:eastAsia="zh-CN" w:bidi="ar"/>
              </w:rPr>
              <w:t xml:space="preserve"> </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56A76B47">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1186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top"/>
          </w:tcPr>
          <w:p w14:paraId="7DC148DE">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Fonts w:hint="eastAsia" w:ascii="宋体" w:hAnsi="宋体" w:eastAsia="宋体" w:cs="宋体"/>
                <w:i w:val="0"/>
                <w:color w:val="191A1F"/>
                <w:kern w:val="0"/>
                <w:sz w:val="19"/>
                <w:szCs w:val="19"/>
                <w:u w:val="none"/>
                <w:lang w:val="en-US" w:eastAsia="zh-CN" w:bidi="ar"/>
              </w:rPr>
              <w:t>122914.579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D2C07D">
            <w:pPr>
              <w:keepNext w:val="0"/>
              <w:keepLines w:val="0"/>
              <w:widowControl/>
              <w:suppressLineNumbers w:val="0"/>
              <w:jc w:val="center"/>
              <w:textAlignment w:val="top"/>
              <w:rPr>
                <w:rFonts w:hint="eastAsia" w:ascii="宋体" w:hAnsi="宋体" w:eastAsia="宋体" w:cs="宋体"/>
                <w:i w:val="0"/>
                <w:color w:val="191A1F"/>
                <w:sz w:val="19"/>
                <w:szCs w:val="19"/>
                <w:u w:val="none"/>
              </w:rPr>
            </w:pPr>
            <w:r>
              <w:rPr>
                <w:rStyle w:val="18"/>
                <w:lang w:val="en-US" w:eastAsia="zh-CN" w:bidi="ar"/>
              </w:rPr>
              <w:t>100</w:t>
            </w:r>
            <w:r>
              <w:rPr>
                <w:rFonts w:hint="default" w:ascii="Times New Roman" w:hAnsi="Times New Roman" w:eastAsia="宋体" w:cs="Times New Roman"/>
                <w:i w:val="0"/>
                <w:color w:val="000000"/>
                <w:kern w:val="0"/>
                <w:sz w:val="19"/>
                <w:szCs w:val="19"/>
                <w:u w:val="none"/>
                <w:lang w:val="en-US" w:eastAsia="zh-CN" w:bidi="ar"/>
              </w:rPr>
              <w:t xml:space="preserve"> </w:t>
            </w:r>
          </w:p>
        </w:tc>
      </w:tr>
    </w:tbl>
    <w:p w14:paraId="697DE2B6">
      <w:pPr>
        <w:widowControl/>
        <w:kinsoku w:val="0"/>
        <w:autoSpaceDE w:val="0"/>
        <w:autoSpaceDN w:val="0"/>
        <w:spacing w:before="0" w:after="0" w:line="76" w:lineRule="exact"/>
        <w:ind w:left="0" w:right="0"/>
      </w:pPr>
    </w:p>
    <w:p w14:paraId="5EF1E0AB">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144" w:firstLine="420" w:firstLineChars="200"/>
        <w:jc w:val="both"/>
        <w:textAlignment w:val="auto"/>
        <w:outlineLvl w:val="9"/>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备注：发行前股东情况为取得金监局变更注册资本批复前一日(2026年2月5日)情况,江西农商联合银行2025年12月31日已成为我行股东。</w:t>
      </w:r>
    </w:p>
    <w:p w14:paraId="47DDD022">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pPr>
      <w:bookmarkStart w:id="20" w:name="_Toc14720"/>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(二)本次发行前后资产结构变动情况</w:t>
      </w:r>
      <w:bookmarkEnd w:id="20"/>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 xml:space="preserve"> </w:t>
      </w:r>
    </w:p>
    <w:p w14:paraId="4B889F68">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144" w:firstLine="560" w:firstLineChars="200"/>
        <w:jc w:val="both"/>
        <w:textAlignment w:val="auto"/>
        <w:outlineLvl w:val="9"/>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本次定向发行完成后，本行的总资产和净资产规模均有所上升，资本充足率有所提升，资产结构得以优化，财务状况进一步改善，为本行资产规模的稳步扩张、各项业务的可持续发展提供充足的资本支持。</w:t>
      </w:r>
      <w:r>
        <w:rPr>
          <w:rFonts w:ascii="Times New Roman" w:hAnsi="Times New Roman"/>
          <w:spacing w:val="7663"/>
          <w:sz w:val="22"/>
        </w:rPr>
        <w:t xml:space="preserve"> </w:t>
      </w:r>
    </w:p>
    <w:p w14:paraId="193E6BFF">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21" w:name="_Toc31495"/>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(三)业务结构变动情况</w:t>
      </w:r>
      <w:bookmarkEnd w:id="21"/>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1457BFD2">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144" w:firstLine="560" w:firstLineChars="200"/>
        <w:jc w:val="both"/>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本次定向发行完成后，本行的业务结构未发生变动。 </w:t>
      </w:r>
    </w:p>
    <w:p w14:paraId="1F4FBB5A">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22" w:name="_Toc3519"/>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(四)公司控制权变动情况</w:t>
      </w:r>
      <w:bookmarkEnd w:id="22"/>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6F79765B">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288" w:firstLine="560" w:firstLineChars="200"/>
        <w:jc w:val="left"/>
        <w:textAlignment w:val="auto"/>
        <w:outlineLvl w:val="9"/>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本次定向发行前后，本行均无控股股东或实际控制人。本次定向发行不会导致公司控制权发生变化。</w:t>
      </w:r>
      <w:r>
        <w:rPr>
          <w:rFonts w:ascii="Times New Roman" w:hAnsi="Times New Roman"/>
          <w:spacing w:val="3866"/>
          <w:sz w:val="22"/>
        </w:rPr>
        <w:t xml:space="preserve"> </w:t>
      </w:r>
    </w:p>
    <w:p w14:paraId="225B970A">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23" w:name="_Toc24673"/>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(五)董事、监事及高级管理人员持股变动情况</w:t>
      </w:r>
      <w:bookmarkEnd w:id="23"/>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4166DE32">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288" w:firstLine="560" w:firstLineChars="200"/>
        <w:jc w:val="left"/>
        <w:textAlignment w:val="auto"/>
        <w:outlineLvl w:val="9"/>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本次定向发行前后，本行董事、监事及高级管理人员个人持股数量未发生变化。</w:t>
      </w:r>
      <w:r>
        <w:rPr>
          <w:rFonts w:ascii="Times New Roman" w:hAnsi="Times New Roman"/>
          <w:spacing w:val="6337"/>
          <w:sz w:val="22"/>
        </w:rPr>
        <w:t xml:space="preserve"> </w:t>
      </w:r>
    </w:p>
    <w:p w14:paraId="21CC5CF5">
      <w:pPr>
        <w:keepNext w:val="0"/>
        <w:keepLines w:val="0"/>
        <w:pageBreakBefore w:val="0"/>
        <w:widowControl/>
        <w:numPr>
          <w:ilvl w:val="0"/>
          <w:numId w:val="0"/>
        </w:numPr>
        <w:kinsoku w:val="0"/>
        <w:wordWrap/>
        <w:overflowPunct/>
        <w:topLinePunct w:val="0"/>
        <w:autoSpaceDE w:val="0"/>
        <w:autoSpaceDN w:val="0"/>
        <w:bidi w:val="0"/>
        <w:adjustRightInd/>
        <w:snapToGrid/>
        <w:spacing w:after="0" w:line="550" w:lineRule="exact"/>
        <w:ind w:left="0" w:leftChars="0" w:right="289" w:rightChars="0" w:firstLine="562" w:firstLineChars="200"/>
        <w:jc w:val="left"/>
        <w:textAlignment w:val="auto"/>
        <w:outlineLvl w:val="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bookmarkStart w:id="24" w:name="_Toc22028"/>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(六)发行后主要财务指标变化</w:t>
      </w:r>
      <w:bookmarkEnd w:id="24"/>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 xml:space="preserve"> </w:t>
      </w:r>
    </w:p>
    <w:p w14:paraId="3602B051">
      <w:pPr>
        <w:keepNext w:val="0"/>
        <w:keepLines w:val="0"/>
        <w:pageBreakBefore w:val="0"/>
        <w:widowControl/>
        <w:kinsoku w:val="0"/>
        <w:wordWrap/>
        <w:overflowPunct/>
        <w:topLinePunct w:val="0"/>
        <w:autoSpaceDE w:val="0"/>
        <w:autoSpaceDN w:val="0"/>
        <w:bidi w:val="0"/>
        <w:adjustRightInd/>
        <w:snapToGrid/>
        <w:spacing w:after="0" w:line="550" w:lineRule="exact"/>
        <w:ind w:left="0" w:leftChars="0" w:right="0" w:firstLine="560" w:firstLineChars="200"/>
        <w:jc w:val="left"/>
        <w:textAlignment w:val="auto"/>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本次定向发行后，本行相关财务指标均有一定程度改善。</w:t>
      </w:r>
    </w:p>
    <w:p w14:paraId="56E656E1">
      <w:pPr>
        <w:pStyle w:val="2"/>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p>
    <w:p w14:paraId="1FD2AAC4">
      <w:pPr>
        <w:widowControl/>
        <w:kinsoku w:val="0"/>
        <w:autoSpaceDE w:val="0"/>
        <w:autoSpaceDN w:val="0"/>
        <w:spacing w:before="0" w:after="0" w:line="550" w:lineRule="exact"/>
        <w:ind w:right="0" w:firstLine="2880" w:firstLineChars="900"/>
        <w:jc w:val="left"/>
        <w:outlineLvl w:val="9"/>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江西赣昌农村商业银行股份有限公司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2026年2月13日</w:t>
      </w:r>
      <w:r>
        <w:rPr>
          <w:rFonts w:ascii="Times New Roman" w:hAnsi="Times New Roman"/>
          <w:spacing w:val="1465"/>
          <w:sz w:val="22"/>
        </w:rPr>
        <w:t xml:space="preserve"> </w:t>
      </w:r>
    </w:p>
    <w:sectPr>
      <w:pgSz w:w="11880" w:h="16820"/>
      <w:pgMar w:top="824" w:right="1440" w:bottom="429"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B2B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6EFA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76EFA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23A6"/>
    <w:rsid w:val="00BC1FB0"/>
    <w:rsid w:val="01600390"/>
    <w:rsid w:val="03050453"/>
    <w:rsid w:val="04F62F3B"/>
    <w:rsid w:val="05755863"/>
    <w:rsid w:val="05BF3DBC"/>
    <w:rsid w:val="06C33FA5"/>
    <w:rsid w:val="084B5F8C"/>
    <w:rsid w:val="093B2EC3"/>
    <w:rsid w:val="095B3926"/>
    <w:rsid w:val="0A2F5EFB"/>
    <w:rsid w:val="0AFB5D7F"/>
    <w:rsid w:val="0B480260"/>
    <w:rsid w:val="0D7E4A74"/>
    <w:rsid w:val="0DD872B2"/>
    <w:rsid w:val="0E256CF6"/>
    <w:rsid w:val="0FDA0790"/>
    <w:rsid w:val="10F81C4B"/>
    <w:rsid w:val="11BB75FB"/>
    <w:rsid w:val="11BE398F"/>
    <w:rsid w:val="11E878D0"/>
    <w:rsid w:val="121133E8"/>
    <w:rsid w:val="13E23235"/>
    <w:rsid w:val="13E646D1"/>
    <w:rsid w:val="14016B58"/>
    <w:rsid w:val="14501479"/>
    <w:rsid w:val="146E58F7"/>
    <w:rsid w:val="1539063D"/>
    <w:rsid w:val="1589402B"/>
    <w:rsid w:val="15E33DA1"/>
    <w:rsid w:val="16A9563E"/>
    <w:rsid w:val="16AF4991"/>
    <w:rsid w:val="16E920D7"/>
    <w:rsid w:val="182E64BE"/>
    <w:rsid w:val="18DF48E3"/>
    <w:rsid w:val="18FC4B9C"/>
    <w:rsid w:val="191A07FE"/>
    <w:rsid w:val="1B31682A"/>
    <w:rsid w:val="1C430003"/>
    <w:rsid w:val="1EB94AA1"/>
    <w:rsid w:val="1ECC206D"/>
    <w:rsid w:val="1EF23B57"/>
    <w:rsid w:val="20067534"/>
    <w:rsid w:val="20BD006D"/>
    <w:rsid w:val="22192D16"/>
    <w:rsid w:val="241D5B11"/>
    <w:rsid w:val="24DF720C"/>
    <w:rsid w:val="24FB00FC"/>
    <w:rsid w:val="26B1024A"/>
    <w:rsid w:val="28ED617F"/>
    <w:rsid w:val="297941F1"/>
    <w:rsid w:val="29A62A6C"/>
    <w:rsid w:val="29C84839"/>
    <w:rsid w:val="29E75139"/>
    <w:rsid w:val="2BDA206F"/>
    <w:rsid w:val="2C9C4969"/>
    <w:rsid w:val="2CAB4D01"/>
    <w:rsid w:val="2ED23C2C"/>
    <w:rsid w:val="2FB04FA6"/>
    <w:rsid w:val="2FCC02FE"/>
    <w:rsid w:val="2FD10FE8"/>
    <w:rsid w:val="30DE57B9"/>
    <w:rsid w:val="319C1704"/>
    <w:rsid w:val="32AF2D3D"/>
    <w:rsid w:val="32F651FA"/>
    <w:rsid w:val="34872EDF"/>
    <w:rsid w:val="353105FD"/>
    <w:rsid w:val="353E6E61"/>
    <w:rsid w:val="356D066A"/>
    <w:rsid w:val="35F4589F"/>
    <w:rsid w:val="365038AF"/>
    <w:rsid w:val="365324E8"/>
    <w:rsid w:val="365E7AF7"/>
    <w:rsid w:val="36DF2E24"/>
    <w:rsid w:val="36E46637"/>
    <w:rsid w:val="376D0439"/>
    <w:rsid w:val="37EA2F27"/>
    <w:rsid w:val="38C42B9E"/>
    <w:rsid w:val="3A0573A0"/>
    <w:rsid w:val="3CB02BE0"/>
    <w:rsid w:val="3D6A2429"/>
    <w:rsid w:val="3DB30E2A"/>
    <w:rsid w:val="3E65184D"/>
    <w:rsid w:val="3F2B1518"/>
    <w:rsid w:val="3FAA6B7E"/>
    <w:rsid w:val="3FF51A0C"/>
    <w:rsid w:val="3FFD31FC"/>
    <w:rsid w:val="40391149"/>
    <w:rsid w:val="40595E2C"/>
    <w:rsid w:val="434047F8"/>
    <w:rsid w:val="449C6D57"/>
    <w:rsid w:val="455749D6"/>
    <w:rsid w:val="466701A0"/>
    <w:rsid w:val="467955FE"/>
    <w:rsid w:val="46C63049"/>
    <w:rsid w:val="4C24790B"/>
    <w:rsid w:val="4D81515B"/>
    <w:rsid w:val="4F3E7D26"/>
    <w:rsid w:val="51896F11"/>
    <w:rsid w:val="53880616"/>
    <w:rsid w:val="55032CDC"/>
    <w:rsid w:val="565B41B7"/>
    <w:rsid w:val="568D7958"/>
    <w:rsid w:val="57042F0D"/>
    <w:rsid w:val="590B728E"/>
    <w:rsid w:val="59950DFA"/>
    <w:rsid w:val="59CB2C85"/>
    <w:rsid w:val="5AE85E7A"/>
    <w:rsid w:val="5B0856A7"/>
    <w:rsid w:val="5B3F2834"/>
    <w:rsid w:val="5BE61D0F"/>
    <w:rsid w:val="5F9F0893"/>
    <w:rsid w:val="5FD6543C"/>
    <w:rsid w:val="60B14CCD"/>
    <w:rsid w:val="61963217"/>
    <w:rsid w:val="62854B7B"/>
    <w:rsid w:val="68663555"/>
    <w:rsid w:val="68BF401F"/>
    <w:rsid w:val="69056F02"/>
    <w:rsid w:val="699B06FC"/>
    <w:rsid w:val="6B8812C0"/>
    <w:rsid w:val="6BD378AE"/>
    <w:rsid w:val="6D2D3876"/>
    <w:rsid w:val="6D676B30"/>
    <w:rsid w:val="6D93567A"/>
    <w:rsid w:val="6E597688"/>
    <w:rsid w:val="6E976FE6"/>
    <w:rsid w:val="6F2B36D9"/>
    <w:rsid w:val="701111CA"/>
    <w:rsid w:val="71A15B78"/>
    <w:rsid w:val="72863DD9"/>
    <w:rsid w:val="73E62881"/>
    <w:rsid w:val="74A71436"/>
    <w:rsid w:val="76BD4125"/>
    <w:rsid w:val="76C04015"/>
    <w:rsid w:val="76F0591D"/>
    <w:rsid w:val="77C137D6"/>
    <w:rsid w:val="77CC090B"/>
    <w:rsid w:val="7857298B"/>
    <w:rsid w:val="789648DD"/>
    <w:rsid w:val="79DC11CC"/>
    <w:rsid w:val="7BF04E36"/>
    <w:rsid w:val="7CB743EA"/>
    <w:rsid w:val="7E724C0F"/>
    <w:rsid w:val="7E874428"/>
    <w:rsid w:val="7F6E7336"/>
    <w:rsid w:val="7F981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4">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eastAsia="宋体"/>
      <w:sz w:val="21"/>
    </w:rPr>
  </w:style>
  <w:style w:type="paragraph" w:styleId="3">
    <w:name w:val="Body Text"/>
    <w:basedOn w:val="1"/>
    <w:next w:val="2"/>
    <w:qFormat/>
    <w:uiPriority w:val="0"/>
    <w:pPr>
      <w:spacing w:after="120"/>
    </w:pPr>
  </w:style>
  <w:style w:type="paragraph" w:styleId="5">
    <w:name w:val="Body Text Indent"/>
    <w:basedOn w:val="1"/>
    <w:qFormat/>
    <w:uiPriority w:val="0"/>
    <w:pPr>
      <w:ind w:firstLine="720" w:firstLineChars="225"/>
    </w:pPr>
    <w:rPr>
      <w:rFonts w:ascii="黑体" w:eastAsia="黑体"/>
      <w:sz w:val="32"/>
    </w:rPr>
  </w:style>
  <w:style w:type="paragraph" w:styleId="6">
    <w:name w:val="toc 3"/>
    <w:basedOn w:val="1"/>
    <w:next w:val="1"/>
    <w:uiPriority w:val="0"/>
    <w:pPr>
      <w:ind w:left="840" w:leftChars="400"/>
    </w:pPr>
  </w:style>
  <w:style w:type="paragraph" w:styleId="7">
    <w:name w:val="Balloon Text"/>
    <w:basedOn w:val="1"/>
    <w:qFormat/>
    <w:uiPriority w:val="0"/>
    <w:rPr>
      <w:kern w:val="0"/>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15">
    <w:name w:val="font11"/>
    <w:basedOn w:val="13"/>
    <w:qFormat/>
    <w:uiPriority w:val="0"/>
    <w:rPr>
      <w:rFonts w:hint="default" w:ascii="Times New Roman" w:hAnsi="Times New Roman" w:cs="Times New Roman"/>
      <w:color w:val="000000"/>
      <w:sz w:val="20"/>
      <w:szCs w:val="20"/>
      <w:u w:val="none"/>
    </w:rPr>
  </w:style>
  <w:style w:type="character" w:customStyle="1" w:styleId="16">
    <w:name w:val="font21"/>
    <w:basedOn w:val="13"/>
    <w:qFormat/>
    <w:uiPriority w:val="0"/>
    <w:rPr>
      <w:rFonts w:hint="eastAsia" w:ascii="仿宋" w:hAnsi="仿宋" w:eastAsia="仿宋" w:cs="仿宋"/>
      <w:color w:val="191B1F"/>
      <w:sz w:val="28"/>
      <w:szCs w:val="28"/>
      <w:u w:val="none"/>
    </w:rPr>
  </w:style>
  <w:style w:type="paragraph" w:customStyle="1" w:styleId="17">
    <w:name w:val="列表段落1"/>
    <w:basedOn w:val="1"/>
    <w:qFormat/>
    <w:uiPriority w:val="0"/>
    <w:pPr>
      <w:spacing w:line="440" w:lineRule="exact"/>
      <w:ind w:firstLine="420" w:firstLineChars="200"/>
    </w:pPr>
    <w:rPr>
      <w:rFonts w:ascii="Arial" w:hAnsi="Arial"/>
      <w:sz w:val="24"/>
      <w:szCs w:val="21"/>
    </w:rPr>
  </w:style>
  <w:style w:type="character" w:customStyle="1" w:styleId="18">
    <w:name w:val="font01"/>
    <w:basedOn w:val="13"/>
    <w:qFormat/>
    <w:uiPriority w:val="0"/>
    <w:rPr>
      <w:rFonts w:hint="eastAsia" w:ascii="宋体" w:hAnsi="宋体" w:eastAsia="宋体" w:cs="宋体"/>
      <w:color w:val="191A1F"/>
      <w:sz w:val="19"/>
      <w:szCs w:val="19"/>
      <w:u w:val="none"/>
    </w:rPr>
  </w:style>
  <w:style w:type="character" w:customStyle="1" w:styleId="19">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3518</Words>
  <Characters>3752</Characters>
  <Lines>0</Lines>
  <Paragraphs>0</Paragraphs>
  <TotalTime>8</TotalTime>
  <ScaleCrop>false</ScaleCrop>
  <LinksUpToDate>false</LinksUpToDate>
  <CharactersWithSpaces>3818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赣昌农商银行财务部</dc:creator>
  <cp:lastModifiedBy>ganch</cp:lastModifiedBy>
  <dcterms:modified xsi:type="dcterms:W3CDTF">2026-07-03T08:20:43Z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eyJoZGlkIjoiYjU4ODVmODBkZTFlMGJlNjhkMjhjZDg5YTM2NmYyYjMifQ==</vt:lpwstr>
  </property>
  <property fmtid="{D5CDD505-2E9C-101B-9397-08002B2CF9AE}" pid="4" name="ICV">
    <vt:lpwstr>C3B1206E67B64D3D8E89C0652363B52A_12</vt:lpwstr>
  </property>
</Properties>
</file>