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0DDC2">
      <w:pPr>
        <w:spacing w:before="0" w:after="592" w:line="700" w:lineRule="exact"/>
        <w:jc w:val="center"/>
      </w:pPr>
      <w:bookmarkStart w:id="0" w:name="_GoBack"/>
      <w:bookmarkEnd w:id="0"/>
      <w:r>
        <w:rPr>
          <w:rFonts w:hint="eastAsia" w:ascii="Times New Roman" w:hAnsi="方正小标宋简体" w:eastAsia="方正小标宋简体" w:cs="Times New Roman"/>
          <w:sz w:val="44"/>
          <w:szCs w:val="44"/>
          <w:lang w:eastAsia="zh-CN"/>
        </w:rPr>
        <w:t>赣昌农商银行</w:t>
      </w:r>
      <w:r>
        <w:rPr>
          <w:rFonts w:ascii="Times New Roman" w:hAnsi="方正小标宋简体" w:eastAsia="方正小标宋简体" w:cs="Times New Roman"/>
          <w:sz w:val="44"/>
          <w:szCs w:val="44"/>
        </w:rPr>
        <w:t>2025年度社会责任报告</w:t>
      </w:r>
    </w:p>
    <w:p w14:paraId="309BDBB5">
      <w:pPr>
        <w:spacing w:before="0" w:after="0" w:line="592" w:lineRule="exact"/>
        <w:ind w:left="0" w:firstLine="630"/>
        <w:jc w:val="both"/>
      </w:pPr>
      <w:r>
        <w:rPr>
          <w:rFonts w:ascii="Times New Roman" w:hAnsi="仿宋_GB2312" w:eastAsia="仿宋_GB2312" w:cs="Times New Roman"/>
          <w:spacing w:val="-5"/>
          <w:sz w:val="32"/>
          <w:szCs w:val="32"/>
        </w:rPr>
        <w:t>2025年，</w:t>
      </w:r>
      <w:r>
        <w:rPr>
          <w:rFonts w:hint="eastAsia" w:ascii="Times New Roman" w:hAnsi="仿宋_GB2312" w:eastAsia="仿宋_GB2312" w:cs="Times New Roman"/>
          <w:spacing w:val="-5"/>
          <w:sz w:val="32"/>
          <w:szCs w:val="32"/>
          <w:lang w:eastAsia="zh-CN"/>
        </w:rPr>
        <w:t>赣昌农商银行</w:t>
      </w:r>
      <w:r>
        <w:rPr>
          <w:rFonts w:ascii="Times New Roman" w:hAnsi="仿宋_GB2312" w:eastAsia="仿宋_GB2312" w:cs="Times New Roman"/>
          <w:spacing w:val="-5"/>
          <w:sz w:val="32"/>
          <w:szCs w:val="32"/>
        </w:rPr>
        <w:t>坚持以习近平新时代中国特色社会主义思想为指导，深入贯彻党的二十大和二十届历次全会精神，全面落实联合银行党委及地方党委政府各项决策部署，始终牢记“农商姓党”政治属性和“服务暖行”使命担当，聚焦主业、深耕本土，在护航实体经济、服务百姓民生、强化科技赋能、关爱员工成长、保障客户权益、投身公益慈善等方面积极履行社会责任，取得了显著成效。现将2025年度社会责任履行情况报告如下：</w:t>
      </w:r>
    </w:p>
    <w:p w14:paraId="4BB67F78">
      <w:pPr>
        <w:spacing w:before="0" w:after="0" w:line="592" w:lineRule="exact"/>
        <w:ind w:left="0" w:firstLine="630"/>
        <w:jc w:val="both"/>
      </w:pPr>
      <w:r>
        <w:rPr>
          <w:rFonts w:ascii="Times New Roman" w:hAnsi="黑体" w:eastAsia="黑体" w:cs="Times New Roman"/>
          <w:spacing w:val="-5"/>
          <w:sz w:val="32"/>
          <w:szCs w:val="32"/>
        </w:rPr>
        <w:t>一、践行使命担当，护航实体经济发展</w:t>
      </w:r>
    </w:p>
    <w:p w14:paraId="1012B0CB">
      <w:pPr>
        <w:spacing w:before="0" w:after="0" w:line="592" w:lineRule="exact"/>
        <w:ind w:left="0" w:firstLine="630"/>
        <w:jc w:val="both"/>
      </w:pPr>
      <w:r>
        <w:rPr>
          <w:rFonts w:hint="eastAsia" w:ascii="楷体_GB2312" w:hAnsi="楷体_GB2312" w:eastAsia="楷体_GB2312" w:cs="楷体_GB2312"/>
          <w:b/>
          <w:bCs/>
          <w:spacing w:val="-5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-5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pacing w:val="-5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pacing w:val="-5"/>
          <w:sz w:val="32"/>
          <w:szCs w:val="32"/>
        </w:rPr>
        <w:t>引金融“活水”，浇灌实体经济沃土。</w:t>
      </w:r>
      <w:r>
        <w:rPr>
          <w:rFonts w:ascii="Times New Roman" w:hAnsi="仿宋_GB2312" w:eastAsia="仿宋_GB2312" w:cs="Times New Roman"/>
          <w:spacing w:val="-5"/>
          <w:sz w:val="32"/>
          <w:szCs w:val="32"/>
        </w:rPr>
        <w:t>始终牢记服务实体经济的初心使命，将自身发展融入地方经济发展大局。深度对接省“1269”、市“8810”、县“6410”行动计划，全面梳理辖内园区重点企业与项目清单，建立企业白名单制度，强化制造业、绿色贷款考核引导，动态监测对接进度。针对不同客群差异化需求，创新推出“富民兴村贷”“兴商贷”“赣惠贷”等10款信贷产品，精准匹配产业链上下游企业融资需求。截至2025年末，全行“1269”产业链贷款余额10.34亿元，较年初净增1154万元；制造业贷款余额2.73亿元，同比增幅45.99%；绿色贷款余额1.02亿元，较年初净增1231万元。全行贷款余额达251亿元，同比增长14.06亿元，信贷投放与县域发展战略实现同频共振。</w:t>
      </w:r>
    </w:p>
    <w:p w14:paraId="015069AD">
      <w:pPr>
        <w:spacing w:before="0" w:after="0" w:line="592" w:lineRule="exact"/>
        <w:ind w:left="0" w:firstLine="630"/>
        <w:jc w:val="both"/>
      </w:pPr>
      <w:r>
        <w:rPr>
          <w:rFonts w:hint="eastAsia" w:ascii="楷体_GB2312" w:hAnsi="楷体_GB2312" w:eastAsia="楷体_GB2312" w:cs="楷体_GB2312"/>
          <w:b/>
          <w:bCs/>
          <w:spacing w:val="-5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-5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pacing w:val="-5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pacing w:val="-5"/>
          <w:sz w:val="32"/>
          <w:szCs w:val="32"/>
        </w:rPr>
        <w:t>优服务机制，打通惠企“最后一公里”。</w:t>
      </w:r>
      <w:r>
        <w:rPr>
          <w:rFonts w:ascii="Times New Roman" w:hAnsi="仿宋_GB2312" w:eastAsia="仿宋_GB2312" w:cs="Times New Roman"/>
          <w:spacing w:val="-5"/>
          <w:sz w:val="32"/>
          <w:szCs w:val="32"/>
        </w:rPr>
        <w:t>将社会责任贯穿于对企服务的全过程，致力于简化流程、提升效率。指定公司事业部作为“整园授信”工作推动部门，常态化开展小型推介会、金融夜校、金融知识讲堂，扎实推进“普惠金融万里行”。在园区设立服务点，安排经验丰富的客户经理驻点办公，为企业提供“一站式”金融服务。同时，建立“阳光办贷”机制，简化办贷手续、优化办理流程、缩短办贷链条，切实降低企业综合融资成本。2025年，全行平均贷款利率4.24%，较年初下降0.28个百分点，为客户减费让利1000余万元，以金融之力托举地方经济高质量发展。</w:t>
      </w:r>
    </w:p>
    <w:p w14:paraId="338BB8B3">
      <w:pPr>
        <w:spacing w:before="0" w:after="0" w:line="592" w:lineRule="exact"/>
        <w:ind w:left="0" w:firstLine="630"/>
        <w:jc w:val="both"/>
      </w:pPr>
      <w:r>
        <w:rPr>
          <w:rFonts w:ascii="Times New Roman" w:hAnsi="黑体" w:eastAsia="黑体" w:cs="Times New Roman"/>
          <w:spacing w:val="-5"/>
          <w:sz w:val="32"/>
          <w:szCs w:val="32"/>
        </w:rPr>
        <w:t>二、坚守金融为民，擦亮百姓银行品牌</w:t>
      </w:r>
    </w:p>
    <w:p w14:paraId="25C83C24">
      <w:pPr>
        <w:spacing w:before="0" w:after="0" w:line="592" w:lineRule="exact"/>
        <w:ind w:left="0" w:firstLine="630"/>
        <w:jc w:val="both"/>
      </w:pPr>
      <w:r>
        <w:rPr>
          <w:rFonts w:hint="eastAsia" w:ascii="楷体_GB2312" w:hAnsi="楷体_GB2312" w:eastAsia="楷体_GB2312" w:cs="楷体_GB2312"/>
          <w:b/>
          <w:bCs/>
          <w:spacing w:val="-5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-5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pacing w:val="-5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pacing w:val="-5"/>
          <w:sz w:val="32"/>
          <w:szCs w:val="32"/>
        </w:rPr>
        <w:t>引金融“活水”，润泽城乡百姓生活。</w:t>
      </w:r>
      <w:r>
        <w:rPr>
          <w:rFonts w:ascii="Times New Roman" w:hAnsi="仿宋_GB2312" w:eastAsia="仿宋_GB2312" w:cs="Times New Roman"/>
          <w:spacing w:val="-5"/>
          <w:sz w:val="32"/>
          <w:szCs w:val="32"/>
        </w:rPr>
        <w:t>深度融入乡村振兴战略，深化开展“整村授信”工作，实现全县272个行政村全覆盖，累计授信农户1.13万户、授信金额21亿元，为乡村振兴注入金融“活水”。针对“三农”及城乡居民差异化需求，推出“农户小额信用贷款”“返乡农民工创业贷款”“乡村振兴贷”等特色产品，并将单笔提额至20万元，满足多层次、多元化的民生金融服务需求。截至2025年末，全行500万元以下农户经营性贷款余额达36.49亿元，同比增加2.34亿元，惠及农户14591户，切实解决了农户融资难、融资贵问题。</w:t>
      </w:r>
    </w:p>
    <w:p w14:paraId="1C965524">
      <w:pPr>
        <w:spacing w:before="0" w:after="0" w:line="592" w:lineRule="exact"/>
        <w:ind w:left="0" w:firstLine="630"/>
        <w:jc w:val="both"/>
      </w:pPr>
      <w:r>
        <w:rPr>
          <w:rFonts w:hint="eastAsia" w:ascii="楷体_GB2312" w:hAnsi="楷体_GB2312" w:eastAsia="楷体_GB2312" w:cs="楷体_GB2312"/>
          <w:b/>
          <w:bCs/>
          <w:spacing w:val="-5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-5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pacing w:val="-5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pacing w:val="-5"/>
          <w:sz w:val="32"/>
          <w:szCs w:val="32"/>
        </w:rPr>
        <w:t>建服务网络，打造便民生活圈。</w:t>
      </w:r>
      <w:r>
        <w:rPr>
          <w:rFonts w:ascii="Times New Roman" w:hAnsi="仿宋_GB2312" w:eastAsia="仿宋_GB2312" w:cs="Times New Roman"/>
          <w:spacing w:val="-5"/>
          <w:sz w:val="32"/>
          <w:szCs w:val="32"/>
        </w:rPr>
        <w:t>始终致力于完善城乡服务网络，持续优化物理网点布局。以“普惠金融服务站”为依托，以打造有特色、有影响、有效益的普惠金融服务站为目标，打通普惠金融“最后100米”。截至2025年末，转型升级117个普惠金融服务站，完成高质量服务站38个，实现基础金融服务不出村、综合金融服务不出镇。服务站除提供基础金融业务外，还承担社保卡办理、金融知识宣传、防非宣讲等便民功能。全年扎实做好脱贫人口小额信贷工作，累计发放脱贫人口小额贷款1941万元，惠及脱贫户437户，巩固拓展脱贫攻坚成果，切实提升城乡居民金融获得感与幸福感。</w:t>
      </w:r>
    </w:p>
    <w:p w14:paraId="2076F9DD">
      <w:pPr>
        <w:spacing w:before="0" w:after="0" w:line="592" w:lineRule="exact"/>
        <w:ind w:left="0" w:firstLine="630"/>
        <w:jc w:val="both"/>
      </w:pPr>
      <w:r>
        <w:rPr>
          <w:rFonts w:ascii="Times New Roman" w:hAnsi="黑体" w:eastAsia="黑体" w:cs="Times New Roman"/>
          <w:spacing w:val="-5"/>
          <w:sz w:val="32"/>
          <w:szCs w:val="32"/>
        </w:rPr>
        <w:t>三、强化科技赋能，拓展数智服务场景</w:t>
      </w:r>
    </w:p>
    <w:p w14:paraId="54CF86E9">
      <w:pPr>
        <w:spacing w:before="0" w:after="0" w:line="592" w:lineRule="exact"/>
        <w:ind w:left="0" w:firstLine="630"/>
        <w:jc w:val="both"/>
      </w:pPr>
      <w:r>
        <w:rPr>
          <w:rFonts w:hint="eastAsia" w:ascii="楷体_GB2312" w:hAnsi="楷体_GB2312" w:eastAsia="楷体_GB2312" w:cs="楷体_GB2312"/>
          <w:b/>
          <w:bCs/>
          <w:spacing w:val="-5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-5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pacing w:val="-5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pacing w:val="-5"/>
          <w:sz w:val="32"/>
          <w:szCs w:val="32"/>
        </w:rPr>
        <w:t>创新驱动，提升智慧服务体验。</w:t>
      </w:r>
      <w:r>
        <w:rPr>
          <w:rFonts w:ascii="Times New Roman" w:hAnsi="仿宋_GB2312" w:eastAsia="仿宋_GB2312" w:cs="Times New Roman"/>
          <w:spacing w:val="-5"/>
          <w:sz w:val="32"/>
          <w:szCs w:val="32"/>
        </w:rPr>
        <w:t>坚持科技引领，加快数字化转型步伐。探索建立数字金融主题网点1个，为客户提供高效数字金融服务体验，该网点入选全省农商银行“百佳特色网点”。加大对商圈商户等客群的拓展力度，成功对接艾溪·嘻街商圈，成为其唯一合作金融机构，为商户授信并发放贷款9000余万元，办理结算账户28个，打造了全省首家0租金、同一商户多业态、多扣率应用场景模式的商圈标杆。大力推广聚合支付收单业务，加大聚合商户贷推广力度，截至2025年末，全行活跃有效商户331户，同比增长272户。</w:t>
      </w:r>
    </w:p>
    <w:p w14:paraId="6075CB98">
      <w:pPr>
        <w:spacing w:before="0" w:after="0" w:line="592" w:lineRule="exact"/>
        <w:ind w:left="0" w:firstLine="630"/>
        <w:jc w:val="both"/>
      </w:pPr>
      <w:r>
        <w:rPr>
          <w:rFonts w:hint="eastAsia" w:ascii="楷体_GB2312" w:hAnsi="楷体_GB2312" w:eastAsia="楷体_GB2312" w:cs="楷体_GB2312"/>
          <w:b/>
          <w:bCs/>
          <w:spacing w:val="-5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-5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pacing w:val="-5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pacing w:val="-5"/>
          <w:sz w:val="32"/>
          <w:szCs w:val="32"/>
        </w:rPr>
        <w:t>数据驱动，构建智能风控与服务新生态。</w:t>
      </w:r>
      <w:r>
        <w:rPr>
          <w:rFonts w:ascii="Times New Roman" w:hAnsi="仿宋_GB2312" w:eastAsia="仿宋_GB2312" w:cs="Times New Roman"/>
          <w:spacing w:val="-5"/>
          <w:sz w:val="32"/>
          <w:szCs w:val="32"/>
        </w:rPr>
        <w:t>积极运用大数据技术，赋能内部管理与外部服务。创新运用“风险雷达图”这一直观高效的监测工具，重点聚焦信用风险相关指标，构建可视化风险监测体系，实现风险变化动态感知。通过雷达图的图形化呈现，清晰直观地展现风险轮廓及变化趋势，让各层级管理人员快速掌握风险状况，精准定位突出问题，为管理层及时制定防控措施、优化经营决策提供了有力支撑。同时，加强与人社部门沟通协调，利用社保卡制卡点分布优势，做好“一揽子”产品营销推广，统筹抓好ETC、互联网金融等电子银行业务发展。截至2025年末，全行第三方支付绑卡客户27.1万户，同比增长4.3万户。</w:t>
      </w:r>
    </w:p>
    <w:p w14:paraId="35D9604C">
      <w:pPr>
        <w:spacing w:before="0" w:after="0" w:line="592" w:lineRule="exact"/>
        <w:ind w:left="0" w:firstLine="630"/>
        <w:jc w:val="both"/>
      </w:pPr>
      <w:r>
        <w:rPr>
          <w:rFonts w:ascii="Times New Roman" w:hAnsi="黑体" w:eastAsia="黑体" w:cs="Times New Roman"/>
          <w:spacing w:val="-5"/>
          <w:sz w:val="32"/>
          <w:szCs w:val="32"/>
        </w:rPr>
        <w:t>四、坚持投资于人，厚植员工成长沃土</w:t>
      </w:r>
    </w:p>
    <w:p w14:paraId="6722F0C4">
      <w:pPr>
        <w:spacing w:before="0" w:after="0" w:line="592" w:lineRule="exact"/>
        <w:ind w:left="0" w:firstLine="630"/>
        <w:jc w:val="both"/>
      </w:pPr>
      <w:r>
        <w:rPr>
          <w:rFonts w:hint="eastAsia" w:ascii="楷体_GB2312" w:hAnsi="楷体_GB2312" w:eastAsia="楷体_GB2312" w:cs="楷体_GB2312"/>
          <w:b/>
          <w:bCs/>
          <w:spacing w:val="-5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-5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pacing w:val="-5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pacing w:val="-5"/>
          <w:sz w:val="32"/>
          <w:szCs w:val="32"/>
        </w:rPr>
        <w:t>搭建成长阶梯，助力员工价值实现。</w:t>
      </w:r>
      <w:r>
        <w:rPr>
          <w:rFonts w:ascii="Times New Roman" w:hAnsi="仿宋_GB2312" w:eastAsia="仿宋_GB2312" w:cs="Times New Roman"/>
          <w:spacing w:val="-5"/>
          <w:sz w:val="32"/>
          <w:szCs w:val="32"/>
        </w:rPr>
        <w:t>秉持“人才是第一资源”的理念，打破论资排辈、身份壁垒等传统用人观念，树立“以实绩论英雄、凭能力用干部”的用人导向。2025年，通过民主推荐、组织考察、竞争上岗等方式提拔重用28名优秀员工充实到干部队伍。实行“师带徒、老带新”制度，择优选派优秀支行行长担任新员工师傅，从业务知识、营销技巧、农商文化、服务规范等方面进行全方位指导。确立每周一为“机关学习日”，已累计为机关员工带来100余堂“小而精”的课程。组织青年干部分两批赴泰隆银行、成泰农商银行交流学习，对标先进汲取前沿经验。至2025年末，全行客户经理人数达197人，占全行在岗员工比重37.6%。</w:t>
      </w:r>
    </w:p>
    <w:p w14:paraId="304C191F">
      <w:pPr>
        <w:spacing w:before="0" w:after="0" w:line="592" w:lineRule="exact"/>
        <w:ind w:left="0" w:firstLine="630"/>
        <w:jc w:val="both"/>
      </w:pPr>
      <w:r>
        <w:rPr>
          <w:rFonts w:hint="eastAsia" w:ascii="楷体_GB2312" w:hAnsi="楷体_GB2312" w:eastAsia="楷体_GB2312" w:cs="楷体_GB2312"/>
          <w:b/>
          <w:bCs/>
          <w:spacing w:val="-5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-5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pacing w:val="-5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pacing w:val="-5"/>
          <w:sz w:val="32"/>
          <w:szCs w:val="32"/>
        </w:rPr>
        <w:t>深化人文关怀，共建和谐幸福家园。</w:t>
      </w:r>
      <w:r>
        <w:rPr>
          <w:rFonts w:ascii="Times New Roman" w:hAnsi="仿宋_GB2312" w:eastAsia="仿宋_GB2312" w:cs="Times New Roman"/>
          <w:spacing w:val="-5"/>
          <w:sz w:val="32"/>
          <w:szCs w:val="32"/>
        </w:rPr>
        <w:t>本行高度关注员工身心健康与工作生活平衡，积极改善员工生活环境，为基层网点增添空调、热水器等生活电器。关心干部职工身心健康，开展女员工“两癌”筛查、新冠康复专项体检，把组织关怀和温暖传递到每一位职工。抓好帮扶慰问、传统节日送温暖等工作，对困难员工进行摸底建档。开展“三八节”登山、青年员工朗读比赛、集体生日会、环“澄”跑、业务技能竞赛等形式多样的文体活动，持续增强员工凝聚力和向心力。选送的“五小”创新典型案例分获全省农商银行一等奖和优秀奖，实现人才培育与经营质效双提升。</w:t>
      </w:r>
    </w:p>
    <w:p w14:paraId="5687D39C">
      <w:pPr>
        <w:spacing w:before="0" w:after="0" w:line="592" w:lineRule="exact"/>
        <w:ind w:left="0" w:firstLine="630"/>
        <w:jc w:val="both"/>
      </w:pPr>
      <w:r>
        <w:rPr>
          <w:rFonts w:ascii="Times New Roman" w:hAnsi="黑体" w:eastAsia="黑体" w:cs="Times New Roman"/>
          <w:spacing w:val="-5"/>
          <w:sz w:val="32"/>
          <w:szCs w:val="32"/>
        </w:rPr>
        <w:t>五、保障客户权益，筑牢金融安全防线</w:t>
      </w:r>
    </w:p>
    <w:p w14:paraId="6300DC9B">
      <w:pPr>
        <w:spacing w:before="0" w:after="0" w:line="592" w:lineRule="exact"/>
        <w:ind w:left="0" w:firstLine="630"/>
        <w:jc w:val="both"/>
      </w:pPr>
      <w:r>
        <w:rPr>
          <w:rFonts w:hint="eastAsia" w:ascii="楷体_GB2312" w:hAnsi="楷体_GB2312" w:eastAsia="楷体_GB2312" w:cs="楷体_GB2312"/>
          <w:b/>
          <w:bCs/>
          <w:spacing w:val="-5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-5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pacing w:val="-5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pacing w:val="-5"/>
          <w:sz w:val="32"/>
          <w:szCs w:val="32"/>
        </w:rPr>
        <w:t>健全消保机制，保障客户合法权益。</w:t>
      </w:r>
      <w:r>
        <w:rPr>
          <w:rFonts w:ascii="Times New Roman" w:hAnsi="仿宋_GB2312" w:eastAsia="仿宋_GB2312" w:cs="Times New Roman"/>
          <w:spacing w:val="-5"/>
          <w:sz w:val="32"/>
          <w:szCs w:val="32"/>
        </w:rPr>
        <w:t>始终将消费者权益保护置于战略高度，将消保要求嵌入产品设计、营销推介、业务办理、售后服务等全流程。在各营业网点均设立信访举报箱，公布举报电话及邮箱，设立总行领导公开接访日，充分听取群众意见，及时解决群众反映的问题和合理诉求，确保“事事有回音、件件有结果”。深入推进金融知识“五进入”宣传活动，推动金融知识进社区、进商圈、进企业、进校园、进农村；开展反诈集中宣传活动，覆盖群众2000余人次；已建成54个防非金融服务站，依托服务站开展防非金融宣讲，让金融知识融入百姓生活，切实提升群众风险防范意识与理性投资理念。</w:t>
      </w:r>
    </w:p>
    <w:p w14:paraId="3F289495">
      <w:pPr>
        <w:spacing w:before="0" w:after="0" w:line="592" w:lineRule="exact"/>
        <w:ind w:left="0" w:firstLine="630"/>
        <w:jc w:val="both"/>
      </w:pPr>
      <w:r>
        <w:rPr>
          <w:rFonts w:hint="eastAsia" w:ascii="楷体_GB2312" w:hAnsi="楷体_GB2312" w:eastAsia="楷体_GB2312" w:cs="楷体_GB2312"/>
          <w:b/>
          <w:bCs/>
          <w:spacing w:val="-5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-5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pacing w:val="-5"/>
          <w:sz w:val="32"/>
          <w:szCs w:val="32"/>
          <w:lang w:eastAsia="zh-CN"/>
        </w:rPr>
        <w:t>）强化合规风控，守护百姓“钱袋子”。</w:t>
      </w:r>
      <w:r>
        <w:rPr>
          <w:rFonts w:ascii="Times New Roman" w:hAnsi="仿宋_GB2312" w:eastAsia="仿宋_GB2312" w:cs="Times New Roman"/>
          <w:spacing w:val="-5"/>
          <w:sz w:val="32"/>
          <w:szCs w:val="32"/>
        </w:rPr>
        <w:t>严格执行监管要求，持续健全内部控制与合规管理体系。成立以董事长为组长的风险处置工作领导小组，实施党委领导班子清收责任制，班子成员带头认领500万元以上不良贷款清收任务。常态化开展员工行为排查与合规教育，整治员工参与资金过桥、违规与中介合作等突出问题，对苗头性、倾向性问题早提醒、早纠正。强化监督执纪问责，2025年全行已问责处理268人次。通过多方协同联动，综合运用现金清收、贷款核销、以物抵债、批量转让等多种方式加大不良资产处置力度。截至2025年末，全行表内不良贷款余额8.54亿元，同比下降1.68亿元；不良贷款率3.62%，较年初下降0.98个百分点；拨备覆盖率152.59%，较年初提升95.12个百分点；资本充足率10.5%，三大监管指标全面达标，牢牢守住了风险底线。</w:t>
      </w:r>
    </w:p>
    <w:p w14:paraId="727887E0">
      <w:pPr>
        <w:spacing w:before="0" w:after="0" w:line="592" w:lineRule="exact"/>
        <w:ind w:left="0" w:firstLine="630"/>
        <w:jc w:val="both"/>
      </w:pPr>
      <w:r>
        <w:rPr>
          <w:rFonts w:ascii="Times New Roman" w:hAnsi="黑体" w:eastAsia="黑体" w:cs="Times New Roman"/>
          <w:spacing w:val="-5"/>
          <w:sz w:val="32"/>
          <w:szCs w:val="32"/>
        </w:rPr>
        <w:t>六、履行社会责任，热心公益慈善事业</w:t>
      </w:r>
    </w:p>
    <w:p w14:paraId="70D84FA7">
      <w:pPr>
        <w:spacing w:before="0" w:after="0" w:line="592" w:lineRule="exact"/>
        <w:ind w:left="0" w:firstLine="630"/>
        <w:jc w:val="both"/>
      </w:pPr>
      <w:r>
        <w:rPr>
          <w:rFonts w:hint="eastAsia" w:ascii="楷体_GB2312" w:hAnsi="楷体_GB2312" w:eastAsia="楷体_GB2312" w:cs="楷体_GB2312"/>
          <w:b/>
          <w:bCs/>
          <w:spacing w:val="-5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-5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pacing w:val="-5"/>
          <w:sz w:val="32"/>
          <w:szCs w:val="32"/>
          <w:lang w:eastAsia="zh-CN"/>
        </w:rPr>
        <w:t>）暖心帮扶，传递金融向善力量。</w:t>
      </w:r>
      <w:r>
        <w:rPr>
          <w:rFonts w:ascii="Times New Roman" w:hAnsi="仿宋_GB2312" w:eastAsia="仿宋_GB2312" w:cs="Times New Roman"/>
          <w:spacing w:val="-5"/>
          <w:sz w:val="32"/>
          <w:szCs w:val="32"/>
        </w:rPr>
        <w:t>积极弘扬“红农商·赣先锋”党建品牌，以党的政治建设为统领，实施政治固本、凝心铸魂、强基赋能、人才聚力、清风护航、协同作战六大工程。依托党建品牌力量，每年常态化开展系列公益活动。打造了标杆支部7个、党员示范窗口41个、品牌展示阵地11个，开展助力高考、助跑象湖马拉松等公益活动30余场，让品牌“亮起来”、作用“实起来”。通过“千企万户”大走访活动，联合政府工作专班深入基层，为老年人和残疾人等特殊群体提供贴心上门服务，以实际行动践行金融向善理念，让金融服务更有温度。</w:t>
      </w:r>
    </w:p>
    <w:p w14:paraId="0A34BB75">
      <w:pPr>
        <w:spacing w:before="0" w:after="0" w:line="592" w:lineRule="exact"/>
        <w:ind w:left="0" w:firstLine="630"/>
        <w:jc w:val="both"/>
      </w:pPr>
      <w:r>
        <w:rPr>
          <w:rFonts w:hint="eastAsia" w:ascii="楷体_GB2312" w:hAnsi="楷体_GB2312" w:eastAsia="楷体_GB2312" w:cs="楷体_GB2312"/>
          <w:b/>
          <w:bCs/>
          <w:spacing w:val="-5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-5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pacing w:val="-5"/>
          <w:sz w:val="32"/>
          <w:szCs w:val="32"/>
          <w:lang w:eastAsia="zh-CN"/>
        </w:rPr>
        <w:t>）回馈社会，践行企业</w:t>
      </w:r>
      <w:r>
        <w:rPr>
          <w:rFonts w:hint="eastAsia" w:ascii="楷体_GB2312" w:hAnsi="楷体_GB2312" w:eastAsia="楷体_GB2312" w:cs="楷体_GB2312"/>
          <w:b/>
          <w:bCs/>
          <w:spacing w:val="-5"/>
          <w:sz w:val="32"/>
          <w:szCs w:val="32"/>
          <w:lang w:val="en-US" w:eastAsia="zh-CN"/>
        </w:rPr>
        <w:t>社会</w:t>
      </w:r>
      <w:r>
        <w:rPr>
          <w:rFonts w:hint="eastAsia" w:ascii="楷体_GB2312" w:hAnsi="楷体_GB2312" w:eastAsia="楷体_GB2312" w:cs="楷体_GB2312"/>
          <w:b/>
          <w:bCs/>
          <w:spacing w:val="-5"/>
          <w:sz w:val="32"/>
          <w:szCs w:val="32"/>
          <w:lang w:eastAsia="zh-CN"/>
        </w:rPr>
        <w:t>责任。</w:t>
      </w:r>
      <w:r>
        <w:rPr>
          <w:rFonts w:ascii="Times New Roman" w:hAnsi="仿宋_GB2312" w:eastAsia="仿宋_GB2312" w:cs="Times New Roman"/>
          <w:spacing w:val="-5"/>
          <w:sz w:val="32"/>
          <w:szCs w:val="32"/>
        </w:rPr>
        <w:t>本行积极履行纳税主体责任，坚守依法纳税底线，2025年缴纳各项税款1.28亿元，以实际行动回馈社会、支持地方公共事业发展。同时，坚持党建引领群团建设，通过党建带群建，不断增强组织活力。积极开展“三八节”登山、青年员工朗读比赛、环“澄”跑等职工文体活动，营造积极向上的企业文化氛围。广泛运用微信公众号、视频号等宣传载体，普及金融知识，宣传企业形象，弘扬农商“好声音”。全年在各级媒体发表宣传稿件150余篇，实行365天×24小时负面舆情监测，防范声誉风险，维护意识形态领域安全，以责任担当树立了良好的企业公民形象。</w:t>
      </w:r>
    </w:p>
    <w:p w14:paraId="53F2D0A3">
      <w:pPr>
        <w:spacing w:before="0" w:after="0" w:line="592" w:lineRule="exact"/>
        <w:ind w:left="0" w:firstLine="630"/>
        <w:jc w:val="both"/>
      </w:pPr>
      <w:r>
        <w:rPr>
          <w:rFonts w:ascii="Times New Roman" w:hAnsi="仿宋_GB2312" w:eastAsia="仿宋_GB2312" w:cs="Times New Roman"/>
          <w:spacing w:val="-5"/>
          <w:sz w:val="32"/>
          <w:szCs w:val="32"/>
        </w:rPr>
        <w:t>2026年，</w:t>
      </w:r>
      <w:r>
        <w:rPr>
          <w:rFonts w:hint="eastAsia" w:ascii="Times New Roman" w:hAnsi="仿宋_GB2312" w:eastAsia="仿宋_GB2312" w:cs="Times New Roman"/>
          <w:spacing w:val="-5"/>
          <w:sz w:val="32"/>
          <w:szCs w:val="32"/>
          <w:lang w:eastAsia="zh-CN"/>
        </w:rPr>
        <w:t>赣昌农商银行</w:t>
      </w:r>
      <w:r>
        <w:rPr>
          <w:rFonts w:ascii="Times New Roman" w:hAnsi="仿宋_GB2312" w:eastAsia="仿宋_GB2312" w:cs="Times New Roman"/>
          <w:spacing w:val="-5"/>
          <w:sz w:val="32"/>
          <w:szCs w:val="32"/>
        </w:rPr>
        <w:t>将继续坚守“金融为民”初心，深化“八行战略”实践，以更高标准、更实举措履行社会责任，为服务地方经济高质量发展、增进民生福祉贡献更大农商力量。</w:t>
      </w:r>
    </w:p>
    <w:sectPr>
      <w:footerReference r:id="rId3" w:type="default"/>
      <w:footerReference r:id="rId4" w:type="even"/>
      <w:pgSz w:w="11906" w:h="16838"/>
      <w:pgMar w:top="1962" w:right="1474" w:bottom="1848" w:left="1588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4F674">
    <w:pPr>
      <w:spacing w:before="397"/>
      <w:ind w:right="280"/>
      <w:jc w:val="right"/>
    </w:pPr>
    <w:r>
      <w:rPr>
        <w:rFonts w:ascii="宋体" w:hAnsi="宋体" w:eastAsia="宋体" w:cs="宋体"/>
        <w:sz w:val="28"/>
        <w:szCs w:val="28"/>
      </w:rPr>
      <w:t xml:space="preserve">— </w:t>
    </w:r>
    <w:r>
      <w:rPr>
        <w:rFonts w:ascii="宋体" w:hAnsi="宋体" w:eastAsia="宋体" w:cs="宋体"/>
        <w:sz w:val="28"/>
        <w:szCs w:val="28"/>
      </w:rPr>
      <w:fldChar w:fldCharType="begin"/>
    </w:r>
    <w:r>
      <w:rPr>
        <w:rFonts w:ascii="宋体" w:hAnsi="宋体" w:eastAsia="宋体" w:cs="宋体"/>
        <w:sz w:val="28"/>
        <w:szCs w:val="28"/>
      </w:rPr>
      <w:instrText xml:space="preserve">PAGE</w:instrText>
    </w:r>
    <w:r>
      <w:rPr>
        <w:rFonts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</w:rPr>
      <w:fldChar w:fldCharType="end"/>
    </w:r>
    <w:r>
      <w:rPr>
        <w:rFonts w:ascii="宋体" w:hAnsi="宋体" w:eastAsia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18C93">
    <w:pPr>
      <w:spacing w:before="397"/>
      <w:ind w:left="280"/>
      <w:jc w:val="left"/>
    </w:pPr>
    <w:r>
      <w:rPr>
        <w:rFonts w:ascii="宋体" w:hAnsi="宋体" w:eastAsia="宋体" w:cs="宋体"/>
        <w:sz w:val="28"/>
        <w:szCs w:val="28"/>
      </w:rPr>
      <w:t xml:space="preserve">— </w:t>
    </w:r>
    <w:r>
      <w:rPr>
        <w:rFonts w:ascii="宋体" w:hAnsi="宋体" w:eastAsia="宋体" w:cs="宋体"/>
        <w:sz w:val="28"/>
        <w:szCs w:val="28"/>
      </w:rPr>
      <w:fldChar w:fldCharType="begin"/>
    </w:r>
    <w:r>
      <w:rPr>
        <w:rFonts w:ascii="宋体" w:hAnsi="宋体" w:eastAsia="宋体" w:cs="宋体"/>
        <w:sz w:val="28"/>
        <w:szCs w:val="28"/>
      </w:rPr>
      <w:instrText xml:space="preserve">PAGE</w:instrText>
    </w:r>
    <w:r>
      <w:rPr>
        <w:rFonts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</w:rPr>
      <w:fldChar w:fldCharType="end"/>
    </w:r>
    <w:r>
      <w:rPr>
        <w:rFonts w:ascii="宋体" w:hAnsi="宋体" w:eastAsia="宋体" w:cs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isplayBackgroundShape w:val="1"/>
  <w:documentProtection w:enforcement="0"/>
  <w:evenAndOddHeaders w:val="1"/>
  <w:compat>
    <w:useFELayout/>
    <w:compatSetting w:name="compatibilityMode" w:uri="http://schemas.microsoft.com/office/word" w:val="15"/>
  </w:compat>
  <w:rsids>
    <w:rsidRoot w:val="00000000"/>
    <w:rsid w:val="2000311E"/>
    <w:rsid w:val="745760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rPr>
      <w:rFonts w:asciiTheme="minorHAnsi" w:hAnsiTheme="minorHAnsi" w:eastAsiaTheme="minorEastAsia" w:cstheme="minorBidi"/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rFonts w:asciiTheme="minorHAnsi" w:hAnsiTheme="minorHAnsi" w:eastAsiaTheme="minorEastAsia" w:cstheme="minorBidi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Theme="minorHAnsi" w:hAnsiTheme="minorHAnsi" w:eastAsiaTheme="minorEastAsia" w:cstheme="minorBidi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Theme="minorHAnsi" w:hAnsiTheme="minorHAnsi" w:eastAsiaTheme="minorEastAsia" w:cstheme="minorBidi"/>
      <w:i/>
      <w:iCs/>
      <w:color w:val="2E74B5"/>
      <w:sz w:val="21"/>
      <w:szCs w:val="22"/>
    </w:rPr>
  </w:style>
  <w:style w:type="paragraph" w:styleId="6">
    <w:name w:val="heading 5"/>
    <w:next w:val="1"/>
    <w:qFormat/>
    <w:uiPriority w:val="0"/>
    <w:rPr>
      <w:rFonts w:asciiTheme="minorHAnsi" w:hAnsiTheme="minorHAnsi" w:eastAsiaTheme="minorEastAsia" w:cstheme="minorBidi"/>
      <w:color w:val="2E74B5"/>
      <w:sz w:val="21"/>
      <w:szCs w:val="22"/>
    </w:rPr>
  </w:style>
  <w:style w:type="paragraph" w:styleId="7">
    <w:name w:val="heading 6"/>
    <w:next w:val="1"/>
    <w:qFormat/>
    <w:uiPriority w:val="0"/>
    <w:rPr>
      <w:rFonts w:asciiTheme="minorHAnsi" w:hAnsiTheme="minorHAnsi" w:eastAsiaTheme="minorEastAsia" w:cstheme="minorBidi"/>
      <w:color w:val="1F4D78"/>
      <w:sz w:val="21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rPr>
      <w:rFonts w:asciiTheme="minorHAnsi" w:hAnsiTheme="minorHAnsi" w:eastAsiaTheme="minorEastAsia" w:cstheme="minorBidi"/>
      <w:sz w:val="56"/>
      <w:szCs w:val="56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3559</Words>
  <Characters>3754</Characters>
  <TotalTime>2</TotalTime>
  <ScaleCrop>false</ScaleCrop>
  <LinksUpToDate>false</LinksUpToDate>
  <CharactersWithSpaces>3754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2026-06-08T08:44:00Z</dcterms:created>
  <dc:creator>Un-named</dc:creator>
  <cp:lastModifiedBy>赣昌</cp:lastModifiedBy>
  <dcterms:modified xsi:type="dcterms:W3CDTF">2026-06-22T09:23:23Z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eyJoZGlkIjoiOWQ2ZWExMDIwMTAyNTlkY2I3MDQ0MGE2NzkwYzQ5NGQiLCJ1c2VySWQiOiIzMjg3MzIzMzgifQ==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EDD356F4A77546D2A75AFAC2E1F7B2B8_13</vt:lpwstr>
  </property>
</Properties>
</file>