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Fonts w:ascii="仿宋_GB2312" w:hAnsi="宋体" w:eastAsia="仿宋_GB2312" w:cs="宋体"/>
          <w:bCs/>
          <w:color w:val="auto"/>
          <w:kern w:val="0"/>
          <w:sz w:val="32"/>
          <w:szCs w:val="32"/>
          <w:highlight w:val="none"/>
        </w:rPr>
      </w:pPr>
      <w:r>
        <w:rPr>
          <w:rFonts w:hint="eastAsia" w:ascii="仿宋_GB2312" w:hAnsi="宋体" w:eastAsia="仿宋_GB2312" w:cs="宋体"/>
          <w:bCs/>
          <w:color w:val="auto"/>
          <w:kern w:val="0"/>
          <w:sz w:val="32"/>
          <w:szCs w:val="32"/>
          <w:highlight w:val="none"/>
        </w:rPr>
        <w:t>附件：</w:t>
      </w:r>
    </w:p>
    <w:p>
      <w:pPr>
        <w:widowControl/>
        <w:shd w:val="clear" w:color="auto" w:fill="FFFFFF"/>
        <w:spacing w:line="560" w:lineRule="exact"/>
        <w:ind w:firstLine="880" w:firstLineChars="200"/>
        <w:rPr>
          <w:rFonts w:hint="eastAsia" w:ascii="方正大标宋简体" w:hAnsi="宋体" w:eastAsia="方正大标宋简体" w:cs="宋体"/>
          <w:bCs/>
          <w:color w:val="auto"/>
          <w:kern w:val="0"/>
          <w:sz w:val="44"/>
          <w:szCs w:val="44"/>
          <w:highlight w:val="none"/>
        </w:rPr>
      </w:pPr>
      <w:r>
        <w:rPr>
          <w:rFonts w:hint="eastAsia" w:ascii="方正大标宋简体" w:hAnsi="宋体" w:eastAsia="方正大标宋简体" w:cs="宋体"/>
          <w:bCs/>
          <w:color w:val="auto"/>
          <w:kern w:val="0"/>
          <w:sz w:val="44"/>
          <w:szCs w:val="44"/>
          <w:highlight w:val="none"/>
        </w:rPr>
        <w:t>赣县农商银行202</w:t>
      </w:r>
      <w:r>
        <w:rPr>
          <w:rFonts w:hint="eastAsia" w:ascii="方正大标宋简体" w:hAnsi="宋体" w:eastAsia="方正大标宋简体" w:cs="宋体"/>
          <w:bCs/>
          <w:color w:val="auto"/>
          <w:kern w:val="0"/>
          <w:sz w:val="44"/>
          <w:szCs w:val="44"/>
          <w:highlight w:val="none"/>
          <w:lang w:val="en-US" w:eastAsia="zh-CN"/>
        </w:rPr>
        <w:t>1</w:t>
      </w:r>
      <w:r>
        <w:rPr>
          <w:rFonts w:hint="eastAsia" w:ascii="方正大标宋简体" w:hAnsi="宋体" w:eastAsia="方正大标宋简体" w:cs="宋体"/>
          <w:bCs/>
          <w:color w:val="auto"/>
          <w:kern w:val="0"/>
          <w:sz w:val="44"/>
          <w:szCs w:val="44"/>
          <w:highlight w:val="none"/>
        </w:rPr>
        <w:t>年度信息披露报告</w:t>
      </w:r>
    </w:p>
    <w:p>
      <w:pPr>
        <w:widowControl/>
        <w:shd w:val="clear" w:color="auto" w:fill="FFFFFF"/>
        <w:spacing w:line="560" w:lineRule="exact"/>
        <w:ind w:firstLine="600" w:firstLineChars="200"/>
        <w:rPr>
          <w:rFonts w:ascii="黑体" w:hAnsi="黑体" w:eastAsia="黑体" w:cs="宋体"/>
          <w:color w:val="auto"/>
          <w:kern w:val="0"/>
          <w:sz w:val="30"/>
          <w:szCs w:val="30"/>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重要提示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江西赣县农村商业银行股份有限公司（以下简称“本行”）董事会及董事保证本报告所载资料不存在任何虚假记载、误导性陈述或者重大遗漏，并对其内容的真实性、准确性和完整性承担个别及连带责任。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本行202</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年度财务决算报告经</w:t>
      </w:r>
      <w:r>
        <w:rPr>
          <w:rFonts w:hint="eastAsia" w:ascii="仿宋_GB2312" w:hAnsi="仿宋_GB2312" w:eastAsia="仿宋_GB2312" w:cs="仿宋_GB2312"/>
          <w:color w:val="auto"/>
          <w:kern w:val="0"/>
          <w:sz w:val="32"/>
          <w:szCs w:val="32"/>
          <w:highlight w:val="none"/>
          <w:lang w:val="zh-CN"/>
        </w:rPr>
        <w:t>江西中富会计师事务所有限公司审计</w:t>
      </w:r>
      <w:r>
        <w:rPr>
          <w:rFonts w:hint="eastAsia" w:ascii="仿宋_GB2312" w:hAnsi="仿宋_GB2312" w:eastAsia="仿宋_GB2312" w:cs="仿宋_GB2312"/>
          <w:color w:val="auto"/>
          <w:kern w:val="0"/>
          <w:sz w:val="32"/>
          <w:szCs w:val="32"/>
          <w:highlight w:val="none"/>
        </w:rPr>
        <w:t>，并出具了标准无保留意见的审计报告。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一、基本情况简介</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60" w:lineRule="exact"/>
        <w:ind w:left="0" w:leftChars="0" w:right="0" w:firstLine="643"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1.1法定中文名称：</w:t>
      </w:r>
      <w:r>
        <w:rPr>
          <w:rFonts w:hint="eastAsia" w:ascii="仿宋_GB2312" w:hAnsi="仿宋_GB2312" w:eastAsia="仿宋_GB2312" w:cs="仿宋_GB2312"/>
          <w:color w:val="auto"/>
          <w:kern w:val="0"/>
          <w:sz w:val="32"/>
          <w:szCs w:val="32"/>
          <w:highlight w:val="none"/>
        </w:rPr>
        <w:t>江西赣县农村商业银行股份有限公司，简称：赣县农商银行</w:t>
      </w:r>
    </w:p>
    <w:p>
      <w:pPr>
        <w:keepNext w:val="0"/>
        <w:keepLines w:val="0"/>
        <w:pageBreakBefore w:val="0"/>
        <w:kinsoku/>
        <w:wordWrap/>
        <w:overflowPunct/>
        <w:topLinePunct w:val="0"/>
        <w:autoSpaceDE/>
        <w:autoSpaceDN/>
        <w:bidi w:val="0"/>
        <w:adjustRightInd/>
        <w:snapToGrid/>
        <w:spacing w:line="560" w:lineRule="exact"/>
        <w:ind w:left="0" w:leftChars="0" w:right="0" w:firstLine="643"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法定英文名称：</w:t>
      </w:r>
      <w:r>
        <w:rPr>
          <w:rFonts w:hint="eastAsia" w:ascii="仿宋_GB2312" w:hAnsi="仿宋_GB2312" w:eastAsia="仿宋_GB2312" w:cs="仿宋_GB2312"/>
          <w:color w:val="auto"/>
          <w:kern w:val="0"/>
          <w:sz w:val="32"/>
          <w:szCs w:val="32"/>
          <w:highlight w:val="none"/>
        </w:rPr>
        <w:t>JIANGXI GANXIAN RURAL COMMERCIAL BANK CO.,LTD</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60" w:lineRule="exact"/>
        <w:ind w:left="0" w:leftChars="0" w:right="0" w:firstLine="643" w:firstLineChars="200"/>
        <w:textAlignment w:val="auto"/>
        <w:outlineLvl w:val="9"/>
        <w:rPr>
          <w:rFonts w:hint="eastAsia" w:ascii="仿宋_GB2312" w:hAnsi="仿宋_GB2312" w:eastAsia="仿宋_GB2312" w:cs="仿宋_GB2312"/>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rPr>
        <w:t>1.2法定代表人：</w:t>
      </w:r>
      <w:r>
        <w:rPr>
          <w:rFonts w:hint="eastAsia" w:ascii="仿宋_GB2312" w:hAnsi="仿宋_GB2312" w:eastAsia="仿宋_GB2312" w:cs="仿宋_GB2312"/>
          <w:color w:val="auto"/>
          <w:kern w:val="0"/>
          <w:sz w:val="32"/>
          <w:szCs w:val="32"/>
          <w:highlight w:val="none"/>
          <w:lang w:eastAsia="zh-CN"/>
        </w:rPr>
        <w:t>姜思义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3"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1.3注册及办公地址：</w:t>
      </w:r>
      <w:r>
        <w:rPr>
          <w:rFonts w:hint="eastAsia" w:ascii="仿宋_GB2312" w:hAnsi="仿宋_GB2312" w:eastAsia="仿宋_GB2312" w:cs="仿宋_GB2312"/>
          <w:color w:val="auto"/>
          <w:kern w:val="0"/>
          <w:sz w:val="32"/>
          <w:szCs w:val="32"/>
          <w:highlight w:val="none"/>
        </w:rPr>
        <w:t>江西省赣州市赣县区城南大道西路2号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注册资本:</w:t>
      </w:r>
      <w:r>
        <w:rPr>
          <w:rFonts w:hint="eastAsia" w:ascii="仿宋_GB2312" w:hAnsi="仿宋_GB2312" w:eastAsia="仿宋_GB2312" w:cs="仿宋_GB2312"/>
          <w:color w:val="auto"/>
          <w:kern w:val="0"/>
          <w:sz w:val="32"/>
          <w:szCs w:val="32"/>
          <w:highlight w:val="none"/>
          <w:lang w:val="en-US" w:eastAsia="zh-CN"/>
        </w:rPr>
        <w:t>叁亿叁仟叁佰贰拾万柒仟贰佰伍拾玖元整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首次注册登记日期：</w:t>
      </w:r>
      <w:r>
        <w:rPr>
          <w:rFonts w:hint="eastAsia" w:ascii="仿宋_GB2312" w:hAnsi="仿宋_GB2312" w:eastAsia="仿宋_GB2312" w:cs="仿宋_GB2312"/>
          <w:color w:val="auto"/>
          <w:sz w:val="32"/>
          <w:szCs w:val="32"/>
          <w:highlight w:val="none"/>
        </w:rPr>
        <w:t>2016年6月27日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邮政编码：341100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3" w:firstLineChars="200"/>
        <w:textAlignment w:val="auto"/>
        <w:outlineLvl w:val="9"/>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kern w:val="0"/>
          <w:sz w:val="32"/>
          <w:szCs w:val="32"/>
          <w:highlight w:val="none"/>
        </w:rPr>
        <w:t>1.4其他有关资料：</w:t>
      </w:r>
      <w:r>
        <w:rPr>
          <w:rFonts w:hint="eastAsia" w:ascii="仿宋_GB2312" w:hAnsi="仿宋_GB2312" w:eastAsia="仿宋_GB2312" w:cs="仿宋_GB2312"/>
          <w:color w:val="auto"/>
          <w:kern w:val="0"/>
          <w:sz w:val="32"/>
          <w:szCs w:val="32"/>
          <w:highlight w:val="none"/>
        </w:rPr>
        <w:t>企业法人营业执照统一社会信用代码：</w:t>
      </w:r>
      <w:r>
        <w:rPr>
          <w:rFonts w:hint="eastAsia" w:ascii="仿宋_GB2312" w:hAnsi="仿宋_GB2312" w:eastAsia="仿宋_GB2312" w:cs="仿宋_GB2312"/>
          <w:color w:val="auto"/>
          <w:sz w:val="32"/>
          <w:szCs w:val="32"/>
          <w:highlight w:val="none"/>
        </w:rPr>
        <w:t>91360700MA35JGDFX9</w:t>
      </w:r>
      <w:r>
        <w:rPr>
          <w:rFonts w:hint="eastAsia" w:ascii="仿宋_GB2312" w:hAnsi="仿宋_GB2312" w:eastAsia="仿宋_GB2312" w:cs="仿宋_GB2312"/>
          <w:color w:val="auto"/>
          <w:spacing w:val="-6"/>
          <w:kern w:val="0"/>
          <w:sz w:val="32"/>
          <w:szCs w:val="32"/>
          <w:highlight w:val="none"/>
        </w:rPr>
        <w:t>；</w:t>
      </w:r>
      <w:r>
        <w:rPr>
          <w:rFonts w:hint="eastAsia" w:ascii="仿宋_GB2312" w:hAnsi="仿宋_GB2312" w:eastAsia="仿宋_GB2312" w:cs="仿宋_GB2312"/>
          <w:color w:val="auto"/>
          <w:spacing w:val="-10"/>
          <w:kern w:val="0"/>
          <w:sz w:val="32"/>
          <w:szCs w:val="32"/>
          <w:highlight w:val="none"/>
        </w:rPr>
        <w:t>金融许可证号：</w:t>
      </w:r>
      <w:r>
        <w:rPr>
          <w:rFonts w:hint="eastAsia" w:ascii="仿宋_GB2312" w:hAnsi="仿宋_GB2312" w:eastAsia="仿宋_GB2312" w:cs="仿宋_GB2312"/>
          <w:color w:val="auto"/>
          <w:sz w:val="32"/>
          <w:szCs w:val="32"/>
          <w:highlight w:val="none"/>
        </w:rPr>
        <w:t>B0967H33600001</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3"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1.5经营范围：</w:t>
      </w:r>
      <w:r>
        <w:rPr>
          <w:rFonts w:hint="eastAsia" w:ascii="仿宋_GB2312" w:hAnsi="仿宋_GB2312" w:eastAsia="仿宋_GB2312" w:cs="仿宋_GB2312"/>
          <w:color w:val="auto"/>
          <w:kern w:val="0"/>
          <w:sz w:val="32"/>
          <w:szCs w:val="32"/>
          <w:highlight w:val="none"/>
        </w:rPr>
        <w:t>吸收公众存款；发放短期、中期和长期贷款；办理国内结算；办理票据承兑与贴现；代理收付款项及代理保险业务；买卖政府债券、金融债券；从事同业拆借；提供保管箱服务；经银行业监督管理机构批准的其他业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二、主要业务数据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行以习近平新时代中国特色社会主义思想为指引，在省联社党委、辖区党组的坚强领导下，区委区政府的关心支持下，人行、银保监部门的悉心指导下，社会各界人士及各位股东的鼎力支持下，坚持稳中求进的工作总基调，</w:t>
      </w:r>
      <w:r>
        <w:rPr>
          <w:rFonts w:hint="eastAsia" w:ascii="仿宋_GB2312" w:hAnsi="仿宋_GB2312" w:eastAsia="仿宋_GB2312" w:cs="仿宋_GB2312"/>
          <w:color w:val="auto"/>
          <w:kern w:val="0"/>
          <w:sz w:val="32"/>
          <w:szCs w:val="32"/>
          <w:highlight w:val="none"/>
        </w:rPr>
        <w:t>按照“固本强基、提质增效”的工作总要求，</w:t>
      </w:r>
      <w:r>
        <w:rPr>
          <w:rFonts w:hint="eastAsia" w:ascii="仿宋_GB2312" w:hAnsi="仿宋_GB2312" w:eastAsia="仿宋_GB2312" w:cs="仿宋_GB2312"/>
          <w:color w:val="auto"/>
          <w:kern w:val="0"/>
          <w:sz w:val="32"/>
          <w:szCs w:val="32"/>
          <w:highlight w:val="none"/>
          <w:lang w:eastAsia="zh-CN"/>
        </w:rPr>
        <w:t>坚持</w:t>
      </w:r>
      <w:r>
        <w:rPr>
          <w:rFonts w:hint="eastAsia" w:ascii="仿宋_GB2312" w:hAnsi="仿宋_GB2312" w:eastAsia="仿宋_GB2312" w:cs="仿宋_GB2312"/>
          <w:color w:val="auto"/>
          <w:kern w:val="0"/>
          <w:sz w:val="32"/>
          <w:szCs w:val="32"/>
          <w:highlight w:val="none"/>
        </w:rPr>
        <w:t>“立足本土、服务社区、支农支小”的市场定位</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统筹抓好疫情防控和业务发展，</w:t>
      </w:r>
      <w:r>
        <w:rPr>
          <w:rFonts w:hint="eastAsia" w:ascii="仿宋_GB2312" w:hAnsi="仿宋_GB2312" w:eastAsia="仿宋_GB2312" w:cs="仿宋_GB2312"/>
          <w:color w:val="auto"/>
          <w:sz w:val="32"/>
          <w:szCs w:val="32"/>
          <w:highlight w:val="none"/>
        </w:rPr>
        <w:t>紧扣高质量跨越式发展首要战略，固根基、扬优势、补短板、强弱项，</w:t>
      </w:r>
      <w:r>
        <w:rPr>
          <w:rFonts w:hint="eastAsia" w:ascii="仿宋_GB2312" w:hAnsi="仿宋_GB2312" w:eastAsia="仿宋_GB2312" w:cs="仿宋_GB2312"/>
          <w:color w:val="auto"/>
          <w:sz w:val="32"/>
          <w:szCs w:val="32"/>
          <w:highlight w:val="none"/>
          <w:lang w:val="zh-CN"/>
        </w:rPr>
        <w:t>高质量发展迈出了坚实步伐</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至</w:t>
      </w: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年末，各项资产总计</w:t>
      </w:r>
      <w:r>
        <w:rPr>
          <w:rFonts w:hint="eastAsia" w:ascii="仿宋_GB2312" w:hAnsi="仿宋_GB2312" w:eastAsia="仿宋_GB2312" w:cs="仿宋_GB2312"/>
          <w:color w:val="auto"/>
          <w:kern w:val="0"/>
          <w:sz w:val="32"/>
          <w:szCs w:val="32"/>
          <w:highlight w:val="none"/>
          <w:lang w:val="en-US" w:eastAsia="zh-CN"/>
        </w:rPr>
        <w:t>1346531.07</w:t>
      </w:r>
      <w:r>
        <w:rPr>
          <w:rFonts w:hint="eastAsia" w:ascii="仿宋_GB2312" w:hAnsi="仿宋_GB2312" w:eastAsia="仿宋_GB2312" w:cs="仿宋_GB2312"/>
          <w:color w:val="auto"/>
          <w:kern w:val="0"/>
          <w:sz w:val="32"/>
          <w:szCs w:val="32"/>
          <w:highlight w:val="none"/>
        </w:rPr>
        <w:t>万元，负债总计</w:t>
      </w:r>
      <w:r>
        <w:rPr>
          <w:rFonts w:hint="eastAsia" w:ascii="仿宋_GB2312" w:hAnsi="仿宋_GB2312" w:eastAsia="仿宋_GB2312" w:cs="仿宋_GB2312"/>
          <w:color w:val="auto"/>
          <w:kern w:val="0"/>
          <w:sz w:val="32"/>
          <w:szCs w:val="32"/>
          <w:highlight w:val="none"/>
          <w:lang w:val="en-US" w:eastAsia="zh-CN"/>
        </w:rPr>
        <w:t>1259811.5</w:t>
      </w:r>
      <w:r>
        <w:rPr>
          <w:rFonts w:hint="eastAsia" w:ascii="仿宋_GB2312" w:hAnsi="仿宋_GB2312" w:eastAsia="仿宋_GB2312" w:cs="仿宋_GB2312"/>
          <w:color w:val="auto"/>
          <w:kern w:val="0"/>
          <w:sz w:val="32"/>
          <w:szCs w:val="32"/>
          <w:highlight w:val="none"/>
        </w:rPr>
        <w:t>万元，所有者权益</w:t>
      </w:r>
      <w:r>
        <w:rPr>
          <w:rFonts w:hint="eastAsia" w:ascii="仿宋_GB2312" w:hAnsi="仿宋_GB2312" w:eastAsia="仿宋_GB2312" w:cs="仿宋_GB2312"/>
          <w:color w:val="auto"/>
          <w:kern w:val="0"/>
          <w:sz w:val="32"/>
          <w:szCs w:val="32"/>
          <w:highlight w:val="none"/>
          <w:lang w:val="en-US" w:eastAsia="zh-CN"/>
        </w:rPr>
        <w:t>86719.57</w:t>
      </w:r>
      <w:r>
        <w:rPr>
          <w:rFonts w:hint="eastAsia" w:ascii="仿宋_GB2312" w:hAnsi="仿宋_GB2312" w:eastAsia="仿宋_GB2312" w:cs="仿宋_GB2312"/>
          <w:color w:val="auto"/>
          <w:kern w:val="0"/>
          <w:sz w:val="32"/>
          <w:szCs w:val="32"/>
          <w:highlight w:val="none"/>
        </w:rPr>
        <w:t>万元，202</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年实现各项收入</w:t>
      </w:r>
      <w:r>
        <w:rPr>
          <w:rFonts w:hint="eastAsia" w:ascii="仿宋_GB2312" w:hAnsi="仿宋_GB2312" w:eastAsia="仿宋_GB2312" w:cs="仿宋_GB2312"/>
          <w:color w:val="auto"/>
          <w:kern w:val="0"/>
          <w:sz w:val="32"/>
          <w:szCs w:val="32"/>
          <w:highlight w:val="none"/>
          <w:lang w:val="en-US" w:eastAsia="zh-CN"/>
        </w:rPr>
        <w:t>68096.91</w:t>
      </w:r>
      <w:r>
        <w:rPr>
          <w:rFonts w:hint="eastAsia" w:ascii="仿宋_GB2312" w:hAnsi="仿宋_GB2312" w:eastAsia="仿宋_GB2312" w:cs="仿宋_GB2312"/>
          <w:color w:val="auto"/>
          <w:kern w:val="0"/>
          <w:sz w:val="32"/>
          <w:szCs w:val="32"/>
          <w:highlight w:val="none"/>
        </w:rPr>
        <w:t>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3" w:firstLineChars="200"/>
        <w:textAlignment w:val="auto"/>
        <w:outlineLvl w:val="9"/>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2.1报告期末主要利润指标情况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7680" w:firstLineChars="2400"/>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单位：万元</w:t>
      </w:r>
    </w:p>
    <w:tbl>
      <w:tblPr>
        <w:tblStyle w:val="9"/>
        <w:tblW w:w="9117" w:type="dxa"/>
        <w:jc w:val="center"/>
        <w:tblInd w:w="0" w:type="dxa"/>
        <w:tblLayout w:type="fixed"/>
        <w:tblCellMar>
          <w:top w:w="0" w:type="dxa"/>
          <w:left w:w="108" w:type="dxa"/>
          <w:bottom w:w="0" w:type="dxa"/>
          <w:right w:w="108" w:type="dxa"/>
        </w:tblCellMar>
      </w:tblPr>
      <w:tblGrid>
        <w:gridCol w:w="4732"/>
        <w:gridCol w:w="4385"/>
      </w:tblGrid>
      <w:tr>
        <w:tblPrEx>
          <w:tblLayout w:type="fixed"/>
          <w:tblCellMar>
            <w:top w:w="0" w:type="dxa"/>
            <w:left w:w="108" w:type="dxa"/>
            <w:bottom w:w="0" w:type="dxa"/>
            <w:right w:w="108" w:type="dxa"/>
          </w:tblCellMar>
        </w:tblPrEx>
        <w:trPr>
          <w:trHeight w:val="90" w:hRule="atLeast"/>
          <w:jc w:val="center"/>
        </w:trPr>
        <w:tc>
          <w:tcPr>
            <w:tcW w:w="4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项目</w:t>
            </w:r>
          </w:p>
        </w:tc>
        <w:tc>
          <w:tcPr>
            <w:tcW w:w="43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202</w:t>
            </w:r>
            <w:r>
              <w:rPr>
                <w:rFonts w:hint="eastAsia" w:ascii="仿宋_GB2312" w:hAnsi="仿宋_GB2312" w:eastAsia="仿宋_GB2312" w:cs="仿宋_GB2312"/>
                <w:b/>
                <w:bCs/>
                <w:color w:val="auto"/>
                <w:kern w:val="0"/>
                <w:sz w:val="32"/>
                <w:szCs w:val="32"/>
                <w:highlight w:val="none"/>
                <w:lang w:val="en-US" w:eastAsia="zh-CN"/>
              </w:rPr>
              <w:t>1</w:t>
            </w:r>
            <w:r>
              <w:rPr>
                <w:rFonts w:hint="eastAsia" w:ascii="仿宋_GB2312" w:hAnsi="仿宋_GB2312" w:eastAsia="仿宋_GB2312" w:cs="仿宋_GB2312"/>
                <w:b/>
                <w:bCs/>
                <w:color w:val="auto"/>
                <w:kern w:val="0"/>
                <w:sz w:val="32"/>
                <w:szCs w:val="32"/>
                <w:highlight w:val="none"/>
              </w:rPr>
              <w:t>年</w:t>
            </w:r>
          </w:p>
        </w:tc>
      </w:tr>
      <w:tr>
        <w:tblPrEx>
          <w:tblLayout w:type="fixed"/>
          <w:tblCellMar>
            <w:top w:w="0" w:type="dxa"/>
            <w:left w:w="108" w:type="dxa"/>
            <w:bottom w:w="0" w:type="dxa"/>
            <w:right w:w="108" w:type="dxa"/>
          </w:tblCellMar>
        </w:tblPrEx>
        <w:trPr>
          <w:trHeight w:val="740" w:hRule="atLeast"/>
          <w:jc w:val="center"/>
        </w:trPr>
        <w:tc>
          <w:tcPr>
            <w:tcW w:w="473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利润总额</w:t>
            </w:r>
          </w:p>
        </w:tc>
        <w:tc>
          <w:tcPr>
            <w:tcW w:w="4385"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12909.72</w:t>
            </w:r>
          </w:p>
        </w:tc>
      </w:tr>
      <w:tr>
        <w:tblPrEx>
          <w:tblLayout w:type="fixed"/>
          <w:tblCellMar>
            <w:top w:w="0" w:type="dxa"/>
            <w:left w:w="108" w:type="dxa"/>
            <w:bottom w:w="0" w:type="dxa"/>
            <w:right w:w="108" w:type="dxa"/>
          </w:tblCellMar>
        </w:tblPrEx>
        <w:trPr>
          <w:trHeight w:val="620" w:hRule="atLeast"/>
          <w:jc w:val="center"/>
        </w:trPr>
        <w:tc>
          <w:tcPr>
            <w:tcW w:w="4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净利润</w:t>
            </w:r>
          </w:p>
        </w:tc>
        <w:tc>
          <w:tcPr>
            <w:tcW w:w="43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9682.29</w:t>
            </w:r>
          </w:p>
        </w:tc>
      </w:tr>
      <w:tr>
        <w:tblPrEx>
          <w:tblLayout w:type="fixed"/>
          <w:tblCellMar>
            <w:top w:w="0" w:type="dxa"/>
            <w:left w:w="108" w:type="dxa"/>
            <w:bottom w:w="0" w:type="dxa"/>
            <w:right w:w="108" w:type="dxa"/>
          </w:tblCellMar>
        </w:tblPrEx>
        <w:trPr>
          <w:trHeight w:val="681" w:hRule="atLeast"/>
          <w:jc w:val="center"/>
        </w:trPr>
        <w:tc>
          <w:tcPr>
            <w:tcW w:w="4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投资收益</w:t>
            </w:r>
          </w:p>
        </w:tc>
        <w:tc>
          <w:tcPr>
            <w:tcW w:w="43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423.97</w:t>
            </w:r>
          </w:p>
        </w:tc>
      </w:tr>
      <w:tr>
        <w:tblPrEx>
          <w:tblLayout w:type="fixed"/>
          <w:tblCellMar>
            <w:top w:w="0" w:type="dxa"/>
            <w:left w:w="108" w:type="dxa"/>
            <w:bottom w:w="0" w:type="dxa"/>
            <w:right w:w="108" w:type="dxa"/>
          </w:tblCellMar>
        </w:tblPrEx>
        <w:trPr>
          <w:trHeight w:val="676" w:hRule="atLeast"/>
          <w:jc w:val="center"/>
        </w:trPr>
        <w:tc>
          <w:tcPr>
            <w:tcW w:w="4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营业利润</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12945.6</w:t>
            </w:r>
          </w:p>
        </w:tc>
      </w:tr>
      <w:tr>
        <w:tblPrEx>
          <w:tblLayout w:type="fixed"/>
          <w:tblCellMar>
            <w:top w:w="0" w:type="dxa"/>
            <w:left w:w="108" w:type="dxa"/>
            <w:bottom w:w="0" w:type="dxa"/>
            <w:right w:w="108" w:type="dxa"/>
          </w:tblCellMar>
        </w:tblPrEx>
        <w:trPr>
          <w:trHeight w:val="749" w:hRule="atLeast"/>
          <w:jc w:val="center"/>
        </w:trPr>
        <w:tc>
          <w:tcPr>
            <w:tcW w:w="4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营业外收支净额</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-35.89</w:t>
            </w:r>
          </w:p>
        </w:tc>
      </w:tr>
    </w:tbl>
    <w:p>
      <w:pPr>
        <w:keepNext w:val="0"/>
        <w:keepLines w:val="0"/>
        <w:pageBreakBefore w:val="0"/>
        <w:widowControl/>
        <w:shd w:val="clear" w:color="auto" w:fill="FFFFFF"/>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2.2截止报告期末前三年主要会计财务数据和财务指标</w:t>
      </w:r>
    </w:p>
    <w:p>
      <w:pPr>
        <w:keepNext w:val="0"/>
        <w:keepLines w:val="0"/>
        <w:pageBreakBefore w:val="0"/>
        <w:widowControl/>
        <w:shd w:val="clear" w:color="auto" w:fill="FFFFFF"/>
        <w:tabs>
          <w:tab w:val="left" w:pos="630"/>
        </w:tabs>
        <w:kinsoku/>
        <w:wordWrap w:val="0"/>
        <w:overflowPunct/>
        <w:topLinePunct w:val="0"/>
        <w:bidi w:val="0"/>
        <w:spacing w:line="560" w:lineRule="exact"/>
        <w:ind w:left="0" w:leftChars="0" w:right="0" w:firstLine="640" w:firstLineChars="20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单位：万元、%</w:t>
      </w:r>
    </w:p>
    <w:tbl>
      <w:tblPr>
        <w:tblStyle w:val="10"/>
        <w:tblW w:w="9117"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80"/>
        <w:gridCol w:w="2279"/>
        <w:gridCol w:w="2279"/>
        <w:gridCol w:w="22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744" w:hRule="atLeast"/>
          <w:jc w:val="center"/>
        </w:trPr>
        <w:tc>
          <w:tcPr>
            <w:tcW w:w="2280" w:type="dxa"/>
            <w:vAlign w:val="center"/>
          </w:tcPr>
          <w:p>
            <w:pPr>
              <w:keepNext w:val="0"/>
              <w:keepLines w:val="0"/>
              <w:pageBreakBefore w:val="0"/>
              <w:widowControl/>
              <w:kinsoku/>
              <w:overflowPunct/>
              <w:topLinePunct w:val="0"/>
              <w:bidi w:val="0"/>
              <w:spacing w:line="560" w:lineRule="exact"/>
              <w:ind w:left="0" w:leftChars="0" w:right="0" w:firstLine="643" w:firstLineChars="200"/>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项目</w:t>
            </w:r>
          </w:p>
        </w:tc>
        <w:tc>
          <w:tcPr>
            <w:tcW w:w="2279" w:type="dxa"/>
            <w:vAlign w:val="center"/>
          </w:tcPr>
          <w:p>
            <w:pPr>
              <w:keepNext w:val="0"/>
              <w:keepLines w:val="0"/>
              <w:pageBreakBefore w:val="0"/>
              <w:widowControl/>
              <w:kinsoku/>
              <w:overflowPunct/>
              <w:topLinePunct w:val="0"/>
              <w:bidi w:val="0"/>
              <w:spacing w:line="560" w:lineRule="exact"/>
              <w:ind w:left="0" w:leftChars="0" w:right="0" w:firstLine="643" w:firstLineChars="200"/>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202</w:t>
            </w:r>
            <w:r>
              <w:rPr>
                <w:rFonts w:hint="eastAsia" w:ascii="仿宋_GB2312" w:hAnsi="仿宋_GB2312" w:eastAsia="仿宋_GB2312" w:cs="仿宋_GB2312"/>
                <w:b/>
                <w:bCs/>
                <w:color w:val="auto"/>
                <w:kern w:val="0"/>
                <w:sz w:val="32"/>
                <w:szCs w:val="32"/>
                <w:highlight w:val="none"/>
                <w:lang w:val="en-US" w:eastAsia="zh-CN"/>
              </w:rPr>
              <w:t>1</w:t>
            </w:r>
            <w:r>
              <w:rPr>
                <w:rFonts w:hint="eastAsia" w:ascii="仿宋_GB2312" w:hAnsi="仿宋_GB2312" w:eastAsia="仿宋_GB2312" w:cs="仿宋_GB2312"/>
                <w:b/>
                <w:bCs/>
                <w:color w:val="auto"/>
                <w:kern w:val="0"/>
                <w:sz w:val="32"/>
                <w:szCs w:val="32"/>
                <w:highlight w:val="none"/>
              </w:rPr>
              <w:t>年</w:t>
            </w:r>
          </w:p>
        </w:tc>
        <w:tc>
          <w:tcPr>
            <w:tcW w:w="2279" w:type="dxa"/>
            <w:vAlign w:val="center"/>
          </w:tcPr>
          <w:p>
            <w:pPr>
              <w:keepNext w:val="0"/>
              <w:keepLines w:val="0"/>
              <w:pageBreakBefore w:val="0"/>
              <w:widowControl/>
              <w:kinsoku/>
              <w:overflowPunct/>
              <w:topLinePunct w:val="0"/>
              <w:bidi w:val="0"/>
              <w:spacing w:line="560" w:lineRule="exact"/>
              <w:ind w:left="0" w:leftChars="0" w:right="0" w:firstLine="643" w:firstLineChars="200"/>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20</w:t>
            </w:r>
            <w:r>
              <w:rPr>
                <w:rFonts w:hint="eastAsia" w:ascii="仿宋_GB2312" w:hAnsi="仿宋_GB2312" w:eastAsia="仿宋_GB2312" w:cs="仿宋_GB2312"/>
                <w:b/>
                <w:bCs/>
                <w:color w:val="auto"/>
                <w:kern w:val="0"/>
                <w:sz w:val="32"/>
                <w:szCs w:val="32"/>
                <w:highlight w:val="none"/>
                <w:lang w:val="en-US" w:eastAsia="zh-CN"/>
              </w:rPr>
              <w:t>20</w:t>
            </w:r>
            <w:r>
              <w:rPr>
                <w:rFonts w:hint="eastAsia" w:ascii="仿宋_GB2312" w:hAnsi="仿宋_GB2312" w:eastAsia="仿宋_GB2312" w:cs="仿宋_GB2312"/>
                <w:b/>
                <w:bCs/>
                <w:color w:val="auto"/>
                <w:kern w:val="0"/>
                <w:sz w:val="32"/>
                <w:szCs w:val="32"/>
                <w:highlight w:val="none"/>
              </w:rPr>
              <w:t>年</w:t>
            </w:r>
          </w:p>
        </w:tc>
        <w:tc>
          <w:tcPr>
            <w:tcW w:w="2279" w:type="dxa"/>
            <w:vAlign w:val="center"/>
          </w:tcPr>
          <w:p>
            <w:pPr>
              <w:keepNext w:val="0"/>
              <w:keepLines w:val="0"/>
              <w:pageBreakBefore w:val="0"/>
              <w:widowControl/>
              <w:kinsoku/>
              <w:overflowPunct/>
              <w:topLinePunct w:val="0"/>
              <w:bidi w:val="0"/>
              <w:spacing w:line="560" w:lineRule="exact"/>
              <w:ind w:left="0" w:leftChars="0" w:right="0" w:firstLine="643" w:firstLineChars="200"/>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201</w:t>
            </w:r>
            <w:r>
              <w:rPr>
                <w:rFonts w:hint="eastAsia" w:ascii="仿宋_GB2312" w:hAnsi="仿宋_GB2312" w:eastAsia="仿宋_GB2312" w:cs="仿宋_GB2312"/>
                <w:b/>
                <w:bCs/>
                <w:color w:val="auto"/>
                <w:kern w:val="0"/>
                <w:sz w:val="32"/>
                <w:szCs w:val="32"/>
                <w:highlight w:val="none"/>
                <w:lang w:val="en-US" w:eastAsia="zh-CN"/>
              </w:rPr>
              <w:t>9</w:t>
            </w:r>
            <w:r>
              <w:rPr>
                <w:rFonts w:hint="eastAsia" w:ascii="仿宋_GB2312" w:hAnsi="仿宋_GB2312" w:eastAsia="仿宋_GB2312" w:cs="仿宋_GB2312"/>
                <w:b/>
                <w:bCs/>
                <w:color w:val="auto"/>
                <w:kern w:val="0"/>
                <w:sz w:val="32"/>
                <w:szCs w:val="32"/>
                <w:highlight w:val="none"/>
              </w:rPr>
              <w:t>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22" w:hRule="atLeast"/>
          <w:jc w:val="center"/>
        </w:trPr>
        <w:tc>
          <w:tcPr>
            <w:tcW w:w="2280"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营业收入</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67984.27</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rPr>
            </w:pPr>
            <w:r>
              <w:rPr>
                <w:rFonts w:hint="default" w:ascii="仿宋_GB2312" w:hAnsi="仿宋_GB2312" w:eastAsia="仿宋_GB2312" w:cs="仿宋_GB2312"/>
                <w:bCs/>
                <w:color w:val="auto"/>
                <w:kern w:val="0"/>
                <w:sz w:val="32"/>
                <w:szCs w:val="32"/>
                <w:highlight w:val="none"/>
                <w:lang w:val="en-US" w:eastAsia="zh-CN"/>
              </w:rPr>
              <w:t>58423.89</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rPr>
            </w:pPr>
            <w:r>
              <w:rPr>
                <w:rFonts w:hint="default" w:ascii="仿宋_GB2312" w:hAnsi="仿宋_GB2312" w:eastAsia="仿宋_GB2312" w:cs="仿宋_GB2312"/>
                <w:bCs/>
                <w:color w:val="auto"/>
                <w:kern w:val="0"/>
                <w:sz w:val="32"/>
                <w:szCs w:val="32"/>
                <w:highlight w:val="none"/>
                <w:lang w:val="en-US" w:eastAsia="zh-CN"/>
              </w:rPr>
              <w:t>54457.81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86" w:hRule="atLeast"/>
          <w:jc w:val="center"/>
        </w:trPr>
        <w:tc>
          <w:tcPr>
            <w:tcW w:w="2280"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营业支出</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55038.67</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rPr>
            </w:pPr>
            <w:r>
              <w:rPr>
                <w:rFonts w:hint="default" w:ascii="仿宋_GB2312" w:hAnsi="仿宋_GB2312" w:eastAsia="仿宋_GB2312" w:cs="仿宋_GB2312"/>
                <w:bCs/>
                <w:color w:val="auto"/>
                <w:kern w:val="0"/>
                <w:sz w:val="32"/>
                <w:szCs w:val="32"/>
                <w:highlight w:val="none"/>
                <w:lang w:val="en-US" w:eastAsia="zh-CN"/>
              </w:rPr>
              <w:t>48178.01</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rPr>
            </w:pPr>
            <w:r>
              <w:rPr>
                <w:rFonts w:hint="default" w:ascii="仿宋_GB2312" w:hAnsi="仿宋_GB2312" w:eastAsia="仿宋_GB2312" w:cs="仿宋_GB2312"/>
                <w:bCs/>
                <w:color w:val="auto"/>
                <w:kern w:val="0"/>
                <w:sz w:val="32"/>
                <w:szCs w:val="32"/>
                <w:highlight w:val="none"/>
                <w:lang w:val="en-US" w:eastAsia="zh-CN"/>
              </w:rPr>
              <w:t>44478.51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70" w:hRule="atLeast"/>
          <w:jc w:val="center"/>
        </w:trPr>
        <w:tc>
          <w:tcPr>
            <w:tcW w:w="2280"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28"/>
                <w:szCs w:val="28"/>
                <w:highlight w:val="none"/>
              </w:rPr>
              <w:t>营业外收支净额</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-35.89</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rPr>
            </w:pPr>
            <w:r>
              <w:rPr>
                <w:rFonts w:hint="default" w:ascii="仿宋_GB2312" w:hAnsi="仿宋_GB2312" w:eastAsia="仿宋_GB2312" w:cs="仿宋_GB2312"/>
                <w:bCs/>
                <w:color w:val="auto"/>
                <w:kern w:val="0"/>
                <w:sz w:val="32"/>
                <w:szCs w:val="32"/>
                <w:highlight w:val="none"/>
                <w:lang w:val="en-US" w:eastAsia="zh-CN"/>
              </w:rPr>
              <w:t>278</w:t>
            </w:r>
            <w:r>
              <w:rPr>
                <w:rFonts w:hint="eastAsia" w:ascii="仿宋_GB2312" w:hAnsi="仿宋_GB2312" w:eastAsia="仿宋_GB2312" w:cs="仿宋_GB2312"/>
                <w:bCs/>
                <w:color w:val="auto"/>
                <w:kern w:val="0"/>
                <w:sz w:val="32"/>
                <w:szCs w:val="32"/>
                <w:highlight w:val="none"/>
                <w:lang w:val="en-US" w:eastAsia="zh-CN"/>
              </w:rPr>
              <w:t>.00</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rPr>
            </w:pPr>
            <w:r>
              <w:rPr>
                <w:rFonts w:hint="default" w:ascii="仿宋_GB2312" w:hAnsi="仿宋_GB2312" w:eastAsia="仿宋_GB2312" w:cs="仿宋_GB2312"/>
                <w:bCs/>
                <w:color w:val="auto"/>
                <w:kern w:val="0"/>
                <w:sz w:val="32"/>
                <w:szCs w:val="32"/>
                <w:highlight w:val="none"/>
                <w:lang w:val="en-US" w:eastAsia="zh-CN"/>
              </w:rPr>
              <w:t>60.69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09" w:hRule="atLeast"/>
          <w:jc w:val="center"/>
        </w:trPr>
        <w:tc>
          <w:tcPr>
            <w:tcW w:w="2280"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利润总额</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color w:val="auto"/>
                <w:kern w:val="0"/>
                <w:sz w:val="32"/>
                <w:szCs w:val="32"/>
                <w:highlight w:val="none"/>
              </w:rPr>
              <w:t>12909.72</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rPr>
            </w:pPr>
            <w:r>
              <w:rPr>
                <w:rFonts w:hint="default" w:ascii="仿宋_GB2312" w:hAnsi="仿宋_GB2312" w:eastAsia="仿宋_GB2312" w:cs="仿宋_GB2312"/>
                <w:color w:val="auto"/>
                <w:kern w:val="0"/>
                <w:sz w:val="32"/>
                <w:szCs w:val="32"/>
                <w:highlight w:val="none"/>
                <w:lang w:val="en-US" w:eastAsia="zh-CN"/>
              </w:rPr>
              <w:t>10523.87</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rPr>
            </w:pPr>
            <w:r>
              <w:rPr>
                <w:rFonts w:hint="default" w:ascii="仿宋_GB2312" w:hAnsi="仿宋_GB2312" w:eastAsia="仿宋_GB2312" w:cs="仿宋_GB2312"/>
                <w:color w:val="auto"/>
                <w:kern w:val="0"/>
                <w:sz w:val="32"/>
                <w:szCs w:val="32"/>
                <w:highlight w:val="none"/>
                <w:lang w:val="en-US" w:eastAsia="zh-CN"/>
              </w:rPr>
              <w:t>10040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08" w:hRule="atLeast"/>
          <w:jc w:val="center"/>
        </w:trPr>
        <w:tc>
          <w:tcPr>
            <w:tcW w:w="2280"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净利润</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color w:val="auto"/>
                <w:kern w:val="0"/>
                <w:sz w:val="32"/>
                <w:szCs w:val="32"/>
                <w:highlight w:val="none"/>
              </w:rPr>
              <w:t>9682.29</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rPr>
            </w:pPr>
            <w:r>
              <w:rPr>
                <w:rFonts w:hint="default" w:ascii="仿宋_GB2312" w:hAnsi="仿宋_GB2312" w:eastAsia="仿宋_GB2312" w:cs="仿宋_GB2312"/>
                <w:color w:val="auto"/>
                <w:kern w:val="0"/>
                <w:sz w:val="32"/>
                <w:szCs w:val="32"/>
                <w:highlight w:val="none"/>
                <w:lang w:val="en-US" w:eastAsia="zh-CN"/>
              </w:rPr>
              <w:t>7892.91</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rPr>
            </w:pPr>
            <w:r>
              <w:rPr>
                <w:rFonts w:hint="default" w:ascii="仿宋_GB2312" w:hAnsi="仿宋_GB2312" w:eastAsia="仿宋_GB2312" w:cs="仿宋_GB2312"/>
                <w:color w:val="auto"/>
                <w:kern w:val="0"/>
                <w:sz w:val="32"/>
                <w:szCs w:val="32"/>
                <w:highlight w:val="none"/>
                <w:lang w:val="en-US" w:eastAsia="zh-CN"/>
              </w:rPr>
              <w:t>7530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72" w:hRule="atLeast"/>
          <w:jc w:val="center"/>
        </w:trPr>
        <w:tc>
          <w:tcPr>
            <w:tcW w:w="2280"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总资产</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1346531.07</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rPr>
            </w:pPr>
            <w:r>
              <w:rPr>
                <w:rFonts w:hint="default" w:ascii="仿宋_GB2312" w:hAnsi="仿宋_GB2312" w:eastAsia="仿宋_GB2312" w:cs="仿宋_GB2312"/>
                <w:color w:val="auto"/>
                <w:kern w:val="0"/>
                <w:sz w:val="32"/>
                <w:szCs w:val="32"/>
                <w:highlight w:val="none"/>
                <w:lang w:val="en-US" w:eastAsia="zh-CN"/>
              </w:rPr>
              <w:t>1220569.49</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rPr>
            </w:pPr>
            <w:r>
              <w:rPr>
                <w:rFonts w:hint="default" w:ascii="仿宋_GB2312" w:hAnsi="仿宋_GB2312" w:eastAsia="仿宋_GB2312" w:cs="仿宋_GB2312"/>
                <w:color w:val="auto"/>
                <w:kern w:val="0"/>
                <w:sz w:val="32"/>
                <w:szCs w:val="32"/>
                <w:highlight w:val="none"/>
                <w:lang w:val="en-US" w:eastAsia="zh-CN"/>
              </w:rPr>
              <w:t>1132648.39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85" w:hRule="atLeast"/>
          <w:jc w:val="center"/>
        </w:trPr>
        <w:tc>
          <w:tcPr>
            <w:tcW w:w="2280"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总负债</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1259811.5</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rPr>
            </w:pPr>
            <w:r>
              <w:rPr>
                <w:rFonts w:hint="default" w:ascii="仿宋_GB2312" w:hAnsi="仿宋_GB2312" w:eastAsia="仿宋_GB2312" w:cs="仿宋_GB2312"/>
                <w:color w:val="auto"/>
                <w:kern w:val="0"/>
                <w:sz w:val="32"/>
                <w:szCs w:val="32"/>
                <w:highlight w:val="none"/>
                <w:lang w:val="en-US" w:eastAsia="zh-CN"/>
              </w:rPr>
              <w:t>1141354.5</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rPr>
            </w:pPr>
            <w:r>
              <w:rPr>
                <w:rFonts w:hint="default" w:ascii="仿宋_GB2312" w:hAnsi="仿宋_GB2312" w:eastAsia="仿宋_GB2312" w:cs="仿宋_GB2312"/>
                <w:color w:val="auto"/>
                <w:kern w:val="0"/>
                <w:sz w:val="32"/>
                <w:szCs w:val="32"/>
                <w:highlight w:val="none"/>
                <w:lang w:val="en-US" w:eastAsia="zh-CN"/>
              </w:rPr>
              <w:t>1055677.41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579" w:hRule="atLeast"/>
          <w:jc w:val="center"/>
        </w:trPr>
        <w:tc>
          <w:tcPr>
            <w:tcW w:w="2280"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存款余额</w:t>
            </w:r>
          </w:p>
        </w:tc>
        <w:tc>
          <w:tcPr>
            <w:tcW w:w="2279"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1157210.38</w:t>
            </w:r>
          </w:p>
        </w:tc>
        <w:tc>
          <w:tcPr>
            <w:tcW w:w="2279"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1046413.85</w:t>
            </w:r>
          </w:p>
        </w:tc>
        <w:tc>
          <w:tcPr>
            <w:tcW w:w="2279"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984693.69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08" w:hRule="atLeast"/>
          <w:jc w:val="center"/>
        </w:trPr>
        <w:tc>
          <w:tcPr>
            <w:tcW w:w="2280"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贷款余额</w:t>
            </w:r>
          </w:p>
        </w:tc>
        <w:tc>
          <w:tcPr>
            <w:tcW w:w="2279" w:type="dxa"/>
            <w:vAlign w:val="center"/>
          </w:tcPr>
          <w:p>
            <w:pPr>
              <w:widowControl/>
              <w:spacing w:line="560" w:lineRule="exact"/>
              <w:jc w:val="center"/>
              <w:textAlignment w:val="center"/>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8</w:t>
            </w:r>
            <w:r>
              <w:rPr>
                <w:rFonts w:ascii="仿宋_GB2312" w:hAnsi="仿宋_GB2312" w:eastAsia="仿宋_GB2312" w:cs="仿宋_GB2312"/>
                <w:bCs/>
                <w:color w:val="auto"/>
                <w:kern w:val="0"/>
                <w:sz w:val="32"/>
                <w:szCs w:val="32"/>
                <w:highlight w:val="none"/>
              </w:rPr>
              <w:t>80949.45</w:t>
            </w:r>
          </w:p>
        </w:tc>
        <w:tc>
          <w:tcPr>
            <w:tcW w:w="2279" w:type="dxa"/>
            <w:vAlign w:val="center"/>
          </w:tcPr>
          <w:p>
            <w:pPr>
              <w:widowControl/>
              <w:spacing w:line="560" w:lineRule="exact"/>
              <w:jc w:val="center"/>
              <w:textAlignment w:val="center"/>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7</w:t>
            </w:r>
            <w:r>
              <w:rPr>
                <w:rFonts w:ascii="仿宋_GB2312" w:hAnsi="仿宋_GB2312" w:eastAsia="仿宋_GB2312" w:cs="仿宋_GB2312"/>
                <w:bCs/>
                <w:color w:val="auto"/>
                <w:kern w:val="0"/>
                <w:sz w:val="32"/>
                <w:szCs w:val="32"/>
                <w:highlight w:val="none"/>
              </w:rPr>
              <w:t>87678.51</w:t>
            </w:r>
          </w:p>
        </w:tc>
        <w:tc>
          <w:tcPr>
            <w:tcW w:w="2279" w:type="dxa"/>
            <w:vAlign w:val="center"/>
          </w:tcPr>
          <w:p>
            <w:pPr>
              <w:widowControl/>
              <w:spacing w:line="560" w:lineRule="exact"/>
              <w:jc w:val="center"/>
              <w:textAlignment w:val="center"/>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706635.94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23" w:hRule="atLeast"/>
          <w:jc w:val="center"/>
        </w:trPr>
        <w:tc>
          <w:tcPr>
            <w:tcW w:w="2280"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信用贷款</w:t>
            </w:r>
          </w:p>
        </w:tc>
        <w:tc>
          <w:tcPr>
            <w:tcW w:w="2279"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 xml:space="preserve">351549.99 </w:t>
            </w:r>
          </w:p>
        </w:tc>
        <w:tc>
          <w:tcPr>
            <w:tcW w:w="2279"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 xml:space="preserve">300215.28 </w:t>
            </w:r>
          </w:p>
        </w:tc>
        <w:tc>
          <w:tcPr>
            <w:tcW w:w="2279"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 xml:space="preserve">230983.57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594" w:hRule="atLeast"/>
          <w:jc w:val="center"/>
        </w:trPr>
        <w:tc>
          <w:tcPr>
            <w:tcW w:w="2280"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保证贷款</w:t>
            </w:r>
          </w:p>
        </w:tc>
        <w:tc>
          <w:tcPr>
            <w:tcW w:w="2279"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 xml:space="preserve">41966.82 </w:t>
            </w:r>
          </w:p>
        </w:tc>
        <w:tc>
          <w:tcPr>
            <w:tcW w:w="2279"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 xml:space="preserve">31232.42 </w:t>
            </w:r>
          </w:p>
        </w:tc>
        <w:tc>
          <w:tcPr>
            <w:tcW w:w="2279"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 xml:space="preserve">31459.96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08" w:hRule="atLeast"/>
          <w:jc w:val="center"/>
        </w:trPr>
        <w:tc>
          <w:tcPr>
            <w:tcW w:w="2280"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抵押贷款</w:t>
            </w:r>
          </w:p>
        </w:tc>
        <w:tc>
          <w:tcPr>
            <w:tcW w:w="2279"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 xml:space="preserve">306822.15 </w:t>
            </w:r>
          </w:p>
        </w:tc>
        <w:tc>
          <w:tcPr>
            <w:tcW w:w="2279"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 xml:space="preserve">293981.30 </w:t>
            </w:r>
          </w:p>
        </w:tc>
        <w:tc>
          <w:tcPr>
            <w:tcW w:w="2279"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 xml:space="preserve">288866.73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579" w:hRule="atLeast"/>
          <w:jc w:val="center"/>
        </w:trPr>
        <w:tc>
          <w:tcPr>
            <w:tcW w:w="2280"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质押贷款</w:t>
            </w:r>
          </w:p>
        </w:tc>
        <w:tc>
          <w:tcPr>
            <w:tcW w:w="2279"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 xml:space="preserve">26558.54 </w:t>
            </w:r>
          </w:p>
        </w:tc>
        <w:tc>
          <w:tcPr>
            <w:tcW w:w="2279"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 xml:space="preserve">26206.90 </w:t>
            </w:r>
          </w:p>
        </w:tc>
        <w:tc>
          <w:tcPr>
            <w:tcW w:w="2279"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 xml:space="preserve">19066.45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08" w:hRule="atLeast"/>
          <w:jc w:val="center"/>
        </w:trPr>
        <w:tc>
          <w:tcPr>
            <w:tcW w:w="2280"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存放同业款项</w:t>
            </w:r>
          </w:p>
        </w:tc>
        <w:tc>
          <w:tcPr>
            <w:tcW w:w="2279" w:type="dxa"/>
            <w:vAlign w:val="center"/>
          </w:tcPr>
          <w:p>
            <w:pPr>
              <w:widowControl/>
              <w:spacing w:line="560" w:lineRule="exact"/>
              <w:jc w:val="center"/>
              <w:textAlignment w:val="center"/>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kern w:val="0"/>
                <w:sz w:val="32"/>
                <w:szCs w:val="32"/>
              </w:rPr>
              <w:t>12965.58</w:t>
            </w:r>
          </w:p>
        </w:tc>
        <w:tc>
          <w:tcPr>
            <w:tcW w:w="2279" w:type="dxa"/>
            <w:vAlign w:val="center"/>
          </w:tcPr>
          <w:p>
            <w:pPr>
              <w:widowControl/>
              <w:spacing w:line="560" w:lineRule="exact"/>
              <w:jc w:val="center"/>
              <w:textAlignment w:val="center"/>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kern w:val="0"/>
                <w:sz w:val="32"/>
                <w:szCs w:val="32"/>
              </w:rPr>
              <w:t>10013.23</w:t>
            </w:r>
          </w:p>
        </w:tc>
        <w:tc>
          <w:tcPr>
            <w:tcW w:w="2279" w:type="dxa"/>
            <w:vAlign w:val="center"/>
          </w:tcPr>
          <w:p>
            <w:pPr>
              <w:widowControl/>
              <w:spacing w:line="560" w:lineRule="exact"/>
              <w:jc w:val="center"/>
              <w:textAlignment w:val="center"/>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kern w:val="0"/>
                <w:sz w:val="32"/>
                <w:szCs w:val="32"/>
              </w:rPr>
              <w:t>234845.66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42" w:hRule="atLeast"/>
          <w:jc w:val="center"/>
        </w:trPr>
        <w:tc>
          <w:tcPr>
            <w:tcW w:w="2280"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每股净资产</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2.6元/股</w:t>
            </w:r>
          </w:p>
        </w:tc>
        <w:tc>
          <w:tcPr>
            <w:tcW w:w="2279" w:type="dxa"/>
            <w:vAlign w:val="center"/>
          </w:tcPr>
          <w:p>
            <w:pPr>
              <w:keepNext w:val="0"/>
              <w:keepLines w:val="0"/>
              <w:pageBreakBefore w:val="0"/>
              <w:widowControl/>
              <w:kinsoku/>
              <w:overflowPunct/>
              <w:topLinePunct w:val="0"/>
              <w:bidi w:val="0"/>
              <w:spacing w:line="560" w:lineRule="exact"/>
              <w:ind w:left="0" w:leftChars="0" w:right="0" w:rightChars="0" w:firstLine="640" w:firstLineChars="200"/>
              <w:jc w:val="center"/>
              <w:textAlignment w:val="center"/>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2.5元/股</w:t>
            </w:r>
          </w:p>
        </w:tc>
        <w:tc>
          <w:tcPr>
            <w:tcW w:w="2279" w:type="dxa"/>
            <w:vAlign w:val="center"/>
          </w:tcPr>
          <w:p>
            <w:pPr>
              <w:keepNext w:val="0"/>
              <w:keepLines w:val="0"/>
              <w:pageBreakBefore w:val="0"/>
              <w:widowControl/>
              <w:kinsoku/>
              <w:overflowPunct/>
              <w:topLinePunct w:val="0"/>
              <w:bidi w:val="0"/>
              <w:spacing w:line="560" w:lineRule="exact"/>
              <w:ind w:right="0" w:rightChars="0" w:firstLine="320" w:firstLineChars="100"/>
              <w:jc w:val="center"/>
              <w:textAlignment w:val="center"/>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2.55元/股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71" w:hRule="atLeast"/>
          <w:jc w:val="center"/>
        </w:trPr>
        <w:tc>
          <w:tcPr>
            <w:tcW w:w="2280"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资本利润率</w:t>
            </w:r>
          </w:p>
        </w:tc>
        <w:tc>
          <w:tcPr>
            <w:tcW w:w="2279" w:type="dxa"/>
            <w:vAlign w:val="center"/>
          </w:tcPr>
          <w:p>
            <w:pPr>
              <w:keepNext w:val="0"/>
              <w:keepLines w:val="0"/>
              <w:pageBreakBefore w:val="0"/>
              <w:widowControl/>
              <w:kinsoku/>
              <w:overflowPunct/>
              <w:topLinePunct w:val="0"/>
              <w:bidi w:val="0"/>
              <w:spacing w:line="560" w:lineRule="exact"/>
              <w:ind w:right="0" w:rightChars="0" w:firstLine="640" w:firstLineChars="200"/>
              <w:jc w:val="both"/>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11.67</w:t>
            </w:r>
          </w:p>
        </w:tc>
        <w:tc>
          <w:tcPr>
            <w:tcW w:w="2279" w:type="dxa"/>
            <w:vAlign w:val="center"/>
          </w:tcPr>
          <w:p>
            <w:pPr>
              <w:keepNext w:val="0"/>
              <w:keepLines w:val="0"/>
              <w:pageBreakBefore w:val="0"/>
              <w:widowControl/>
              <w:kinsoku/>
              <w:overflowPunct/>
              <w:topLinePunct w:val="0"/>
              <w:bidi w:val="0"/>
              <w:spacing w:line="560" w:lineRule="exact"/>
              <w:ind w:left="0" w:leftChars="0" w:right="0" w:rightChars="0" w:firstLine="640" w:firstLineChars="200"/>
              <w:jc w:val="both"/>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10.11</w:t>
            </w:r>
          </w:p>
        </w:tc>
        <w:tc>
          <w:tcPr>
            <w:tcW w:w="2279" w:type="dxa"/>
            <w:vAlign w:val="center"/>
          </w:tcPr>
          <w:p>
            <w:pPr>
              <w:keepNext w:val="0"/>
              <w:keepLines w:val="0"/>
              <w:pageBreakBefore w:val="0"/>
              <w:widowControl/>
              <w:kinsoku/>
              <w:overflowPunct/>
              <w:topLinePunct w:val="0"/>
              <w:bidi w:val="0"/>
              <w:spacing w:line="560" w:lineRule="exact"/>
              <w:ind w:left="0" w:leftChars="0" w:right="0" w:rightChars="0" w:firstLine="640" w:firstLineChars="200"/>
              <w:jc w:val="both"/>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10.07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85" w:hRule="atLeast"/>
          <w:jc w:val="center"/>
        </w:trPr>
        <w:tc>
          <w:tcPr>
            <w:tcW w:w="2280"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资产利润率</w:t>
            </w:r>
          </w:p>
        </w:tc>
        <w:tc>
          <w:tcPr>
            <w:tcW w:w="2279" w:type="dxa"/>
            <w:vAlign w:val="center"/>
          </w:tcPr>
          <w:p>
            <w:pPr>
              <w:keepNext w:val="0"/>
              <w:keepLines w:val="0"/>
              <w:pageBreakBefore w:val="0"/>
              <w:widowControl/>
              <w:kinsoku/>
              <w:overflowPunct/>
              <w:topLinePunct w:val="0"/>
              <w:bidi w:val="0"/>
              <w:spacing w:line="560" w:lineRule="exact"/>
              <w:ind w:left="0" w:leftChars="0" w:right="0" w:rightChars="0" w:firstLine="640" w:firstLineChars="200"/>
              <w:jc w:val="both"/>
              <w:textAlignment w:val="center"/>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0.75</w:t>
            </w:r>
          </w:p>
        </w:tc>
        <w:tc>
          <w:tcPr>
            <w:tcW w:w="2279" w:type="dxa"/>
            <w:vAlign w:val="center"/>
          </w:tcPr>
          <w:p>
            <w:pPr>
              <w:keepNext w:val="0"/>
              <w:keepLines w:val="0"/>
              <w:pageBreakBefore w:val="0"/>
              <w:widowControl/>
              <w:kinsoku/>
              <w:overflowPunct/>
              <w:topLinePunct w:val="0"/>
              <w:bidi w:val="0"/>
              <w:spacing w:line="560" w:lineRule="exact"/>
              <w:ind w:left="0" w:leftChars="0" w:right="0" w:rightChars="0" w:firstLine="640" w:firstLineChars="200"/>
              <w:jc w:val="both"/>
              <w:textAlignment w:val="center"/>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0.66</w:t>
            </w:r>
          </w:p>
        </w:tc>
        <w:tc>
          <w:tcPr>
            <w:tcW w:w="2279" w:type="dxa"/>
            <w:vAlign w:val="center"/>
          </w:tcPr>
          <w:p>
            <w:pPr>
              <w:keepNext w:val="0"/>
              <w:keepLines w:val="0"/>
              <w:pageBreakBefore w:val="0"/>
              <w:widowControl/>
              <w:kinsoku/>
              <w:overflowPunct/>
              <w:topLinePunct w:val="0"/>
              <w:bidi w:val="0"/>
              <w:spacing w:line="560" w:lineRule="exact"/>
              <w:ind w:left="0" w:leftChars="0" w:right="0" w:rightChars="0" w:firstLine="640" w:firstLineChars="200"/>
              <w:jc w:val="both"/>
              <w:textAlignment w:val="center"/>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0.68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19" w:hRule="atLeast"/>
          <w:jc w:val="center"/>
        </w:trPr>
        <w:tc>
          <w:tcPr>
            <w:tcW w:w="2280" w:type="dxa"/>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成本收入比例</w:t>
            </w:r>
          </w:p>
        </w:tc>
        <w:tc>
          <w:tcPr>
            <w:tcW w:w="2279" w:type="dxa"/>
            <w:vAlign w:val="center"/>
          </w:tcPr>
          <w:p>
            <w:pPr>
              <w:keepNext w:val="0"/>
              <w:keepLines w:val="0"/>
              <w:pageBreakBefore w:val="0"/>
              <w:widowControl/>
              <w:kinsoku/>
              <w:overflowPunct/>
              <w:topLinePunct w:val="0"/>
              <w:bidi w:val="0"/>
              <w:spacing w:line="560" w:lineRule="exact"/>
              <w:ind w:left="0" w:leftChars="0" w:right="0" w:rightChars="0" w:firstLine="640" w:firstLineChars="200"/>
              <w:jc w:val="both"/>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31.26</w:t>
            </w:r>
          </w:p>
        </w:tc>
        <w:tc>
          <w:tcPr>
            <w:tcW w:w="2279" w:type="dxa"/>
            <w:vAlign w:val="center"/>
          </w:tcPr>
          <w:p>
            <w:pPr>
              <w:keepNext w:val="0"/>
              <w:keepLines w:val="0"/>
              <w:pageBreakBefore w:val="0"/>
              <w:widowControl/>
              <w:kinsoku/>
              <w:overflowPunct/>
              <w:topLinePunct w:val="0"/>
              <w:bidi w:val="0"/>
              <w:spacing w:line="560" w:lineRule="exact"/>
              <w:ind w:left="0" w:leftChars="0" w:right="0" w:rightChars="0" w:firstLine="640" w:firstLineChars="200"/>
              <w:jc w:val="both"/>
              <w:textAlignment w:val="center"/>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33.69</w:t>
            </w:r>
          </w:p>
        </w:tc>
        <w:tc>
          <w:tcPr>
            <w:tcW w:w="2279" w:type="dxa"/>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32.46</w:t>
            </w:r>
          </w:p>
        </w:tc>
      </w:tr>
    </w:tbl>
    <w:p>
      <w:pPr>
        <w:keepNext w:val="0"/>
        <w:keepLines w:val="0"/>
        <w:pageBreakBefore w:val="0"/>
        <w:widowControl/>
        <w:shd w:val="clear" w:color="auto" w:fill="FFFFFF"/>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2.3利润实现情况</w:t>
      </w:r>
    </w:p>
    <w:p>
      <w:pPr>
        <w:keepNext w:val="0"/>
        <w:keepLines w:val="0"/>
        <w:pageBreakBefore w:val="0"/>
        <w:widowControl/>
        <w:shd w:val="clear" w:color="auto" w:fill="FFFFFF"/>
        <w:kinsoku/>
        <w:overflowPunct/>
        <w:topLinePunct w:val="0"/>
        <w:bidi w:val="0"/>
        <w:spacing w:line="560" w:lineRule="exact"/>
        <w:ind w:left="0" w:leftChars="0" w:right="0" w:firstLine="624" w:firstLineChars="200"/>
        <w:rPr>
          <w:rFonts w:hint="eastAsia" w:ascii="仿宋_GB2312" w:hAnsi="仿宋_GB2312" w:eastAsia="仿宋_GB2312" w:cs="仿宋_GB2312"/>
          <w:color w:val="auto"/>
          <w:spacing w:val="-4"/>
          <w:kern w:val="0"/>
          <w:sz w:val="32"/>
          <w:szCs w:val="32"/>
          <w:highlight w:val="none"/>
        </w:rPr>
      </w:pPr>
      <w:r>
        <w:rPr>
          <w:rFonts w:hint="eastAsia" w:ascii="仿宋_GB2312" w:hAnsi="仿宋_GB2312" w:eastAsia="仿宋_GB2312" w:cs="仿宋_GB2312"/>
          <w:color w:val="auto"/>
          <w:spacing w:val="-4"/>
          <w:kern w:val="0"/>
          <w:sz w:val="32"/>
          <w:szCs w:val="32"/>
          <w:highlight w:val="none"/>
        </w:rPr>
        <w:t>本行202</w:t>
      </w:r>
      <w:r>
        <w:rPr>
          <w:rFonts w:hint="eastAsia" w:ascii="仿宋_GB2312" w:hAnsi="仿宋_GB2312" w:eastAsia="仿宋_GB2312" w:cs="仿宋_GB2312"/>
          <w:color w:val="auto"/>
          <w:spacing w:val="-4"/>
          <w:kern w:val="0"/>
          <w:sz w:val="32"/>
          <w:szCs w:val="32"/>
          <w:highlight w:val="none"/>
          <w:lang w:val="en-US" w:eastAsia="zh-CN"/>
        </w:rPr>
        <w:t>1</w:t>
      </w:r>
      <w:r>
        <w:rPr>
          <w:rFonts w:hint="eastAsia" w:ascii="仿宋_GB2312" w:hAnsi="仿宋_GB2312" w:eastAsia="仿宋_GB2312" w:cs="仿宋_GB2312"/>
          <w:color w:val="auto"/>
          <w:spacing w:val="-4"/>
          <w:kern w:val="0"/>
          <w:sz w:val="32"/>
          <w:szCs w:val="32"/>
          <w:highlight w:val="none"/>
        </w:rPr>
        <w:t>年实现利润总额</w:t>
      </w:r>
      <w:r>
        <w:rPr>
          <w:rFonts w:hint="eastAsia" w:ascii="仿宋_GB2312" w:hAnsi="仿宋_GB2312" w:eastAsia="仿宋_GB2312" w:cs="仿宋_GB2312"/>
          <w:color w:val="auto"/>
          <w:kern w:val="0"/>
          <w:sz w:val="32"/>
          <w:szCs w:val="32"/>
          <w:highlight w:val="none"/>
        </w:rPr>
        <w:t>12909.72</w:t>
      </w:r>
      <w:r>
        <w:rPr>
          <w:rFonts w:hint="eastAsia" w:ascii="仿宋_GB2312" w:hAnsi="仿宋_GB2312" w:eastAsia="仿宋_GB2312" w:cs="仿宋_GB2312"/>
          <w:color w:val="auto"/>
          <w:spacing w:val="-4"/>
          <w:kern w:val="0"/>
          <w:sz w:val="32"/>
          <w:szCs w:val="32"/>
          <w:highlight w:val="none"/>
        </w:rPr>
        <w:t>万元，同比增加</w:t>
      </w:r>
      <w:r>
        <w:rPr>
          <w:rFonts w:hint="eastAsia" w:ascii="仿宋_GB2312" w:hAnsi="仿宋_GB2312" w:eastAsia="仿宋_GB2312" w:cs="仿宋_GB2312"/>
          <w:color w:val="auto"/>
          <w:kern w:val="0"/>
          <w:sz w:val="32"/>
          <w:szCs w:val="32"/>
          <w:highlight w:val="none"/>
          <w:lang w:val="en-US" w:eastAsia="zh-CN"/>
        </w:rPr>
        <w:t>2385.85</w:t>
      </w:r>
      <w:r>
        <w:rPr>
          <w:rFonts w:hint="eastAsia" w:ascii="仿宋_GB2312" w:hAnsi="仿宋_GB2312" w:eastAsia="仿宋_GB2312" w:cs="仿宋_GB2312"/>
          <w:color w:val="auto"/>
          <w:spacing w:val="-4"/>
          <w:kern w:val="0"/>
          <w:sz w:val="32"/>
          <w:szCs w:val="32"/>
          <w:highlight w:val="none"/>
        </w:rPr>
        <w:t>万元；当期所得税</w:t>
      </w:r>
      <w:r>
        <w:rPr>
          <w:rFonts w:hint="eastAsia" w:ascii="仿宋_GB2312" w:hAnsi="仿宋_GB2312" w:eastAsia="仿宋_GB2312" w:cs="仿宋_GB2312"/>
          <w:color w:val="auto"/>
          <w:kern w:val="0"/>
          <w:sz w:val="32"/>
          <w:szCs w:val="32"/>
          <w:highlight w:val="none"/>
          <w:lang w:val="en-US" w:eastAsia="zh-CN"/>
        </w:rPr>
        <w:t>3227.43</w:t>
      </w:r>
      <w:r>
        <w:rPr>
          <w:rFonts w:hint="eastAsia" w:ascii="仿宋_GB2312" w:hAnsi="仿宋_GB2312" w:eastAsia="仿宋_GB2312" w:cs="仿宋_GB2312"/>
          <w:color w:val="auto"/>
          <w:spacing w:val="-4"/>
          <w:kern w:val="0"/>
          <w:sz w:val="32"/>
          <w:szCs w:val="32"/>
          <w:highlight w:val="none"/>
        </w:rPr>
        <w:t>万元；实现净利润</w:t>
      </w:r>
      <w:r>
        <w:rPr>
          <w:rFonts w:hint="eastAsia" w:ascii="仿宋_GB2312" w:hAnsi="仿宋_GB2312" w:eastAsia="仿宋_GB2312" w:cs="仿宋_GB2312"/>
          <w:color w:val="auto"/>
          <w:kern w:val="0"/>
          <w:sz w:val="32"/>
          <w:szCs w:val="32"/>
          <w:highlight w:val="none"/>
        </w:rPr>
        <w:t>9682.29</w:t>
      </w:r>
      <w:r>
        <w:rPr>
          <w:rFonts w:hint="eastAsia" w:ascii="仿宋_GB2312" w:hAnsi="仿宋_GB2312" w:eastAsia="仿宋_GB2312" w:cs="仿宋_GB2312"/>
          <w:color w:val="auto"/>
          <w:spacing w:val="-4"/>
          <w:kern w:val="0"/>
          <w:sz w:val="32"/>
          <w:szCs w:val="32"/>
          <w:highlight w:val="none"/>
        </w:rPr>
        <w:t>万元，同比增加</w:t>
      </w:r>
      <w:r>
        <w:rPr>
          <w:rFonts w:hint="eastAsia" w:ascii="仿宋_GB2312" w:hAnsi="仿宋_GB2312" w:eastAsia="仿宋_GB2312" w:cs="仿宋_GB2312"/>
          <w:color w:val="auto"/>
          <w:kern w:val="0"/>
          <w:sz w:val="32"/>
          <w:szCs w:val="32"/>
          <w:highlight w:val="none"/>
          <w:lang w:val="en-US" w:eastAsia="zh-CN"/>
        </w:rPr>
        <w:t>1789.38</w:t>
      </w:r>
      <w:r>
        <w:rPr>
          <w:rFonts w:hint="eastAsia" w:ascii="仿宋_GB2312" w:hAnsi="仿宋_GB2312" w:eastAsia="仿宋_GB2312" w:cs="仿宋_GB2312"/>
          <w:color w:val="auto"/>
          <w:spacing w:val="-4"/>
          <w:kern w:val="0"/>
          <w:sz w:val="32"/>
          <w:szCs w:val="32"/>
          <w:highlight w:val="none"/>
        </w:rPr>
        <w:t>万元。</w:t>
      </w:r>
    </w:p>
    <w:p>
      <w:pPr>
        <w:keepNext w:val="0"/>
        <w:keepLines w:val="0"/>
        <w:pageBreakBefore w:val="0"/>
        <w:widowControl/>
        <w:shd w:val="clear" w:color="auto" w:fill="FFFFFF"/>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2.4利润分配情况</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rPr>
          <w:rFonts w:hint="eastAsia" w:ascii="仿宋_GB2312" w:hAnsi="仿宋_GB2312" w:eastAsia="仿宋_GB2312" w:cs="仿宋_GB2312"/>
          <w:color w:val="FF0000"/>
          <w:kern w:val="0"/>
          <w:sz w:val="32"/>
          <w:szCs w:val="32"/>
          <w:highlight w:val="none"/>
        </w:rPr>
      </w:pP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年实现净利润</w:t>
      </w:r>
      <w:r>
        <w:rPr>
          <w:rFonts w:hint="eastAsia" w:ascii="仿宋_GB2312" w:hAnsi="仿宋_GB2312" w:eastAsia="仿宋_GB2312" w:cs="仿宋_GB2312"/>
          <w:color w:val="auto"/>
          <w:kern w:val="0"/>
          <w:sz w:val="32"/>
          <w:szCs w:val="32"/>
          <w:highlight w:val="none"/>
          <w:lang w:val="en-US" w:eastAsia="zh-CN"/>
        </w:rPr>
        <w:t>9682.29</w:t>
      </w:r>
      <w:r>
        <w:rPr>
          <w:rFonts w:hint="eastAsia" w:ascii="仿宋_GB2312" w:hAnsi="仿宋_GB2312" w:eastAsia="仿宋_GB2312" w:cs="仿宋_GB2312"/>
          <w:color w:val="auto"/>
          <w:kern w:val="0"/>
          <w:sz w:val="32"/>
          <w:szCs w:val="32"/>
          <w:highlight w:val="none"/>
        </w:rPr>
        <w:t>万元，提取法定盈余公积金及特种专项准备</w:t>
      </w:r>
      <w:r>
        <w:rPr>
          <w:rFonts w:hint="eastAsia" w:ascii="仿宋_GB2312" w:hAnsi="仿宋_GB2312" w:eastAsia="仿宋_GB2312" w:cs="仿宋_GB2312"/>
          <w:color w:val="auto"/>
          <w:kern w:val="0"/>
          <w:sz w:val="32"/>
          <w:szCs w:val="32"/>
          <w:highlight w:val="none"/>
          <w:lang w:val="en-US" w:eastAsia="zh-CN"/>
        </w:rPr>
        <w:t>1234.8</w:t>
      </w:r>
      <w:r>
        <w:rPr>
          <w:rFonts w:hint="eastAsia" w:ascii="仿宋_GB2312" w:hAnsi="仿宋_GB2312" w:eastAsia="仿宋_GB2312" w:cs="仿宋_GB2312"/>
          <w:color w:val="auto"/>
          <w:kern w:val="0"/>
          <w:sz w:val="32"/>
          <w:szCs w:val="32"/>
          <w:highlight w:val="none"/>
        </w:rPr>
        <w:t>万元。</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年度股金分红比例为</w:t>
      </w:r>
      <w:r>
        <w:rPr>
          <w:rFonts w:hint="eastAsia" w:ascii="仿宋_GB2312" w:hAnsi="仿宋_GB2312" w:eastAsia="仿宋_GB2312" w:cs="仿宋_GB2312"/>
          <w:color w:val="auto"/>
          <w:kern w:val="0"/>
          <w:sz w:val="32"/>
          <w:szCs w:val="32"/>
          <w:highlight w:val="none"/>
          <w:lang w:val="en-US" w:eastAsia="zh-CN"/>
        </w:rPr>
        <w:t>9.5</w:t>
      </w:r>
      <w:r>
        <w:rPr>
          <w:rFonts w:hint="eastAsia" w:ascii="仿宋_GB2312" w:hAnsi="仿宋_GB2312" w:eastAsia="仿宋_GB2312" w:cs="仿宋_GB2312"/>
          <w:color w:val="auto"/>
          <w:sz w:val="32"/>
          <w:szCs w:val="32"/>
          <w:highlight w:val="none"/>
        </w:rPr>
        <w:t>%（含税），其中现金分红比例为</w:t>
      </w: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sz w:val="32"/>
          <w:szCs w:val="32"/>
          <w:highlight w:val="none"/>
        </w:rPr>
        <w:t>%，送股比例为</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sz w:val="32"/>
          <w:szCs w:val="32"/>
          <w:highlight w:val="none"/>
        </w:rPr>
        <w:t>%，并将取得的全部分红按</w:t>
      </w:r>
      <w:r>
        <w:rPr>
          <w:rFonts w:hint="eastAsia" w:ascii="仿宋_GB2312" w:hAnsi="仿宋_GB2312" w:eastAsia="仿宋_GB2312" w:cs="仿宋_GB2312"/>
          <w:color w:val="auto"/>
          <w:kern w:val="0"/>
          <w:sz w:val="32"/>
          <w:szCs w:val="32"/>
          <w:highlight w:val="none"/>
          <w:lang w:val="en-US" w:eastAsia="zh-CN"/>
        </w:rPr>
        <w:t>20</w:t>
      </w:r>
      <w:r>
        <w:rPr>
          <w:rFonts w:hint="eastAsia" w:ascii="仿宋_GB2312" w:hAnsi="仿宋_GB2312" w:eastAsia="仿宋_GB2312" w:cs="仿宋_GB2312"/>
          <w:color w:val="auto"/>
          <w:sz w:val="32"/>
          <w:szCs w:val="32"/>
          <w:highlight w:val="none"/>
        </w:rPr>
        <w:t>%的比例在现金分红中扣除个人所得税</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三、风险管理情况</w:t>
      </w:r>
    </w:p>
    <w:p>
      <w:pPr>
        <w:keepNext w:val="0"/>
        <w:keepLines w:val="0"/>
        <w:pageBreakBefore w:val="0"/>
        <w:widowControl/>
        <w:shd w:val="clear" w:color="auto" w:fill="FFFFFF"/>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3.1报告期末主要监管指标情况</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0" w:firstLineChars="20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单位：万元、%</w:t>
      </w:r>
    </w:p>
    <w:tbl>
      <w:tblPr>
        <w:tblStyle w:val="9"/>
        <w:tblW w:w="9117" w:type="dxa"/>
        <w:jc w:val="center"/>
        <w:tblInd w:w="0" w:type="dxa"/>
        <w:tblLayout w:type="fixed"/>
        <w:tblCellMar>
          <w:top w:w="15" w:type="dxa"/>
          <w:left w:w="15" w:type="dxa"/>
          <w:bottom w:w="15" w:type="dxa"/>
          <w:right w:w="15" w:type="dxa"/>
        </w:tblCellMar>
      </w:tblPr>
      <w:tblGrid>
        <w:gridCol w:w="4203"/>
        <w:gridCol w:w="2549"/>
        <w:gridCol w:w="2365"/>
      </w:tblGrid>
      <w:tr>
        <w:tblPrEx>
          <w:tblLayout w:type="fixed"/>
          <w:tblCellMar>
            <w:top w:w="15" w:type="dxa"/>
            <w:left w:w="15" w:type="dxa"/>
            <w:bottom w:w="15" w:type="dxa"/>
            <w:right w:w="15" w:type="dxa"/>
          </w:tblCellMar>
        </w:tblPrEx>
        <w:trPr>
          <w:trHeight w:val="1344"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kern w:val="0"/>
                <w:sz w:val="32"/>
                <w:szCs w:val="32"/>
                <w:highlight w:val="none"/>
              </w:rPr>
              <w:t>主要风险指标</w:t>
            </w:r>
          </w:p>
        </w:tc>
        <w:tc>
          <w:tcPr>
            <w:tcW w:w="25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kern w:val="0"/>
                <w:sz w:val="32"/>
                <w:szCs w:val="32"/>
                <w:highlight w:val="none"/>
              </w:rPr>
              <w:t>标准值</w:t>
            </w:r>
          </w:p>
        </w:tc>
        <w:tc>
          <w:tcPr>
            <w:tcW w:w="2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kern w:val="0"/>
                <w:sz w:val="32"/>
                <w:szCs w:val="32"/>
                <w:highlight w:val="none"/>
              </w:rPr>
              <w:t>202</w:t>
            </w:r>
            <w:r>
              <w:rPr>
                <w:rFonts w:hint="eastAsia" w:ascii="仿宋_GB2312" w:hAnsi="仿宋_GB2312" w:eastAsia="仿宋_GB2312" w:cs="仿宋_GB2312"/>
                <w:b/>
                <w:bCs w:val="0"/>
                <w:color w:val="auto"/>
                <w:kern w:val="0"/>
                <w:sz w:val="32"/>
                <w:szCs w:val="32"/>
                <w:highlight w:val="none"/>
                <w:lang w:val="en-US" w:eastAsia="zh-CN"/>
              </w:rPr>
              <w:t>1</w:t>
            </w:r>
            <w:r>
              <w:rPr>
                <w:rFonts w:hint="eastAsia" w:ascii="仿宋_GB2312" w:hAnsi="仿宋_GB2312" w:eastAsia="仿宋_GB2312" w:cs="仿宋_GB2312"/>
                <w:b/>
                <w:bCs w:val="0"/>
                <w:color w:val="auto"/>
                <w:kern w:val="0"/>
                <w:sz w:val="32"/>
                <w:szCs w:val="32"/>
                <w:highlight w:val="none"/>
              </w:rPr>
              <w:t>年末</w:t>
            </w:r>
          </w:p>
        </w:tc>
      </w:tr>
      <w:tr>
        <w:tblPrEx>
          <w:tblLayout w:type="fixed"/>
          <w:tblCellMar>
            <w:top w:w="15" w:type="dxa"/>
            <w:left w:w="15" w:type="dxa"/>
            <w:bottom w:w="15" w:type="dxa"/>
            <w:right w:w="15" w:type="dxa"/>
          </w:tblCellMar>
        </w:tblPrEx>
        <w:trPr>
          <w:trHeight w:val="668"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核心一级资本净额</w:t>
            </w:r>
          </w:p>
        </w:tc>
        <w:tc>
          <w:tcPr>
            <w:tcW w:w="25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tc>
        <w:tc>
          <w:tcPr>
            <w:tcW w:w="2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lang w:val="en-US" w:eastAsia="zh-CN"/>
              </w:rPr>
              <w:t>86116</w:t>
            </w:r>
          </w:p>
        </w:tc>
      </w:tr>
      <w:tr>
        <w:tblPrEx>
          <w:tblLayout w:type="fixed"/>
          <w:tblCellMar>
            <w:top w:w="15" w:type="dxa"/>
            <w:left w:w="15" w:type="dxa"/>
            <w:bottom w:w="15" w:type="dxa"/>
            <w:right w:w="15" w:type="dxa"/>
          </w:tblCellMar>
        </w:tblPrEx>
        <w:trPr>
          <w:trHeight w:val="677"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一级资本净额</w:t>
            </w:r>
          </w:p>
        </w:tc>
        <w:tc>
          <w:tcPr>
            <w:tcW w:w="25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tc>
        <w:tc>
          <w:tcPr>
            <w:tcW w:w="2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lang w:val="en-US" w:eastAsia="zh-CN"/>
              </w:rPr>
              <w:t>86116</w:t>
            </w:r>
          </w:p>
        </w:tc>
      </w:tr>
      <w:tr>
        <w:tblPrEx>
          <w:tblLayout w:type="fixed"/>
          <w:tblCellMar>
            <w:top w:w="15" w:type="dxa"/>
            <w:left w:w="15" w:type="dxa"/>
            <w:bottom w:w="15" w:type="dxa"/>
            <w:right w:w="15" w:type="dxa"/>
          </w:tblCellMar>
        </w:tblPrEx>
        <w:trPr>
          <w:trHeight w:val="659"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资本净额</w:t>
            </w:r>
          </w:p>
        </w:tc>
        <w:tc>
          <w:tcPr>
            <w:tcW w:w="25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tc>
        <w:tc>
          <w:tcPr>
            <w:tcW w:w="2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000000"/>
                <w:sz w:val="32"/>
                <w:szCs w:val="32"/>
                <w:lang w:val="en-US" w:eastAsia="zh-CN"/>
              </w:rPr>
              <w:t>93612</w:t>
            </w:r>
          </w:p>
        </w:tc>
      </w:tr>
      <w:tr>
        <w:tblPrEx>
          <w:tblLayout w:type="fixed"/>
          <w:tblCellMar>
            <w:top w:w="15" w:type="dxa"/>
            <w:left w:w="15" w:type="dxa"/>
            <w:bottom w:w="15" w:type="dxa"/>
            <w:right w:w="15" w:type="dxa"/>
          </w:tblCellMar>
        </w:tblPrEx>
        <w:trPr>
          <w:trHeight w:val="669"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核心一级资本充足率(%）</w:t>
            </w:r>
          </w:p>
        </w:tc>
        <w:tc>
          <w:tcPr>
            <w:tcW w:w="25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lang w:val="en-US" w:eastAsia="zh-CN"/>
              </w:rPr>
              <w:t>8.5</w:t>
            </w:r>
          </w:p>
        </w:tc>
        <w:tc>
          <w:tcPr>
            <w:tcW w:w="2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lang w:val="en-US" w:eastAsia="zh-CN"/>
              </w:rPr>
              <w:t>12.57</w:t>
            </w:r>
          </w:p>
        </w:tc>
      </w:tr>
      <w:tr>
        <w:tblPrEx>
          <w:tblLayout w:type="fixed"/>
          <w:tblCellMar>
            <w:top w:w="15" w:type="dxa"/>
            <w:left w:w="15" w:type="dxa"/>
            <w:bottom w:w="15" w:type="dxa"/>
            <w:right w:w="15" w:type="dxa"/>
          </w:tblCellMar>
        </w:tblPrEx>
        <w:trPr>
          <w:trHeight w:val="666"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一级资本充足率(%）</w:t>
            </w:r>
          </w:p>
        </w:tc>
        <w:tc>
          <w:tcPr>
            <w:tcW w:w="25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lang w:val="en-US" w:eastAsia="zh-CN"/>
              </w:rPr>
              <w:t>8.5</w:t>
            </w:r>
          </w:p>
        </w:tc>
        <w:tc>
          <w:tcPr>
            <w:tcW w:w="2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lang w:val="en-US" w:eastAsia="zh-CN"/>
              </w:rPr>
              <w:t>12.57</w:t>
            </w:r>
          </w:p>
        </w:tc>
      </w:tr>
      <w:tr>
        <w:tblPrEx>
          <w:tblLayout w:type="fixed"/>
          <w:tblCellMar>
            <w:top w:w="15" w:type="dxa"/>
            <w:left w:w="15" w:type="dxa"/>
            <w:bottom w:w="15" w:type="dxa"/>
            <w:right w:w="15" w:type="dxa"/>
          </w:tblCellMar>
        </w:tblPrEx>
        <w:trPr>
          <w:trHeight w:val="675"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资本充足率(%）</w:t>
            </w:r>
          </w:p>
        </w:tc>
        <w:tc>
          <w:tcPr>
            <w:tcW w:w="25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lang w:val="en-US" w:eastAsia="zh-CN"/>
              </w:rPr>
              <w:t>10.5</w:t>
            </w:r>
          </w:p>
        </w:tc>
        <w:tc>
          <w:tcPr>
            <w:tcW w:w="2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lang w:val="en-US" w:eastAsia="zh-CN"/>
              </w:rPr>
              <w:t>13.66</w:t>
            </w:r>
          </w:p>
        </w:tc>
      </w:tr>
      <w:tr>
        <w:tblPrEx>
          <w:tblLayout w:type="fixed"/>
          <w:tblCellMar>
            <w:top w:w="15" w:type="dxa"/>
            <w:left w:w="15" w:type="dxa"/>
            <w:bottom w:w="15" w:type="dxa"/>
            <w:right w:w="15" w:type="dxa"/>
          </w:tblCellMar>
        </w:tblPrEx>
        <w:trPr>
          <w:trHeight w:val="657"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贷款拨备率（%）</w:t>
            </w:r>
          </w:p>
        </w:tc>
        <w:tc>
          <w:tcPr>
            <w:tcW w:w="25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lang w:val="en-US" w:eastAsia="zh-CN"/>
              </w:rPr>
              <w:t>2.5</w:t>
            </w:r>
          </w:p>
        </w:tc>
        <w:tc>
          <w:tcPr>
            <w:tcW w:w="2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lang w:val="en-US" w:eastAsia="zh-CN"/>
              </w:rPr>
              <w:t>9.10</w:t>
            </w:r>
          </w:p>
        </w:tc>
      </w:tr>
      <w:tr>
        <w:tblPrEx>
          <w:tblLayout w:type="fixed"/>
          <w:tblCellMar>
            <w:top w:w="15" w:type="dxa"/>
            <w:left w:w="15" w:type="dxa"/>
            <w:bottom w:w="15" w:type="dxa"/>
            <w:right w:w="15" w:type="dxa"/>
          </w:tblCellMar>
        </w:tblPrEx>
        <w:trPr>
          <w:trHeight w:val="681"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贷款损失准备覆盖率（%）</w:t>
            </w:r>
          </w:p>
        </w:tc>
        <w:tc>
          <w:tcPr>
            <w:tcW w:w="25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lang w:val="en-US" w:eastAsia="zh-CN"/>
              </w:rPr>
              <w:t>150</w:t>
            </w:r>
          </w:p>
        </w:tc>
        <w:tc>
          <w:tcPr>
            <w:tcW w:w="2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lang w:val="en-US" w:eastAsia="zh-CN"/>
              </w:rPr>
              <w:t>473.69</w:t>
            </w:r>
          </w:p>
        </w:tc>
      </w:tr>
      <w:tr>
        <w:tblPrEx>
          <w:tblLayout w:type="fixed"/>
          <w:tblCellMar>
            <w:top w:w="15" w:type="dxa"/>
            <w:left w:w="15" w:type="dxa"/>
            <w:bottom w:w="15" w:type="dxa"/>
            <w:right w:w="15" w:type="dxa"/>
          </w:tblCellMar>
        </w:tblPrEx>
        <w:trPr>
          <w:trHeight w:val="664"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不良资产率（%）</w:t>
            </w:r>
          </w:p>
        </w:tc>
        <w:tc>
          <w:tcPr>
            <w:tcW w:w="25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lang w:val="en-US" w:eastAsia="zh-CN"/>
              </w:rPr>
              <w:t>4</w:t>
            </w:r>
          </w:p>
        </w:tc>
        <w:tc>
          <w:tcPr>
            <w:tcW w:w="2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lang w:val="en-US" w:eastAsia="zh-CN"/>
              </w:rPr>
              <w:t>1.17</w:t>
            </w:r>
          </w:p>
        </w:tc>
      </w:tr>
      <w:tr>
        <w:tblPrEx>
          <w:tblLayout w:type="fixed"/>
          <w:tblCellMar>
            <w:top w:w="15" w:type="dxa"/>
            <w:left w:w="15" w:type="dxa"/>
            <w:bottom w:w="15" w:type="dxa"/>
            <w:right w:w="15" w:type="dxa"/>
          </w:tblCellMar>
        </w:tblPrEx>
        <w:trPr>
          <w:trHeight w:val="673"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不良贷款率（%）</w:t>
            </w:r>
          </w:p>
        </w:tc>
        <w:tc>
          <w:tcPr>
            <w:tcW w:w="25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lang w:val="en-US" w:eastAsia="zh-CN"/>
              </w:rPr>
              <w:t>5</w:t>
            </w:r>
          </w:p>
        </w:tc>
        <w:tc>
          <w:tcPr>
            <w:tcW w:w="2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lang w:val="en-US" w:eastAsia="zh-CN"/>
              </w:rPr>
              <w:t>1.92</w:t>
            </w:r>
          </w:p>
        </w:tc>
      </w:tr>
      <w:tr>
        <w:tblPrEx>
          <w:tblLayout w:type="fixed"/>
          <w:tblCellMar>
            <w:top w:w="15" w:type="dxa"/>
            <w:left w:w="15" w:type="dxa"/>
            <w:bottom w:w="15" w:type="dxa"/>
            <w:right w:w="15" w:type="dxa"/>
          </w:tblCellMar>
        </w:tblPrEx>
        <w:trPr>
          <w:trHeight w:val="655"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存贷比例（%）</w:t>
            </w:r>
          </w:p>
        </w:tc>
        <w:tc>
          <w:tcPr>
            <w:tcW w:w="25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lang w:val="en-US" w:eastAsia="zh-CN"/>
              </w:rPr>
              <w:t>75</w:t>
            </w:r>
          </w:p>
        </w:tc>
        <w:tc>
          <w:tcPr>
            <w:tcW w:w="2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lang w:val="en-US" w:eastAsia="zh-CN"/>
              </w:rPr>
              <w:t>69.65</w:t>
            </w:r>
          </w:p>
        </w:tc>
      </w:tr>
      <w:tr>
        <w:tblPrEx>
          <w:tblLayout w:type="fixed"/>
          <w:tblCellMar>
            <w:top w:w="15" w:type="dxa"/>
            <w:left w:w="15" w:type="dxa"/>
            <w:bottom w:w="15" w:type="dxa"/>
            <w:right w:w="15" w:type="dxa"/>
          </w:tblCellMar>
        </w:tblPrEx>
        <w:trPr>
          <w:trHeight w:val="640"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流动性比例（%）</w:t>
            </w:r>
          </w:p>
        </w:tc>
        <w:tc>
          <w:tcPr>
            <w:tcW w:w="25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lang w:val="en-US" w:eastAsia="zh-CN"/>
              </w:rPr>
              <w:t>25</w:t>
            </w:r>
          </w:p>
        </w:tc>
        <w:tc>
          <w:tcPr>
            <w:tcW w:w="2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lang w:val="en-US" w:eastAsia="zh-CN"/>
              </w:rPr>
              <w:t>56.69</w:t>
            </w:r>
          </w:p>
        </w:tc>
      </w:tr>
      <w:tr>
        <w:tblPrEx>
          <w:tblLayout w:type="fixed"/>
          <w:tblCellMar>
            <w:top w:w="15" w:type="dxa"/>
            <w:left w:w="15" w:type="dxa"/>
            <w:bottom w:w="15" w:type="dxa"/>
            <w:right w:w="15" w:type="dxa"/>
          </w:tblCellMar>
        </w:tblPrEx>
        <w:trPr>
          <w:trHeight w:val="647"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逾贷比（%）</w:t>
            </w:r>
          </w:p>
        </w:tc>
        <w:tc>
          <w:tcPr>
            <w:tcW w:w="25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000000"/>
                <w:kern w:val="0"/>
                <w:sz w:val="32"/>
                <w:szCs w:val="32"/>
                <w:lang w:val="en-US" w:eastAsia="zh-CN"/>
              </w:rPr>
              <w:t>100</w:t>
            </w:r>
          </w:p>
        </w:tc>
        <w:tc>
          <w:tcPr>
            <w:tcW w:w="2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560" w:lineRule="exact"/>
              <w:ind w:right="0" w:rightChars="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lang w:val="en-US" w:eastAsia="zh-CN"/>
              </w:rPr>
              <w:t>92.3</w:t>
            </w:r>
          </w:p>
        </w:tc>
      </w:tr>
    </w:tbl>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3.2 贷款风险分类和不良贷款情况</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7360" w:firstLineChars="23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单位：万元</w:t>
      </w:r>
    </w:p>
    <w:tbl>
      <w:tblPr>
        <w:tblStyle w:val="9"/>
        <w:tblW w:w="9117" w:type="dxa"/>
        <w:jc w:val="center"/>
        <w:tblInd w:w="0" w:type="dxa"/>
        <w:tblLayout w:type="fixed"/>
        <w:tblCellMar>
          <w:top w:w="0" w:type="dxa"/>
          <w:left w:w="108" w:type="dxa"/>
          <w:bottom w:w="0" w:type="dxa"/>
          <w:right w:w="108" w:type="dxa"/>
        </w:tblCellMar>
      </w:tblPr>
      <w:tblGrid>
        <w:gridCol w:w="2795"/>
        <w:gridCol w:w="3629"/>
        <w:gridCol w:w="2693"/>
      </w:tblGrid>
      <w:tr>
        <w:tblPrEx>
          <w:tblLayout w:type="fixed"/>
          <w:tblCellMar>
            <w:top w:w="0" w:type="dxa"/>
            <w:left w:w="108" w:type="dxa"/>
            <w:bottom w:w="0" w:type="dxa"/>
            <w:right w:w="108" w:type="dxa"/>
          </w:tblCellMar>
        </w:tblPrEx>
        <w:trPr>
          <w:trHeight w:val="565"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left="0" w:leftChars="0" w:right="0" w:firstLine="643"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项目</w:t>
            </w:r>
          </w:p>
        </w:tc>
        <w:tc>
          <w:tcPr>
            <w:tcW w:w="362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left="0" w:leftChars="0" w:right="0" w:firstLine="643"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202</w:t>
            </w:r>
            <w:r>
              <w:rPr>
                <w:rFonts w:hint="eastAsia" w:ascii="仿宋_GB2312" w:hAnsi="仿宋_GB2312" w:eastAsia="仿宋_GB2312" w:cs="仿宋_GB2312"/>
                <w:b/>
                <w:bCs/>
                <w:color w:val="auto"/>
                <w:kern w:val="0"/>
                <w:sz w:val="32"/>
                <w:szCs w:val="32"/>
                <w:highlight w:val="none"/>
                <w:lang w:val="en-US" w:eastAsia="zh-CN"/>
              </w:rPr>
              <w:t>1</w:t>
            </w:r>
            <w:r>
              <w:rPr>
                <w:rFonts w:hint="eastAsia" w:ascii="仿宋_GB2312" w:hAnsi="仿宋_GB2312" w:eastAsia="仿宋_GB2312" w:cs="仿宋_GB2312"/>
                <w:b/>
                <w:bCs/>
                <w:color w:val="auto"/>
                <w:kern w:val="0"/>
                <w:sz w:val="32"/>
                <w:szCs w:val="32"/>
                <w:highlight w:val="none"/>
              </w:rPr>
              <w:t>年末余额</w:t>
            </w:r>
          </w:p>
        </w:tc>
        <w:tc>
          <w:tcPr>
            <w:tcW w:w="26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left="0" w:leftChars="0" w:right="0" w:firstLine="643"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占比（%）</w:t>
            </w:r>
          </w:p>
        </w:tc>
      </w:tr>
      <w:tr>
        <w:tblPrEx>
          <w:tblLayout w:type="fixed"/>
          <w:tblCellMar>
            <w:top w:w="0" w:type="dxa"/>
            <w:left w:w="108" w:type="dxa"/>
            <w:bottom w:w="0" w:type="dxa"/>
            <w:right w:w="108" w:type="dxa"/>
          </w:tblCellMar>
        </w:tblPrEx>
        <w:trPr>
          <w:trHeight w:val="496"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正常</w:t>
            </w:r>
          </w:p>
        </w:tc>
        <w:tc>
          <w:tcPr>
            <w:tcW w:w="3629" w:type="dxa"/>
            <w:tcBorders>
              <w:top w:val="single" w:color="auto" w:sz="4" w:space="0"/>
              <w:left w:val="nil"/>
              <w:bottom w:val="single" w:color="auto" w:sz="4" w:space="0"/>
              <w:right w:val="single" w:color="auto" w:sz="4" w:space="0"/>
            </w:tcBorders>
            <w:vAlign w:val="center"/>
          </w:tcPr>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840523</w:t>
            </w:r>
            <w:r>
              <w:rPr>
                <w:rFonts w:ascii="仿宋_GB2312" w:hAnsi="仿宋_GB2312" w:eastAsia="仿宋_GB2312" w:cs="仿宋_GB2312"/>
                <w:sz w:val="32"/>
                <w:szCs w:val="32"/>
              </w:rPr>
              <w:t>.97</w:t>
            </w:r>
          </w:p>
        </w:tc>
        <w:tc>
          <w:tcPr>
            <w:tcW w:w="2693" w:type="dxa"/>
            <w:tcBorders>
              <w:top w:val="single" w:color="auto" w:sz="4" w:space="0"/>
              <w:left w:val="nil"/>
              <w:bottom w:val="single" w:color="auto" w:sz="4" w:space="0"/>
              <w:right w:val="single" w:color="auto" w:sz="4" w:space="0"/>
            </w:tcBorders>
            <w:vAlign w:val="center"/>
          </w:tcPr>
          <w:p>
            <w:pPr>
              <w:widowControl/>
              <w:spacing w:line="560" w:lineRule="exact"/>
              <w:ind w:firstLine="640" w:firstLineChars="200"/>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kern w:val="0"/>
                <w:sz w:val="32"/>
                <w:szCs w:val="32"/>
              </w:rPr>
              <w:t>95.41</w:t>
            </w:r>
          </w:p>
        </w:tc>
      </w:tr>
      <w:tr>
        <w:tblPrEx>
          <w:tblLayout w:type="fixed"/>
          <w:tblCellMar>
            <w:top w:w="0" w:type="dxa"/>
            <w:left w:w="108" w:type="dxa"/>
            <w:bottom w:w="0" w:type="dxa"/>
            <w:right w:w="108" w:type="dxa"/>
          </w:tblCellMar>
        </w:tblPrEx>
        <w:trPr>
          <w:trHeight w:val="536" w:hRule="atLeast"/>
          <w:jc w:val="center"/>
        </w:trPr>
        <w:tc>
          <w:tcPr>
            <w:tcW w:w="279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关注</w:t>
            </w:r>
          </w:p>
        </w:tc>
        <w:tc>
          <w:tcPr>
            <w:tcW w:w="3629" w:type="dxa"/>
            <w:tcBorders>
              <w:top w:val="nil"/>
              <w:left w:val="nil"/>
              <w:bottom w:val="single" w:color="auto" w:sz="4" w:space="0"/>
              <w:right w:val="single" w:color="auto" w:sz="4" w:space="0"/>
            </w:tcBorders>
            <w:vAlign w:val="top"/>
          </w:tcPr>
          <w:p>
            <w:pPr>
              <w:widowControl/>
              <w:spacing w:line="560" w:lineRule="exact"/>
              <w:ind w:firstLine="640" w:firstLineChars="200"/>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23500.52</w:t>
            </w:r>
          </w:p>
        </w:tc>
        <w:tc>
          <w:tcPr>
            <w:tcW w:w="2693" w:type="dxa"/>
            <w:tcBorders>
              <w:top w:val="nil"/>
              <w:left w:val="nil"/>
              <w:bottom w:val="single" w:color="auto" w:sz="4" w:space="0"/>
              <w:right w:val="single" w:color="auto" w:sz="4" w:space="0"/>
            </w:tcBorders>
            <w:vAlign w:val="center"/>
          </w:tcPr>
          <w:p>
            <w:pPr>
              <w:widowControl/>
              <w:spacing w:line="560" w:lineRule="exact"/>
              <w:ind w:firstLine="640" w:firstLineChars="200"/>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kern w:val="0"/>
                <w:sz w:val="32"/>
                <w:szCs w:val="32"/>
              </w:rPr>
              <w:t>2.67</w:t>
            </w:r>
          </w:p>
        </w:tc>
      </w:tr>
      <w:tr>
        <w:tblPrEx>
          <w:tblLayout w:type="fixed"/>
          <w:tblCellMar>
            <w:top w:w="0" w:type="dxa"/>
            <w:left w:w="108" w:type="dxa"/>
            <w:bottom w:w="0" w:type="dxa"/>
            <w:right w:w="108" w:type="dxa"/>
          </w:tblCellMar>
        </w:tblPrEx>
        <w:trPr>
          <w:trHeight w:val="511"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次级</w:t>
            </w:r>
          </w:p>
        </w:tc>
        <w:tc>
          <w:tcPr>
            <w:tcW w:w="3629" w:type="dxa"/>
            <w:tcBorders>
              <w:top w:val="single" w:color="auto" w:sz="4" w:space="0"/>
              <w:left w:val="nil"/>
              <w:bottom w:val="single" w:color="auto" w:sz="4" w:space="0"/>
              <w:right w:val="single" w:color="auto" w:sz="4" w:space="0"/>
            </w:tcBorders>
            <w:vAlign w:val="top"/>
          </w:tcPr>
          <w:p>
            <w:pPr>
              <w:widowControl/>
              <w:spacing w:line="560" w:lineRule="exact"/>
              <w:ind w:firstLine="640" w:firstLineChars="200"/>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kern w:val="0"/>
                <w:sz w:val="32"/>
                <w:szCs w:val="32"/>
              </w:rPr>
              <w:t>5175.34</w:t>
            </w:r>
          </w:p>
        </w:tc>
        <w:tc>
          <w:tcPr>
            <w:tcW w:w="2693" w:type="dxa"/>
            <w:tcBorders>
              <w:top w:val="single" w:color="auto" w:sz="4" w:space="0"/>
              <w:left w:val="nil"/>
              <w:bottom w:val="single" w:color="auto" w:sz="4" w:space="0"/>
              <w:right w:val="single" w:color="auto" w:sz="4" w:space="0"/>
            </w:tcBorders>
            <w:vAlign w:val="center"/>
          </w:tcPr>
          <w:p>
            <w:pPr>
              <w:widowControl/>
              <w:spacing w:line="560" w:lineRule="exact"/>
              <w:ind w:firstLine="640" w:firstLineChars="200"/>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kern w:val="0"/>
                <w:sz w:val="32"/>
                <w:szCs w:val="32"/>
              </w:rPr>
              <w:t>0.59</w:t>
            </w:r>
          </w:p>
        </w:tc>
      </w:tr>
      <w:tr>
        <w:tblPrEx>
          <w:tblLayout w:type="fixed"/>
          <w:tblCellMar>
            <w:top w:w="0" w:type="dxa"/>
            <w:left w:w="108" w:type="dxa"/>
            <w:bottom w:w="0" w:type="dxa"/>
            <w:right w:w="108" w:type="dxa"/>
          </w:tblCellMar>
        </w:tblPrEx>
        <w:trPr>
          <w:trHeight w:val="511"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可疑</w:t>
            </w:r>
          </w:p>
        </w:tc>
        <w:tc>
          <w:tcPr>
            <w:tcW w:w="3629" w:type="dxa"/>
            <w:tcBorders>
              <w:top w:val="single" w:color="auto" w:sz="4" w:space="0"/>
              <w:left w:val="nil"/>
              <w:bottom w:val="single" w:color="auto" w:sz="4" w:space="0"/>
              <w:right w:val="single" w:color="auto" w:sz="4" w:space="0"/>
            </w:tcBorders>
            <w:vAlign w:val="top"/>
          </w:tcPr>
          <w:p>
            <w:pPr>
              <w:widowControl/>
              <w:spacing w:line="560" w:lineRule="exact"/>
              <w:ind w:firstLine="640" w:firstLineChars="200"/>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11259.11</w:t>
            </w:r>
          </w:p>
        </w:tc>
        <w:tc>
          <w:tcPr>
            <w:tcW w:w="2693" w:type="dxa"/>
            <w:tcBorders>
              <w:top w:val="single" w:color="auto" w:sz="4" w:space="0"/>
              <w:left w:val="nil"/>
              <w:bottom w:val="single" w:color="auto" w:sz="4" w:space="0"/>
              <w:right w:val="single" w:color="auto" w:sz="4" w:space="0"/>
            </w:tcBorders>
            <w:vAlign w:val="center"/>
          </w:tcPr>
          <w:p>
            <w:pPr>
              <w:widowControl/>
              <w:spacing w:line="560" w:lineRule="exact"/>
              <w:ind w:firstLine="640" w:firstLineChars="200"/>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kern w:val="0"/>
                <w:sz w:val="32"/>
                <w:szCs w:val="32"/>
              </w:rPr>
              <w:t>1.28</w:t>
            </w:r>
          </w:p>
        </w:tc>
      </w:tr>
      <w:tr>
        <w:tblPrEx>
          <w:tblLayout w:type="fixed"/>
          <w:tblCellMar>
            <w:top w:w="0" w:type="dxa"/>
            <w:left w:w="108" w:type="dxa"/>
            <w:bottom w:w="0" w:type="dxa"/>
            <w:right w:w="108" w:type="dxa"/>
          </w:tblCellMar>
        </w:tblPrEx>
        <w:trPr>
          <w:trHeight w:val="53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损失</w:t>
            </w:r>
          </w:p>
        </w:tc>
        <w:tc>
          <w:tcPr>
            <w:tcW w:w="3629" w:type="dxa"/>
            <w:tcBorders>
              <w:top w:val="single" w:color="auto" w:sz="4" w:space="0"/>
              <w:left w:val="nil"/>
              <w:bottom w:val="single" w:color="auto" w:sz="4" w:space="0"/>
              <w:right w:val="single" w:color="auto" w:sz="4" w:space="0"/>
            </w:tcBorders>
            <w:vAlign w:val="top"/>
          </w:tcPr>
          <w:p>
            <w:pPr>
              <w:widowControl/>
              <w:spacing w:line="560" w:lineRule="exact"/>
              <w:ind w:firstLine="640" w:firstLineChars="200"/>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kern w:val="0"/>
                <w:sz w:val="32"/>
                <w:szCs w:val="32"/>
              </w:rPr>
              <w:t>491.03</w:t>
            </w:r>
          </w:p>
        </w:tc>
        <w:tc>
          <w:tcPr>
            <w:tcW w:w="2693" w:type="dxa"/>
            <w:tcBorders>
              <w:top w:val="single" w:color="auto" w:sz="4" w:space="0"/>
              <w:left w:val="nil"/>
              <w:bottom w:val="single" w:color="auto" w:sz="4" w:space="0"/>
              <w:right w:val="single" w:color="auto" w:sz="4" w:space="0"/>
            </w:tcBorders>
            <w:vAlign w:val="center"/>
          </w:tcPr>
          <w:p>
            <w:pPr>
              <w:widowControl/>
              <w:spacing w:line="560" w:lineRule="exact"/>
              <w:ind w:firstLine="640" w:firstLineChars="200"/>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kern w:val="0"/>
                <w:sz w:val="32"/>
                <w:szCs w:val="32"/>
              </w:rPr>
              <w:t>0.05</w:t>
            </w:r>
          </w:p>
        </w:tc>
      </w:tr>
    </w:tbl>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3.3贷款损失准备情况</w:t>
      </w:r>
    </w:p>
    <w:p>
      <w:pPr>
        <w:keepNext w:val="0"/>
        <w:keepLines w:val="0"/>
        <w:pageBreakBefore w:val="0"/>
        <w:widowControl/>
        <w:shd w:val="clear" w:color="auto" w:fill="FFFFFF"/>
        <w:kinsoku/>
        <w:overflowPunct/>
        <w:topLinePunct w:val="0"/>
        <w:bidi w:val="0"/>
        <w:spacing w:line="560" w:lineRule="exact"/>
        <w:ind w:left="0" w:leftChars="0" w:right="0" w:firstLine="7360" w:firstLineChars="23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单位：万元</w:t>
      </w:r>
    </w:p>
    <w:tbl>
      <w:tblPr>
        <w:tblStyle w:val="9"/>
        <w:tblW w:w="911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63"/>
        <w:gridCol w:w="2265"/>
        <w:gridCol w:w="1687"/>
        <w:gridCol w:w="18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项目</w:t>
            </w:r>
          </w:p>
        </w:tc>
        <w:tc>
          <w:tcPr>
            <w:tcW w:w="2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期初数</w:t>
            </w: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增减变化</w:t>
            </w:r>
          </w:p>
        </w:tc>
        <w:tc>
          <w:tcPr>
            <w:tcW w:w="1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期末数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jc w:val="center"/>
        </w:trPr>
        <w:tc>
          <w:tcPr>
            <w:tcW w:w="3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贷款损失准备</w:t>
            </w:r>
          </w:p>
        </w:tc>
        <w:tc>
          <w:tcPr>
            <w:tcW w:w="2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65715.35</w:t>
            </w: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14458.18</w:t>
            </w:r>
          </w:p>
        </w:tc>
        <w:tc>
          <w:tcPr>
            <w:tcW w:w="1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80173.53</w:t>
            </w:r>
          </w:p>
        </w:tc>
      </w:tr>
    </w:tbl>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rPr>
        <w:t>3.4年末对外投资情况</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0" w:firstLineChars="200"/>
        <w:jc w:val="righ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单位：万元</w:t>
      </w:r>
    </w:p>
    <w:tbl>
      <w:tblPr>
        <w:tblStyle w:val="9"/>
        <w:tblW w:w="9117" w:type="dxa"/>
        <w:jc w:val="center"/>
        <w:tblInd w:w="0" w:type="dxa"/>
        <w:tblLayout w:type="fixed"/>
        <w:tblCellMar>
          <w:top w:w="0" w:type="dxa"/>
          <w:left w:w="108" w:type="dxa"/>
          <w:bottom w:w="0" w:type="dxa"/>
          <w:right w:w="108" w:type="dxa"/>
        </w:tblCellMar>
      </w:tblPr>
      <w:tblGrid>
        <w:gridCol w:w="4704"/>
        <w:gridCol w:w="4413"/>
      </w:tblGrid>
      <w:tr>
        <w:tblPrEx>
          <w:tblLayout w:type="fixed"/>
          <w:tblCellMar>
            <w:top w:w="0" w:type="dxa"/>
            <w:left w:w="108" w:type="dxa"/>
            <w:bottom w:w="0" w:type="dxa"/>
            <w:right w:w="108" w:type="dxa"/>
          </w:tblCellMar>
        </w:tblPrEx>
        <w:trPr>
          <w:trHeight w:val="285" w:hRule="atLeast"/>
          <w:jc w:val="center"/>
        </w:trPr>
        <w:tc>
          <w:tcPr>
            <w:tcW w:w="4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项目</w:t>
            </w:r>
          </w:p>
        </w:tc>
        <w:tc>
          <w:tcPr>
            <w:tcW w:w="441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期末账面余额</w:t>
            </w:r>
          </w:p>
        </w:tc>
      </w:tr>
      <w:tr>
        <w:tblPrEx>
          <w:tblLayout w:type="fixed"/>
          <w:tblCellMar>
            <w:top w:w="0" w:type="dxa"/>
            <w:left w:w="108" w:type="dxa"/>
            <w:bottom w:w="0" w:type="dxa"/>
            <w:right w:w="108" w:type="dxa"/>
          </w:tblCellMar>
        </w:tblPrEx>
        <w:trPr>
          <w:trHeight w:val="285" w:hRule="atLeast"/>
          <w:jc w:val="center"/>
        </w:trPr>
        <w:tc>
          <w:tcPr>
            <w:tcW w:w="4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债权投资</w:t>
            </w:r>
          </w:p>
        </w:tc>
        <w:tc>
          <w:tcPr>
            <w:tcW w:w="441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390073.71</w:t>
            </w:r>
          </w:p>
        </w:tc>
      </w:tr>
      <w:tr>
        <w:tblPrEx>
          <w:tblLayout w:type="fixed"/>
          <w:tblCellMar>
            <w:top w:w="0" w:type="dxa"/>
            <w:left w:w="108" w:type="dxa"/>
            <w:bottom w:w="0" w:type="dxa"/>
            <w:right w:w="108" w:type="dxa"/>
          </w:tblCellMar>
        </w:tblPrEx>
        <w:trPr>
          <w:trHeight w:val="285" w:hRule="atLeast"/>
          <w:jc w:val="center"/>
        </w:trPr>
        <w:tc>
          <w:tcPr>
            <w:tcW w:w="4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长期股权投资</w:t>
            </w:r>
          </w:p>
        </w:tc>
        <w:tc>
          <w:tcPr>
            <w:tcW w:w="441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5149.24</w:t>
            </w:r>
          </w:p>
        </w:tc>
      </w:tr>
      <w:tr>
        <w:tblPrEx>
          <w:tblLayout w:type="fixed"/>
          <w:tblCellMar>
            <w:top w:w="0" w:type="dxa"/>
            <w:left w:w="108" w:type="dxa"/>
            <w:bottom w:w="0" w:type="dxa"/>
            <w:right w:w="108" w:type="dxa"/>
          </w:tblCellMar>
        </w:tblPrEx>
        <w:trPr>
          <w:trHeight w:val="285" w:hRule="atLeast"/>
          <w:jc w:val="center"/>
        </w:trPr>
        <w:tc>
          <w:tcPr>
            <w:tcW w:w="4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合计</w:t>
            </w:r>
          </w:p>
        </w:tc>
        <w:tc>
          <w:tcPr>
            <w:tcW w:w="441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395222.95</w:t>
            </w:r>
          </w:p>
        </w:tc>
      </w:tr>
    </w:tbl>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3.5不良贷款控制效果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本行始终坚持“审慎经营”理念，真实反映贷款形态，加强不良贷款清收考核，加强与司法部门的对接沟通。</w:t>
      </w:r>
      <w:r>
        <w:rPr>
          <w:rFonts w:hint="eastAsia" w:ascii="仿宋_GB2312" w:hAnsi="仿宋_GB2312" w:eastAsia="仿宋_GB2312" w:cs="仿宋_GB2312"/>
          <w:color w:val="auto"/>
          <w:kern w:val="0"/>
          <w:sz w:val="32"/>
          <w:szCs w:val="32"/>
          <w:highlight w:val="none"/>
          <w:lang w:val="zh-CN"/>
        </w:rPr>
        <w:t>2021年末不良贷款余额为16925万元，不良贷款率1.92%，比年初下降了0.18个百分点。</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3.6主要表外项目情况</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银行承兑汇票期初余额410</w:t>
      </w:r>
      <w:r>
        <w:rPr>
          <w:rFonts w:ascii="仿宋_GB2312" w:hAnsi="仿宋_GB2312" w:eastAsia="仿宋_GB2312" w:cs="仿宋_GB2312"/>
          <w:kern w:val="0"/>
          <w:sz w:val="32"/>
          <w:szCs w:val="32"/>
        </w:rPr>
        <w:t>.35</w:t>
      </w:r>
      <w:r>
        <w:rPr>
          <w:rFonts w:hint="eastAsia" w:ascii="仿宋_GB2312" w:hAnsi="仿宋_GB2312" w:eastAsia="仿宋_GB2312" w:cs="仿宋_GB2312"/>
          <w:kern w:val="0"/>
          <w:sz w:val="32"/>
          <w:szCs w:val="32"/>
        </w:rPr>
        <w:t>万元，期末余额</w:t>
      </w:r>
      <w:r>
        <w:rPr>
          <w:rFonts w:ascii="仿宋_GB2312" w:hAnsi="仿宋_GB2312" w:eastAsia="仿宋_GB2312" w:cs="仿宋_GB2312"/>
          <w:kern w:val="0"/>
          <w:sz w:val="32"/>
          <w:szCs w:val="32"/>
        </w:rPr>
        <w:t>657.66</w:t>
      </w:r>
      <w:r>
        <w:rPr>
          <w:rFonts w:hint="eastAsia" w:ascii="仿宋_GB2312" w:hAnsi="仿宋_GB2312" w:eastAsia="仿宋_GB2312" w:cs="仿宋_GB2312"/>
          <w:kern w:val="0"/>
          <w:sz w:val="32"/>
          <w:szCs w:val="32"/>
        </w:rPr>
        <w:t>万元，比年初增加24</w:t>
      </w:r>
      <w:r>
        <w:rPr>
          <w:rFonts w:ascii="仿宋_GB2312" w:hAnsi="仿宋_GB2312" w:eastAsia="仿宋_GB2312" w:cs="仿宋_GB2312"/>
          <w:kern w:val="0"/>
          <w:sz w:val="32"/>
          <w:szCs w:val="32"/>
        </w:rPr>
        <w:t>7.31</w:t>
      </w:r>
      <w:r>
        <w:rPr>
          <w:rFonts w:hint="eastAsia" w:ascii="仿宋_GB2312" w:hAnsi="仿宋_GB2312" w:eastAsia="仿宋_GB2312" w:cs="仿宋_GB2312"/>
          <w:kern w:val="0"/>
          <w:sz w:val="32"/>
          <w:szCs w:val="32"/>
        </w:rPr>
        <w:t>万元。</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四、董事、监事、高级管理层人员和员工情况</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4.1董事</w:t>
      </w:r>
    </w:p>
    <w:tbl>
      <w:tblPr>
        <w:tblStyle w:val="9"/>
        <w:tblW w:w="9117" w:type="dxa"/>
        <w:tblInd w:w="0" w:type="dxa"/>
        <w:tblLayout w:type="fixed"/>
        <w:tblCellMar>
          <w:top w:w="0" w:type="dxa"/>
          <w:left w:w="108" w:type="dxa"/>
          <w:bottom w:w="0" w:type="dxa"/>
          <w:right w:w="108" w:type="dxa"/>
        </w:tblCellMar>
      </w:tblPr>
      <w:tblGrid>
        <w:gridCol w:w="1046"/>
        <w:gridCol w:w="1643"/>
        <w:gridCol w:w="1045"/>
        <w:gridCol w:w="5383"/>
      </w:tblGrid>
      <w:tr>
        <w:tblPrEx>
          <w:tblLayout w:type="fixed"/>
          <w:tblCellMar>
            <w:top w:w="0" w:type="dxa"/>
            <w:left w:w="108" w:type="dxa"/>
            <w:bottom w:w="0" w:type="dxa"/>
            <w:right w:w="108" w:type="dxa"/>
          </w:tblCellMar>
        </w:tblPrEx>
        <w:trPr>
          <w:trHeight w:val="748" w:hRule="atLeast"/>
        </w:trPr>
        <w:tc>
          <w:tcPr>
            <w:tcW w:w="1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序</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号</w:t>
            </w:r>
          </w:p>
        </w:tc>
        <w:tc>
          <w:tcPr>
            <w:tcW w:w="16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姓</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名</w:t>
            </w:r>
          </w:p>
        </w:tc>
        <w:tc>
          <w:tcPr>
            <w:tcW w:w="10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性</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别</w:t>
            </w:r>
          </w:p>
        </w:tc>
        <w:tc>
          <w:tcPr>
            <w:tcW w:w="53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left="0" w:leftChars="0" w:right="0" w:firstLine="1928" w:firstLineChars="600"/>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职</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务</w:t>
            </w:r>
          </w:p>
        </w:tc>
      </w:tr>
      <w:tr>
        <w:tblPrEx>
          <w:tblLayout w:type="fixed"/>
          <w:tblCellMar>
            <w:top w:w="0" w:type="dxa"/>
            <w:left w:w="108" w:type="dxa"/>
            <w:bottom w:w="0" w:type="dxa"/>
            <w:right w:w="108" w:type="dxa"/>
          </w:tblCellMar>
        </w:tblPrEx>
        <w:trPr>
          <w:trHeight w:val="594" w:hRule="atLeast"/>
        </w:trPr>
        <w:tc>
          <w:tcPr>
            <w:tcW w:w="10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p>
        </w:tc>
        <w:tc>
          <w:tcPr>
            <w:tcW w:w="1643"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姜</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思</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义</w:t>
            </w:r>
          </w:p>
        </w:tc>
        <w:tc>
          <w:tcPr>
            <w:tcW w:w="1045"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男</w:t>
            </w:r>
          </w:p>
        </w:tc>
        <w:tc>
          <w:tcPr>
            <w:tcW w:w="5383"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董事长</w:t>
            </w:r>
          </w:p>
        </w:tc>
      </w:tr>
      <w:tr>
        <w:tblPrEx>
          <w:tblLayout w:type="fixed"/>
          <w:tblCellMar>
            <w:top w:w="0" w:type="dxa"/>
            <w:left w:w="108" w:type="dxa"/>
            <w:bottom w:w="0" w:type="dxa"/>
            <w:right w:w="108" w:type="dxa"/>
          </w:tblCellMar>
        </w:tblPrEx>
        <w:trPr>
          <w:trHeight w:val="594" w:hRule="atLeast"/>
        </w:trPr>
        <w:tc>
          <w:tcPr>
            <w:tcW w:w="10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p>
        </w:tc>
        <w:tc>
          <w:tcPr>
            <w:tcW w:w="1643" w:type="dxa"/>
            <w:tcBorders>
              <w:top w:val="nil"/>
              <w:left w:val="nil"/>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right="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肖</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冬</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禄</w:t>
            </w:r>
          </w:p>
        </w:tc>
        <w:tc>
          <w:tcPr>
            <w:tcW w:w="1045"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男</w:t>
            </w:r>
          </w:p>
        </w:tc>
        <w:tc>
          <w:tcPr>
            <w:tcW w:w="5383"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董事会成员</w:t>
            </w:r>
          </w:p>
        </w:tc>
      </w:tr>
      <w:tr>
        <w:tblPrEx>
          <w:tblLayout w:type="fixed"/>
          <w:tblCellMar>
            <w:top w:w="0" w:type="dxa"/>
            <w:left w:w="108" w:type="dxa"/>
            <w:bottom w:w="0" w:type="dxa"/>
            <w:right w:w="108" w:type="dxa"/>
          </w:tblCellMar>
        </w:tblPrEx>
        <w:trPr>
          <w:trHeight w:val="594" w:hRule="atLeast"/>
        </w:trPr>
        <w:tc>
          <w:tcPr>
            <w:tcW w:w="10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p>
        </w:tc>
        <w:tc>
          <w:tcPr>
            <w:tcW w:w="1643" w:type="dxa"/>
            <w:tcBorders>
              <w:top w:val="nil"/>
              <w:left w:val="nil"/>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right="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龚</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隆</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旺</w:t>
            </w:r>
          </w:p>
        </w:tc>
        <w:tc>
          <w:tcPr>
            <w:tcW w:w="1045"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男</w:t>
            </w:r>
          </w:p>
        </w:tc>
        <w:tc>
          <w:tcPr>
            <w:tcW w:w="5383"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董事会成员</w:t>
            </w:r>
          </w:p>
        </w:tc>
      </w:tr>
      <w:tr>
        <w:tblPrEx>
          <w:tblLayout w:type="fixed"/>
          <w:tblCellMar>
            <w:top w:w="0" w:type="dxa"/>
            <w:left w:w="108" w:type="dxa"/>
            <w:bottom w:w="0" w:type="dxa"/>
            <w:right w:w="108" w:type="dxa"/>
          </w:tblCellMar>
        </w:tblPrEx>
        <w:trPr>
          <w:trHeight w:val="594" w:hRule="atLeast"/>
        </w:trPr>
        <w:tc>
          <w:tcPr>
            <w:tcW w:w="10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p>
        </w:tc>
        <w:tc>
          <w:tcPr>
            <w:tcW w:w="1643" w:type="dxa"/>
            <w:tcBorders>
              <w:top w:val="nil"/>
              <w:left w:val="nil"/>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right="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刘</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秋</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林</w:t>
            </w:r>
          </w:p>
        </w:tc>
        <w:tc>
          <w:tcPr>
            <w:tcW w:w="1045"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男</w:t>
            </w:r>
          </w:p>
        </w:tc>
        <w:tc>
          <w:tcPr>
            <w:tcW w:w="5383"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董事会成员</w:t>
            </w:r>
          </w:p>
        </w:tc>
      </w:tr>
      <w:tr>
        <w:tblPrEx>
          <w:tblLayout w:type="fixed"/>
          <w:tblCellMar>
            <w:top w:w="0" w:type="dxa"/>
            <w:left w:w="108" w:type="dxa"/>
            <w:bottom w:w="0" w:type="dxa"/>
            <w:right w:w="108" w:type="dxa"/>
          </w:tblCellMar>
        </w:tblPrEx>
        <w:trPr>
          <w:trHeight w:val="594" w:hRule="atLeast"/>
        </w:trPr>
        <w:tc>
          <w:tcPr>
            <w:tcW w:w="1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w:t>
            </w:r>
          </w:p>
        </w:tc>
        <w:tc>
          <w:tcPr>
            <w:tcW w:w="1643"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right="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张</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永</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彬</w:t>
            </w:r>
          </w:p>
        </w:tc>
        <w:tc>
          <w:tcPr>
            <w:tcW w:w="10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男</w:t>
            </w:r>
          </w:p>
        </w:tc>
        <w:tc>
          <w:tcPr>
            <w:tcW w:w="53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董事会成员</w:t>
            </w:r>
          </w:p>
        </w:tc>
      </w:tr>
      <w:tr>
        <w:tblPrEx>
          <w:tblLayout w:type="fixed"/>
          <w:tblCellMar>
            <w:top w:w="0" w:type="dxa"/>
            <w:left w:w="108" w:type="dxa"/>
            <w:bottom w:w="0" w:type="dxa"/>
            <w:right w:w="108" w:type="dxa"/>
          </w:tblCellMar>
        </w:tblPrEx>
        <w:trPr>
          <w:trHeight w:val="594" w:hRule="atLeast"/>
        </w:trPr>
        <w:tc>
          <w:tcPr>
            <w:tcW w:w="1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w:t>
            </w:r>
          </w:p>
        </w:tc>
        <w:tc>
          <w:tcPr>
            <w:tcW w:w="1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right="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赖</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生</w:t>
            </w:r>
          </w:p>
        </w:tc>
        <w:tc>
          <w:tcPr>
            <w:tcW w:w="10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男</w:t>
            </w:r>
          </w:p>
        </w:tc>
        <w:tc>
          <w:tcPr>
            <w:tcW w:w="53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董事会成员</w:t>
            </w:r>
          </w:p>
        </w:tc>
      </w:tr>
      <w:tr>
        <w:tblPrEx>
          <w:tblLayout w:type="fixed"/>
          <w:tblCellMar>
            <w:top w:w="0" w:type="dxa"/>
            <w:left w:w="108" w:type="dxa"/>
            <w:bottom w:w="0" w:type="dxa"/>
            <w:right w:w="108" w:type="dxa"/>
          </w:tblCellMar>
        </w:tblPrEx>
        <w:trPr>
          <w:trHeight w:val="594" w:hRule="atLeast"/>
        </w:trPr>
        <w:tc>
          <w:tcPr>
            <w:tcW w:w="1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7</w:t>
            </w:r>
          </w:p>
        </w:tc>
        <w:tc>
          <w:tcPr>
            <w:tcW w:w="1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right="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曾</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令</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清</w:t>
            </w:r>
          </w:p>
        </w:tc>
        <w:tc>
          <w:tcPr>
            <w:tcW w:w="10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女</w:t>
            </w:r>
          </w:p>
        </w:tc>
        <w:tc>
          <w:tcPr>
            <w:tcW w:w="53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董事会成员</w:t>
            </w:r>
          </w:p>
        </w:tc>
      </w:tr>
    </w:tbl>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4.2监事</w:t>
      </w:r>
    </w:p>
    <w:tbl>
      <w:tblPr>
        <w:tblStyle w:val="9"/>
        <w:tblW w:w="9117" w:type="dxa"/>
        <w:tblInd w:w="0" w:type="dxa"/>
        <w:tblLayout w:type="fixed"/>
        <w:tblCellMar>
          <w:top w:w="0" w:type="dxa"/>
          <w:left w:w="108" w:type="dxa"/>
          <w:bottom w:w="0" w:type="dxa"/>
          <w:right w:w="108" w:type="dxa"/>
        </w:tblCellMar>
      </w:tblPr>
      <w:tblGrid>
        <w:gridCol w:w="1051"/>
        <w:gridCol w:w="1652"/>
        <w:gridCol w:w="1050"/>
        <w:gridCol w:w="5364"/>
      </w:tblGrid>
      <w:tr>
        <w:tblPrEx>
          <w:tblLayout w:type="fixed"/>
          <w:tblCellMar>
            <w:top w:w="0" w:type="dxa"/>
            <w:left w:w="108" w:type="dxa"/>
            <w:bottom w:w="0" w:type="dxa"/>
            <w:right w:w="108" w:type="dxa"/>
          </w:tblCellMar>
        </w:tblPrEx>
        <w:trPr>
          <w:trHeight w:val="658" w:hRule="atLeast"/>
        </w:trPr>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序</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号</w:t>
            </w:r>
          </w:p>
        </w:tc>
        <w:tc>
          <w:tcPr>
            <w:tcW w:w="16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1" w:firstLineChars="100"/>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姓</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名</w:t>
            </w:r>
          </w:p>
        </w:tc>
        <w:tc>
          <w:tcPr>
            <w:tcW w:w="10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性</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别</w:t>
            </w:r>
          </w:p>
        </w:tc>
        <w:tc>
          <w:tcPr>
            <w:tcW w:w="53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职务</w:t>
            </w:r>
          </w:p>
        </w:tc>
      </w:tr>
      <w:tr>
        <w:tblPrEx>
          <w:tblLayout w:type="fixed"/>
          <w:tblCellMar>
            <w:top w:w="0" w:type="dxa"/>
            <w:left w:w="108" w:type="dxa"/>
            <w:bottom w:w="0" w:type="dxa"/>
            <w:right w:w="108" w:type="dxa"/>
          </w:tblCellMar>
        </w:tblPrEx>
        <w:trPr>
          <w:trHeight w:val="730" w:hRule="atLeast"/>
        </w:trPr>
        <w:tc>
          <w:tcPr>
            <w:tcW w:w="105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p>
        </w:tc>
        <w:tc>
          <w:tcPr>
            <w:tcW w:w="1652"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肖</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义</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忠</w:t>
            </w:r>
          </w:p>
        </w:tc>
        <w:tc>
          <w:tcPr>
            <w:tcW w:w="1050"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男</w:t>
            </w:r>
          </w:p>
        </w:tc>
        <w:tc>
          <w:tcPr>
            <w:tcW w:w="5364"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监事长</w:t>
            </w:r>
          </w:p>
        </w:tc>
      </w:tr>
      <w:tr>
        <w:tblPrEx>
          <w:tblLayout w:type="fixed"/>
          <w:tblCellMar>
            <w:top w:w="0" w:type="dxa"/>
            <w:left w:w="108" w:type="dxa"/>
            <w:bottom w:w="0" w:type="dxa"/>
            <w:right w:w="108" w:type="dxa"/>
          </w:tblCellMar>
        </w:tblPrEx>
        <w:trPr>
          <w:trHeight w:val="660" w:hRule="atLeast"/>
        </w:trPr>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p>
        </w:tc>
        <w:tc>
          <w:tcPr>
            <w:tcW w:w="1652"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right="0" w:firstLine="320" w:firstLineChars="1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郭</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慧</w:t>
            </w:r>
          </w:p>
        </w:tc>
        <w:tc>
          <w:tcPr>
            <w:tcW w:w="10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女</w:t>
            </w:r>
          </w:p>
        </w:tc>
        <w:tc>
          <w:tcPr>
            <w:tcW w:w="53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监事会成员</w:t>
            </w:r>
          </w:p>
        </w:tc>
      </w:tr>
      <w:tr>
        <w:tblPrEx>
          <w:tblLayout w:type="fixed"/>
          <w:tblCellMar>
            <w:top w:w="0" w:type="dxa"/>
            <w:left w:w="108" w:type="dxa"/>
            <w:bottom w:w="0" w:type="dxa"/>
            <w:right w:w="108" w:type="dxa"/>
          </w:tblCellMar>
        </w:tblPrEx>
        <w:trPr>
          <w:trHeight w:val="660" w:hRule="atLeast"/>
        </w:trPr>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p>
        </w:tc>
        <w:tc>
          <w:tcPr>
            <w:tcW w:w="1652"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right="0" w:firstLine="320" w:firstLineChars="1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彭</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华</w:t>
            </w:r>
          </w:p>
        </w:tc>
        <w:tc>
          <w:tcPr>
            <w:tcW w:w="10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男</w:t>
            </w:r>
          </w:p>
        </w:tc>
        <w:tc>
          <w:tcPr>
            <w:tcW w:w="53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监事会成员</w:t>
            </w:r>
          </w:p>
        </w:tc>
      </w:tr>
      <w:tr>
        <w:tblPrEx>
          <w:tblLayout w:type="fixed"/>
          <w:tblCellMar>
            <w:top w:w="0" w:type="dxa"/>
            <w:left w:w="108" w:type="dxa"/>
            <w:bottom w:w="0" w:type="dxa"/>
            <w:right w:w="108" w:type="dxa"/>
          </w:tblCellMar>
        </w:tblPrEx>
        <w:trPr>
          <w:trHeight w:val="567" w:hRule="atLeast"/>
        </w:trPr>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p>
        </w:tc>
        <w:tc>
          <w:tcPr>
            <w:tcW w:w="1652"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尹</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玉</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光</w:t>
            </w:r>
          </w:p>
        </w:tc>
        <w:tc>
          <w:tcPr>
            <w:tcW w:w="10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男</w:t>
            </w:r>
          </w:p>
        </w:tc>
        <w:tc>
          <w:tcPr>
            <w:tcW w:w="53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监事会成员</w:t>
            </w:r>
          </w:p>
        </w:tc>
      </w:tr>
      <w:tr>
        <w:tblPrEx>
          <w:tblLayout w:type="fixed"/>
          <w:tblCellMar>
            <w:top w:w="0" w:type="dxa"/>
            <w:left w:w="108" w:type="dxa"/>
            <w:bottom w:w="0" w:type="dxa"/>
            <w:right w:w="108" w:type="dxa"/>
          </w:tblCellMar>
        </w:tblPrEx>
        <w:trPr>
          <w:trHeight w:val="567" w:hRule="atLeast"/>
        </w:trPr>
        <w:tc>
          <w:tcPr>
            <w:tcW w:w="105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w:t>
            </w:r>
          </w:p>
        </w:tc>
        <w:tc>
          <w:tcPr>
            <w:tcW w:w="1652" w:type="dxa"/>
            <w:tcBorders>
              <w:top w:val="nil"/>
              <w:left w:val="nil"/>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张</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椿</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砚</w:t>
            </w:r>
          </w:p>
        </w:tc>
        <w:tc>
          <w:tcPr>
            <w:tcW w:w="1050"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女</w:t>
            </w:r>
          </w:p>
        </w:tc>
        <w:tc>
          <w:tcPr>
            <w:tcW w:w="5364"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监事会成员</w:t>
            </w:r>
          </w:p>
        </w:tc>
      </w:tr>
    </w:tbl>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4.3高级管理层</w:t>
      </w:r>
    </w:p>
    <w:tbl>
      <w:tblPr>
        <w:tblStyle w:val="9"/>
        <w:tblW w:w="9173" w:type="dxa"/>
        <w:jc w:val="center"/>
        <w:tblInd w:w="-171" w:type="dxa"/>
        <w:tblLayout w:type="fixed"/>
        <w:tblCellMar>
          <w:top w:w="0" w:type="dxa"/>
          <w:left w:w="108" w:type="dxa"/>
          <w:bottom w:w="0" w:type="dxa"/>
          <w:right w:w="108" w:type="dxa"/>
        </w:tblCellMar>
      </w:tblPr>
      <w:tblGrid>
        <w:gridCol w:w="1060"/>
        <w:gridCol w:w="1542"/>
        <w:gridCol w:w="2043"/>
        <w:gridCol w:w="2906"/>
        <w:gridCol w:w="1622"/>
      </w:tblGrid>
      <w:tr>
        <w:tblPrEx>
          <w:tblLayout w:type="fixed"/>
          <w:tblCellMar>
            <w:top w:w="0" w:type="dxa"/>
            <w:left w:w="108" w:type="dxa"/>
            <w:bottom w:w="0" w:type="dxa"/>
            <w:right w:w="108" w:type="dxa"/>
          </w:tblCellMar>
        </w:tblPrEx>
        <w:trPr>
          <w:trHeight w:val="59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序</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号</w:t>
            </w:r>
          </w:p>
        </w:tc>
        <w:tc>
          <w:tcPr>
            <w:tcW w:w="15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1" w:firstLineChars="100"/>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姓</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名</w:t>
            </w:r>
          </w:p>
        </w:tc>
        <w:tc>
          <w:tcPr>
            <w:tcW w:w="20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left="0" w:leftChars="0" w:right="0" w:firstLine="643" w:firstLineChars="200"/>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性</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别</w:t>
            </w:r>
          </w:p>
        </w:tc>
        <w:tc>
          <w:tcPr>
            <w:tcW w:w="29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职</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务</w:t>
            </w:r>
          </w:p>
        </w:tc>
        <w:tc>
          <w:tcPr>
            <w:tcW w:w="1622" w:type="dxa"/>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bidi w:val="0"/>
              <w:spacing w:line="560" w:lineRule="exact"/>
              <w:ind w:right="0"/>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从业年限</w:t>
            </w:r>
          </w:p>
        </w:tc>
      </w:tr>
      <w:tr>
        <w:tblPrEx>
          <w:tblLayout w:type="fixed"/>
          <w:tblCellMar>
            <w:top w:w="0" w:type="dxa"/>
            <w:left w:w="108" w:type="dxa"/>
            <w:bottom w:w="0" w:type="dxa"/>
            <w:right w:w="108" w:type="dxa"/>
          </w:tblCellMar>
        </w:tblPrEx>
        <w:trPr>
          <w:trHeight w:val="423" w:hRule="atLeast"/>
          <w:jc w:val="center"/>
        </w:trPr>
        <w:tc>
          <w:tcPr>
            <w:tcW w:w="10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p>
        </w:tc>
        <w:tc>
          <w:tcPr>
            <w:tcW w:w="1542"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both"/>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肖</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冬</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禄</w:t>
            </w:r>
          </w:p>
        </w:tc>
        <w:tc>
          <w:tcPr>
            <w:tcW w:w="2043"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left="0" w:leftChars="0" w:right="0" w:firstLine="640" w:firstLineChars="200"/>
              <w:jc w:val="both"/>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男</w:t>
            </w:r>
          </w:p>
        </w:tc>
        <w:tc>
          <w:tcPr>
            <w:tcW w:w="290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行</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长</w:t>
            </w:r>
          </w:p>
        </w:tc>
        <w:tc>
          <w:tcPr>
            <w:tcW w:w="1622"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20</w:t>
            </w:r>
          </w:p>
        </w:tc>
      </w:tr>
      <w:tr>
        <w:tblPrEx>
          <w:tblLayout w:type="fixed"/>
          <w:tblCellMar>
            <w:top w:w="0" w:type="dxa"/>
            <w:left w:w="108" w:type="dxa"/>
            <w:bottom w:w="0" w:type="dxa"/>
            <w:right w:w="108" w:type="dxa"/>
          </w:tblCellMar>
        </w:tblPrEx>
        <w:trPr>
          <w:trHeight w:val="61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p>
        </w:tc>
        <w:tc>
          <w:tcPr>
            <w:tcW w:w="15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黄</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瑞</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林</w:t>
            </w:r>
          </w:p>
        </w:tc>
        <w:tc>
          <w:tcPr>
            <w:tcW w:w="20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left="0" w:leftChars="0" w:right="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男</w:t>
            </w:r>
          </w:p>
        </w:tc>
        <w:tc>
          <w:tcPr>
            <w:tcW w:w="29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副</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行</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长</w:t>
            </w:r>
          </w:p>
        </w:tc>
        <w:tc>
          <w:tcPr>
            <w:tcW w:w="16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26</w:t>
            </w:r>
          </w:p>
        </w:tc>
      </w:tr>
      <w:tr>
        <w:tblPrEx>
          <w:tblLayout w:type="fixed"/>
          <w:tblCellMar>
            <w:top w:w="0" w:type="dxa"/>
            <w:left w:w="108" w:type="dxa"/>
            <w:bottom w:w="0" w:type="dxa"/>
            <w:right w:w="108" w:type="dxa"/>
          </w:tblCellMar>
        </w:tblPrEx>
        <w:trPr>
          <w:trHeight w:val="65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firstLine="320" w:firstLineChars="1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p>
        </w:tc>
        <w:tc>
          <w:tcPr>
            <w:tcW w:w="15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谢</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彦</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琴</w:t>
            </w:r>
          </w:p>
        </w:tc>
        <w:tc>
          <w:tcPr>
            <w:tcW w:w="20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left="0" w:leftChars="0" w:right="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女</w:t>
            </w:r>
          </w:p>
        </w:tc>
        <w:tc>
          <w:tcPr>
            <w:tcW w:w="29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副</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行</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长</w:t>
            </w:r>
          </w:p>
        </w:tc>
        <w:tc>
          <w:tcPr>
            <w:tcW w:w="16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28</w:t>
            </w:r>
          </w:p>
        </w:tc>
      </w:tr>
    </w:tbl>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4.4员工情况</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年末，本行在岗员工</w:t>
      </w:r>
      <w:r>
        <w:rPr>
          <w:rFonts w:hint="eastAsia" w:ascii="仿宋_GB2312" w:hAnsi="仿宋_GB2312" w:eastAsia="仿宋_GB2312" w:cs="仿宋_GB2312"/>
          <w:color w:val="auto"/>
          <w:kern w:val="0"/>
          <w:sz w:val="32"/>
          <w:szCs w:val="32"/>
          <w:highlight w:val="none"/>
          <w:lang w:val="en-US" w:eastAsia="zh-CN"/>
        </w:rPr>
        <w:t>324</w:t>
      </w:r>
      <w:r>
        <w:rPr>
          <w:rFonts w:hint="eastAsia" w:ascii="仿宋_GB2312" w:hAnsi="仿宋_GB2312" w:eastAsia="仿宋_GB2312" w:cs="仿宋_GB2312"/>
          <w:color w:val="auto"/>
          <w:kern w:val="0"/>
          <w:sz w:val="32"/>
          <w:szCs w:val="32"/>
          <w:highlight w:val="none"/>
        </w:rPr>
        <w:t>人。</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4.5董、监、高薪酬情况</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本行董事、监事和高管人员薪酬在省联社核定范围内，与本行经营业绩相适应，符合相关规定。</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五、公司治理结构</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5.1机构设置情况</w:t>
      </w:r>
      <w:bookmarkStart w:id="0" w:name="_GoBack"/>
      <w:bookmarkEnd w:id="0"/>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5.1.1股东大会</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本行制定了《股东大会议事规则》，严格按照《公司法》、《章程》及有关法规召集、召开股东大会，实行律师见证制度，保证了股东依法行使权力。</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5.1.2董事会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董事会由7名董事组成，其中非员工董事5人，独立董事1人，董事会成立以来能够按章办事，认真履职，从宏观上有效构建起农商银行持续快速发展的良好机制和有力支撑。</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5.1.3监事会</w:t>
      </w:r>
    </w:p>
    <w:p>
      <w:pPr>
        <w:keepNext w:val="0"/>
        <w:keepLines w:val="0"/>
        <w:pageBreakBefore w:val="0"/>
        <w:kinsoku/>
        <w:overflowPunct/>
        <w:topLinePunct w:val="0"/>
        <w:bidi w:val="0"/>
        <w:spacing w:line="56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监事会由5名监事组成，其中非员工监事3人，监事会成立以来能积极参政议政，认真履职，有效发挥了长效监督职能,从源头上成功防范了风险。</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5.1.4高级管理层</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本行高级管理层由总行行长、副行长及监管部门认定的其他高级管理人员组成。高级管理层严格执行股东大会、董事会决议，认真执行年度预算，圆满完成年度经营目标。</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5.1.5部门及分支机构情况</w:t>
      </w:r>
    </w:p>
    <w:p>
      <w:pPr>
        <w:keepNext w:val="0"/>
        <w:keepLines w:val="0"/>
        <w:pageBreakBefore w:val="0"/>
        <w:widowControl w:val="0"/>
        <w:tabs>
          <w:tab w:val="left" w:pos="360"/>
        </w:tabs>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本行内设机构有办公室</w:t>
      </w:r>
      <w:r>
        <w:rPr>
          <w:rFonts w:hint="eastAsia" w:ascii="仿宋_GB2312" w:hAnsi="仿宋_GB2312" w:eastAsia="仿宋_GB2312" w:cs="仿宋_GB2312"/>
          <w:color w:val="auto"/>
          <w:sz w:val="32"/>
          <w:szCs w:val="32"/>
          <w:highlight w:val="none"/>
          <w:lang w:val="en-US" w:eastAsia="zh-CN"/>
        </w:rPr>
        <w:t>(含</w:t>
      </w:r>
      <w:r>
        <w:rPr>
          <w:rFonts w:hint="eastAsia" w:ascii="仿宋_GB2312" w:hAnsi="仿宋_GB2312" w:eastAsia="仿宋_GB2312" w:cs="仿宋_GB2312"/>
          <w:color w:val="auto"/>
          <w:sz w:val="32"/>
          <w:szCs w:val="32"/>
          <w:highlight w:val="none"/>
        </w:rPr>
        <w:t>党群工作部</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、人力资源部、党风行风监督室、财务会计部、运营管理部、审计部、风险合规部、科技信息部、业务拓展部、安全保卫部、授信管理部、金融市场部、清收事业部、普惠金融事业部等1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个职能部室及</w:t>
      </w: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个事业部，辖内31个营业网点，其中总行营业部1个，支行30个。</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5.2“三会”召开情况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股东大会：本期共召开</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次股东大会，审议通过了董事会、监事会工作报告、财务预决算方案和利润分配方案等，并对年度工作计划进行了研究部署。会上，各股东代表以主人翁的姿态，纷纷建言献策，畅所欲言，大大增进了农商银行工作的透明度和公信度。</w:t>
      </w:r>
      <w:r>
        <w:rPr>
          <w:rFonts w:hint="eastAsia" w:ascii="仿宋_GB2312" w:hAnsi="仿宋_GB2312" w:eastAsia="仿宋_GB2312" w:cs="仿宋_GB2312"/>
          <w:color w:val="auto"/>
          <w:sz w:val="32"/>
          <w:szCs w:val="32"/>
          <w:highlight w:val="none"/>
          <w:lang w:eastAsia="zh-CN"/>
        </w:rPr>
        <w:t>当日还聘请律师专门组织股东、董事、监事和高管人员进行培训。</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董事会：本期召开董事会</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次，每次董事会均有监事会成员列席，董事会下设的</w:t>
      </w:r>
      <w:r>
        <w:rPr>
          <w:rFonts w:hint="eastAsia" w:ascii="仿宋_GB2312" w:hAnsi="仿宋_GB2312" w:eastAsia="仿宋_GB2312" w:cs="仿宋_GB2312"/>
          <w:color w:val="auto"/>
          <w:kern w:val="0"/>
          <w:sz w:val="32"/>
          <w:szCs w:val="32"/>
          <w:highlight w:val="none"/>
          <w:lang w:val="en-US" w:eastAsia="zh-CN"/>
        </w:rPr>
        <w:t>10</w:t>
      </w:r>
      <w:r>
        <w:rPr>
          <w:rFonts w:hint="eastAsia" w:ascii="仿宋_GB2312" w:hAnsi="仿宋_GB2312" w:eastAsia="仿宋_GB2312" w:cs="仿宋_GB2312"/>
          <w:color w:val="auto"/>
          <w:sz w:val="32"/>
          <w:szCs w:val="32"/>
          <w:highlight w:val="none"/>
        </w:rPr>
        <w:t>个专门委员会均按要求召开会议，并研究落实相关工作，董事会能够按照章程规定，勤勉履职，认真执行股东大会决议。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sz w:val="32"/>
          <w:szCs w:val="32"/>
          <w:highlight w:val="none"/>
        </w:rPr>
        <w:t>监事会：本期共召开监事会</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sz w:val="32"/>
          <w:szCs w:val="32"/>
          <w:highlight w:val="none"/>
        </w:rPr>
        <w:t>次，监事会下设的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专门委员会均按要求召开会议。监事会本着对股东高度负责的态度，按照商业银行的管理标准，对董事会和高级管理层及其成员的履职尽责情况、财务活动、内部控制、风险管理等进行监督，维护股东的合法权益和存款人利益。</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5.3报告期独立董事及工作情况</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告期末，本行独立董事1名，独立董事的人数、构成符合监管要求和《公司章程》规定。报告期内，独立董事能够按照法律、法规和本行章程的要求，忠实履行职责,参加股东会、董事会及专门委员会会议，维护本行和全体股东的权益。工作期间，独立董事能够独立履行职责，不受本行主要股东、实际控制人或者其他与本行存在利害关系的单位或个人的影响，发表独立意见，有效履行职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报告期内，本行独立董事没有对本行董事会会议议案及其他事项提出异议。</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六、股本变动及股东情况</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6.1股东权益变动表</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0" w:firstLineChars="200"/>
        <w:jc w:val="righ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单位：万元</w:t>
      </w:r>
    </w:p>
    <w:tbl>
      <w:tblPr>
        <w:tblStyle w:val="9"/>
        <w:tblW w:w="911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3"/>
        <w:gridCol w:w="2241"/>
        <w:gridCol w:w="2241"/>
        <w:gridCol w:w="20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88"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项</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目</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202</w:t>
            </w:r>
            <w:r>
              <w:rPr>
                <w:rFonts w:hint="eastAsia" w:ascii="仿宋_GB2312" w:hAnsi="仿宋_GB2312" w:eastAsia="仿宋_GB2312" w:cs="仿宋_GB2312"/>
                <w:b/>
                <w:bCs/>
                <w:color w:val="auto"/>
                <w:kern w:val="0"/>
                <w:sz w:val="32"/>
                <w:szCs w:val="32"/>
                <w:highlight w:val="none"/>
                <w:lang w:val="en-US" w:eastAsia="zh-CN"/>
              </w:rPr>
              <w:t>0</w:t>
            </w:r>
            <w:r>
              <w:rPr>
                <w:rFonts w:hint="eastAsia" w:ascii="仿宋_GB2312" w:hAnsi="仿宋_GB2312" w:eastAsia="仿宋_GB2312" w:cs="仿宋_GB2312"/>
                <w:b/>
                <w:bCs/>
                <w:color w:val="auto"/>
                <w:kern w:val="0"/>
                <w:sz w:val="32"/>
                <w:szCs w:val="32"/>
                <w:highlight w:val="none"/>
              </w:rPr>
              <w:t>年末</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本期增加</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20</w:t>
            </w:r>
            <w:r>
              <w:rPr>
                <w:rFonts w:hint="eastAsia" w:ascii="仿宋_GB2312" w:hAnsi="仿宋_GB2312" w:eastAsia="仿宋_GB2312" w:cs="仿宋_GB2312"/>
                <w:b/>
                <w:bCs/>
                <w:color w:val="auto"/>
                <w:kern w:val="0"/>
                <w:sz w:val="32"/>
                <w:szCs w:val="32"/>
                <w:highlight w:val="none"/>
                <w:lang w:val="en-US" w:eastAsia="zh-CN"/>
              </w:rPr>
              <w:t>21</w:t>
            </w:r>
            <w:r>
              <w:rPr>
                <w:rFonts w:hint="eastAsia" w:ascii="仿宋_GB2312" w:hAnsi="仿宋_GB2312" w:eastAsia="仿宋_GB2312" w:cs="仿宋_GB2312"/>
                <w:b/>
                <w:bCs/>
                <w:color w:val="auto"/>
                <w:kern w:val="0"/>
                <w:sz w:val="32"/>
                <w:szCs w:val="32"/>
                <w:highlight w:val="none"/>
              </w:rPr>
              <w:t>年末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股</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本</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31734.02</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1586.71</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33320.73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4"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资本公积</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4453.87</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0</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4453.87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2"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盈余公积</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15682.96</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1235.39</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16918.35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6"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一般风险准备</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20041.6</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3345.78</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23387.38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未分配利润</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7302.53</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379.93</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7682.46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所有者权益合计</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79214.99</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7504.58</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86719.57</w:t>
            </w:r>
          </w:p>
        </w:tc>
      </w:tr>
    </w:tbl>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rPr>
      </w:pP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6.2股东权益变动表</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0" w:firstLineChars="200"/>
        <w:jc w:val="righ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单位：万元 </w:t>
      </w:r>
    </w:p>
    <w:tbl>
      <w:tblPr>
        <w:tblStyle w:val="9"/>
        <w:tblW w:w="9117" w:type="dxa"/>
        <w:jc w:val="center"/>
        <w:tblInd w:w="0" w:type="dxa"/>
        <w:tblLayout w:type="fixed"/>
        <w:tblCellMar>
          <w:top w:w="0" w:type="dxa"/>
          <w:left w:w="108" w:type="dxa"/>
          <w:bottom w:w="0" w:type="dxa"/>
          <w:right w:w="108" w:type="dxa"/>
        </w:tblCellMar>
      </w:tblPr>
      <w:tblGrid>
        <w:gridCol w:w="2615"/>
        <w:gridCol w:w="3415"/>
        <w:gridCol w:w="3087"/>
      </w:tblGrid>
      <w:tr>
        <w:tblPrEx>
          <w:tblLayout w:type="fixed"/>
          <w:tblCellMar>
            <w:top w:w="0" w:type="dxa"/>
            <w:left w:w="108" w:type="dxa"/>
            <w:bottom w:w="0" w:type="dxa"/>
            <w:right w:w="108" w:type="dxa"/>
          </w:tblCellMar>
        </w:tblPrEx>
        <w:trPr>
          <w:trHeight w:val="285" w:hRule="atLeast"/>
          <w:jc w:val="center"/>
        </w:trPr>
        <w:tc>
          <w:tcPr>
            <w:tcW w:w="2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股东类型</w:t>
            </w:r>
          </w:p>
        </w:tc>
        <w:tc>
          <w:tcPr>
            <w:tcW w:w="34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202</w:t>
            </w:r>
            <w:r>
              <w:rPr>
                <w:rFonts w:hint="eastAsia" w:ascii="仿宋_GB2312" w:hAnsi="仿宋_GB2312" w:eastAsia="仿宋_GB2312" w:cs="仿宋_GB2312"/>
                <w:b/>
                <w:bCs/>
                <w:color w:val="auto"/>
                <w:kern w:val="0"/>
                <w:sz w:val="32"/>
                <w:szCs w:val="32"/>
                <w:highlight w:val="none"/>
                <w:lang w:val="en-US" w:eastAsia="zh-CN"/>
              </w:rPr>
              <w:t>1</w:t>
            </w:r>
            <w:r>
              <w:rPr>
                <w:rFonts w:hint="eastAsia" w:ascii="仿宋_GB2312" w:hAnsi="仿宋_GB2312" w:eastAsia="仿宋_GB2312" w:cs="仿宋_GB2312"/>
                <w:b/>
                <w:bCs/>
                <w:color w:val="auto"/>
                <w:kern w:val="0"/>
                <w:sz w:val="32"/>
                <w:szCs w:val="32"/>
                <w:highlight w:val="none"/>
              </w:rPr>
              <w:t>年末股本数</w:t>
            </w:r>
          </w:p>
        </w:tc>
        <w:tc>
          <w:tcPr>
            <w:tcW w:w="30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占总股本比例（%）</w:t>
            </w:r>
          </w:p>
        </w:tc>
      </w:tr>
      <w:tr>
        <w:tblPrEx>
          <w:tblLayout w:type="fixed"/>
          <w:tblCellMar>
            <w:top w:w="0" w:type="dxa"/>
            <w:left w:w="108" w:type="dxa"/>
            <w:bottom w:w="0" w:type="dxa"/>
            <w:right w:w="108" w:type="dxa"/>
          </w:tblCellMar>
        </w:tblPrEx>
        <w:trPr>
          <w:trHeight w:val="285" w:hRule="atLeast"/>
          <w:jc w:val="center"/>
        </w:trPr>
        <w:tc>
          <w:tcPr>
            <w:tcW w:w="26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法人股</w:t>
            </w:r>
          </w:p>
        </w:tc>
        <w:tc>
          <w:tcPr>
            <w:tcW w:w="3415"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14648.53</w:t>
            </w:r>
          </w:p>
        </w:tc>
        <w:tc>
          <w:tcPr>
            <w:tcW w:w="3087"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43.96</w:t>
            </w:r>
          </w:p>
        </w:tc>
      </w:tr>
      <w:tr>
        <w:tblPrEx>
          <w:tblLayout w:type="fixed"/>
          <w:tblCellMar>
            <w:top w:w="0" w:type="dxa"/>
            <w:left w:w="108" w:type="dxa"/>
            <w:bottom w:w="0" w:type="dxa"/>
            <w:right w:w="108" w:type="dxa"/>
          </w:tblCellMar>
        </w:tblPrEx>
        <w:trPr>
          <w:trHeight w:val="285" w:hRule="atLeast"/>
          <w:jc w:val="center"/>
        </w:trPr>
        <w:tc>
          <w:tcPr>
            <w:tcW w:w="26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非职工自然人股</w:t>
            </w:r>
          </w:p>
        </w:tc>
        <w:tc>
          <w:tcPr>
            <w:tcW w:w="3415"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15133.34</w:t>
            </w:r>
          </w:p>
        </w:tc>
        <w:tc>
          <w:tcPr>
            <w:tcW w:w="3087"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45.42</w:t>
            </w:r>
          </w:p>
        </w:tc>
      </w:tr>
      <w:tr>
        <w:tblPrEx>
          <w:tblLayout w:type="fixed"/>
          <w:tblCellMar>
            <w:top w:w="0" w:type="dxa"/>
            <w:left w:w="108" w:type="dxa"/>
            <w:bottom w:w="0" w:type="dxa"/>
            <w:right w:w="108" w:type="dxa"/>
          </w:tblCellMar>
        </w:tblPrEx>
        <w:trPr>
          <w:trHeight w:val="285" w:hRule="atLeast"/>
          <w:jc w:val="center"/>
        </w:trPr>
        <w:tc>
          <w:tcPr>
            <w:tcW w:w="26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职工自然人股</w:t>
            </w:r>
          </w:p>
        </w:tc>
        <w:tc>
          <w:tcPr>
            <w:tcW w:w="3415"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3538.86</w:t>
            </w:r>
          </w:p>
        </w:tc>
        <w:tc>
          <w:tcPr>
            <w:tcW w:w="3087"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10.62</w:t>
            </w:r>
          </w:p>
        </w:tc>
      </w:tr>
    </w:tbl>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b/>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6.3最大十名股东名称及报告期内变动情况</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7360" w:firstLineChars="23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单位：万股</w:t>
      </w:r>
    </w:p>
    <w:tbl>
      <w:tblPr>
        <w:tblStyle w:val="9"/>
        <w:tblW w:w="9117" w:type="dxa"/>
        <w:tblInd w:w="0" w:type="dxa"/>
        <w:tblLayout w:type="fixed"/>
        <w:tblCellMar>
          <w:top w:w="0" w:type="dxa"/>
          <w:left w:w="108" w:type="dxa"/>
          <w:bottom w:w="0" w:type="dxa"/>
          <w:right w:w="108" w:type="dxa"/>
        </w:tblCellMar>
      </w:tblPr>
      <w:tblGrid>
        <w:gridCol w:w="2861"/>
        <w:gridCol w:w="1590"/>
        <w:gridCol w:w="1529"/>
        <w:gridCol w:w="1590"/>
        <w:gridCol w:w="1547"/>
      </w:tblGrid>
      <w:tr>
        <w:tblPrEx>
          <w:tblLayout w:type="fixed"/>
          <w:tblCellMar>
            <w:top w:w="0" w:type="dxa"/>
            <w:left w:w="108" w:type="dxa"/>
            <w:bottom w:w="0" w:type="dxa"/>
            <w:right w:w="108" w:type="dxa"/>
          </w:tblCellMar>
        </w:tblPrEx>
        <w:trPr>
          <w:trHeight w:val="780" w:hRule="atLeast"/>
        </w:trPr>
        <w:tc>
          <w:tcPr>
            <w:tcW w:w="28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股东名称</w:t>
            </w:r>
          </w:p>
        </w:tc>
        <w:tc>
          <w:tcPr>
            <w:tcW w:w="15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期初持股数额</w:t>
            </w:r>
          </w:p>
        </w:tc>
        <w:tc>
          <w:tcPr>
            <w:tcW w:w="15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本期增减变动</w:t>
            </w:r>
          </w:p>
        </w:tc>
        <w:tc>
          <w:tcPr>
            <w:tcW w:w="15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期末持股数额</w:t>
            </w:r>
          </w:p>
        </w:tc>
        <w:tc>
          <w:tcPr>
            <w:tcW w:w="15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持股比例（%）</w:t>
            </w:r>
          </w:p>
        </w:tc>
      </w:tr>
      <w:tr>
        <w:tblPrEx>
          <w:tblLayout w:type="fixed"/>
          <w:tblCellMar>
            <w:top w:w="0" w:type="dxa"/>
            <w:left w:w="108" w:type="dxa"/>
            <w:bottom w:w="0" w:type="dxa"/>
            <w:right w:w="108" w:type="dxa"/>
          </w:tblCellMar>
        </w:tblPrEx>
        <w:trPr>
          <w:trHeight w:val="750" w:hRule="atLeast"/>
        </w:trPr>
        <w:tc>
          <w:tcPr>
            <w:tcW w:w="28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江西于都农村商业银行股份有限公司</w:t>
            </w: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1752.06</w:t>
            </w:r>
          </w:p>
        </w:tc>
        <w:tc>
          <w:tcPr>
            <w:tcW w:w="15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87.61</w:t>
            </w: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1839.67</w:t>
            </w:r>
          </w:p>
        </w:tc>
        <w:tc>
          <w:tcPr>
            <w:tcW w:w="15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5.52</w:t>
            </w:r>
          </w:p>
        </w:tc>
      </w:tr>
      <w:tr>
        <w:tblPrEx>
          <w:tblLayout w:type="fixed"/>
          <w:tblCellMar>
            <w:top w:w="0" w:type="dxa"/>
            <w:left w:w="108" w:type="dxa"/>
            <w:bottom w:w="0" w:type="dxa"/>
            <w:right w:w="108" w:type="dxa"/>
          </w:tblCellMar>
        </w:tblPrEx>
        <w:trPr>
          <w:trHeight w:val="750" w:hRule="atLeast"/>
        </w:trPr>
        <w:tc>
          <w:tcPr>
            <w:tcW w:w="28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江西寻乌农村商业银行股份有限公司</w:t>
            </w: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1690.95</w:t>
            </w:r>
          </w:p>
        </w:tc>
        <w:tc>
          <w:tcPr>
            <w:tcW w:w="15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84.55</w:t>
            </w: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1775.5</w:t>
            </w:r>
          </w:p>
        </w:tc>
        <w:tc>
          <w:tcPr>
            <w:tcW w:w="15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5.33</w:t>
            </w:r>
          </w:p>
        </w:tc>
      </w:tr>
      <w:tr>
        <w:tblPrEx>
          <w:tblLayout w:type="fixed"/>
          <w:tblCellMar>
            <w:top w:w="0" w:type="dxa"/>
            <w:left w:w="108" w:type="dxa"/>
            <w:bottom w:w="0" w:type="dxa"/>
            <w:right w:w="108" w:type="dxa"/>
          </w:tblCellMar>
        </w:tblPrEx>
        <w:trPr>
          <w:trHeight w:val="750" w:hRule="atLeast"/>
        </w:trPr>
        <w:tc>
          <w:tcPr>
            <w:tcW w:w="28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江西兴国农村商业银行股份有限公司</w:t>
            </w:r>
          </w:p>
        </w:tc>
        <w:tc>
          <w:tcPr>
            <w:tcW w:w="15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1575.22</w:t>
            </w:r>
          </w:p>
        </w:tc>
        <w:tc>
          <w:tcPr>
            <w:tcW w:w="15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78.76</w:t>
            </w:r>
          </w:p>
        </w:tc>
        <w:tc>
          <w:tcPr>
            <w:tcW w:w="15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1653.98</w:t>
            </w:r>
          </w:p>
        </w:tc>
        <w:tc>
          <w:tcPr>
            <w:tcW w:w="15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4.96</w:t>
            </w:r>
          </w:p>
        </w:tc>
      </w:tr>
      <w:tr>
        <w:tblPrEx>
          <w:tblLayout w:type="fixed"/>
          <w:tblCellMar>
            <w:top w:w="0" w:type="dxa"/>
            <w:left w:w="108" w:type="dxa"/>
            <w:bottom w:w="0" w:type="dxa"/>
            <w:right w:w="108" w:type="dxa"/>
          </w:tblCellMar>
        </w:tblPrEx>
        <w:trPr>
          <w:trHeight w:val="750" w:hRule="atLeast"/>
        </w:trPr>
        <w:tc>
          <w:tcPr>
            <w:tcW w:w="28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赣州市永莱宝高新材料有限公司</w:t>
            </w: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1575</w:t>
            </w:r>
          </w:p>
        </w:tc>
        <w:tc>
          <w:tcPr>
            <w:tcW w:w="15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78.75</w:t>
            </w: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1653.75</w:t>
            </w:r>
          </w:p>
        </w:tc>
        <w:tc>
          <w:tcPr>
            <w:tcW w:w="15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4.96</w:t>
            </w:r>
          </w:p>
        </w:tc>
      </w:tr>
      <w:tr>
        <w:tblPrEx>
          <w:tblLayout w:type="fixed"/>
          <w:tblCellMar>
            <w:top w:w="0" w:type="dxa"/>
            <w:left w:w="108" w:type="dxa"/>
            <w:bottom w:w="0" w:type="dxa"/>
            <w:right w:w="108" w:type="dxa"/>
          </w:tblCellMar>
        </w:tblPrEx>
        <w:trPr>
          <w:trHeight w:val="750" w:hRule="atLeast"/>
        </w:trPr>
        <w:tc>
          <w:tcPr>
            <w:tcW w:w="28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江西瑞金农村商业银行股份有限公司</w:t>
            </w: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1138.67</w:t>
            </w:r>
          </w:p>
        </w:tc>
        <w:tc>
          <w:tcPr>
            <w:tcW w:w="15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56.93</w:t>
            </w: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1195.6</w:t>
            </w:r>
          </w:p>
        </w:tc>
        <w:tc>
          <w:tcPr>
            <w:tcW w:w="15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3.59</w:t>
            </w:r>
          </w:p>
        </w:tc>
      </w:tr>
      <w:tr>
        <w:tblPrEx>
          <w:tblLayout w:type="fixed"/>
          <w:tblCellMar>
            <w:top w:w="0" w:type="dxa"/>
            <w:left w:w="108" w:type="dxa"/>
            <w:bottom w:w="0" w:type="dxa"/>
            <w:right w:w="108" w:type="dxa"/>
          </w:tblCellMar>
        </w:tblPrEx>
        <w:trPr>
          <w:trHeight w:val="960" w:hRule="atLeast"/>
        </w:trPr>
        <w:tc>
          <w:tcPr>
            <w:tcW w:w="28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赣州市汉星汽车贸易有限公司</w:t>
            </w: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998.59</w:t>
            </w:r>
          </w:p>
        </w:tc>
        <w:tc>
          <w:tcPr>
            <w:tcW w:w="15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49.93</w:t>
            </w: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1048.52</w:t>
            </w:r>
          </w:p>
        </w:tc>
        <w:tc>
          <w:tcPr>
            <w:tcW w:w="15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3.15</w:t>
            </w:r>
          </w:p>
        </w:tc>
      </w:tr>
      <w:tr>
        <w:tblPrEx>
          <w:tblLayout w:type="fixed"/>
          <w:tblCellMar>
            <w:top w:w="0" w:type="dxa"/>
            <w:left w:w="108" w:type="dxa"/>
            <w:bottom w:w="0" w:type="dxa"/>
            <w:right w:w="108" w:type="dxa"/>
          </w:tblCellMar>
        </w:tblPrEx>
        <w:trPr>
          <w:trHeight w:val="1047" w:hRule="atLeast"/>
        </w:trPr>
        <w:tc>
          <w:tcPr>
            <w:tcW w:w="28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龙南</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恒泰实业有限公司</w:t>
            </w: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998.59</w:t>
            </w:r>
          </w:p>
        </w:tc>
        <w:tc>
          <w:tcPr>
            <w:tcW w:w="15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49.93</w:t>
            </w: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1048.52</w:t>
            </w:r>
          </w:p>
        </w:tc>
        <w:tc>
          <w:tcPr>
            <w:tcW w:w="15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3.15</w:t>
            </w:r>
          </w:p>
        </w:tc>
      </w:tr>
      <w:tr>
        <w:tblPrEx>
          <w:tblLayout w:type="fixed"/>
          <w:tblCellMar>
            <w:top w:w="0" w:type="dxa"/>
            <w:left w:w="108" w:type="dxa"/>
            <w:bottom w:w="0" w:type="dxa"/>
            <w:right w:w="108" w:type="dxa"/>
          </w:tblCellMar>
        </w:tblPrEx>
        <w:trPr>
          <w:trHeight w:val="750" w:hRule="atLeast"/>
        </w:trPr>
        <w:tc>
          <w:tcPr>
            <w:tcW w:w="28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江西宁都农村商业银行股份有限公司</w:t>
            </w:r>
          </w:p>
        </w:tc>
        <w:tc>
          <w:tcPr>
            <w:tcW w:w="15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840.05</w:t>
            </w:r>
          </w:p>
        </w:tc>
        <w:tc>
          <w:tcPr>
            <w:tcW w:w="15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42.01</w:t>
            </w:r>
          </w:p>
        </w:tc>
        <w:tc>
          <w:tcPr>
            <w:tcW w:w="15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882.06</w:t>
            </w:r>
          </w:p>
        </w:tc>
        <w:tc>
          <w:tcPr>
            <w:tcW w:w="15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2.65</w:t>
            </w:r>
          </w:p>
        </w:tc>
      </w:tr>
      <w:tr>
        <w:tblPrEx>
          <w:tblLayout w:type="fixed"/>
          <w:tblCellMar>
            <w:top w:w="0" w:type="dxa"/>
            <w:left w:w="108" w:type="dxa"/>
            <w:bottom w:w="0" w:type="dxa"/>
            <w:right w:w="108" w:type="dxa"/>
          </w:tblCellMar>
        </w:tblPrEx>
        <w:trPr>
          <w:trHeight w:val="750" w:hRule="atLeast"/>
        </w:trPr>
        <w:tc>
          <w:tcPr>
            <w:tcW w:w="28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江西上犹农村商业银行股份有限公司</w:t>
            </w: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832.16</w:t>
            </w:r>
          </w:p>
        </w:tc>
        <w:tc>
          <w:tcPr>
            <w:tcW w:w="15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41.61</w:t>
            </w: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873.77</w:t>
            </w:r>
          </w:p>
        </w:tc>
        <w:tc>
          <w:tcPr>
            <w:tcW w:w="15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2.62</w:t>
            </w:r>
          </w:p>
        </w:tc>
      </w:tr>
      <w:tr>
        <w:tblPrEx>
          <w:tblLayout w:type="fixed"/>
          <w:tblCellMar>
            <w:top w:w="0" w:type="dxa"/>
            <w:left w:w="108" w:type="dxa"/>
            <w:bottom w:w="0" w:type="dxa"/>
            <w:right w:w="108" w:type="dxa"/>
          </w:tblCellMar>
        </w:tblPrEx>
        <w:trPr>
          <w:trHeight w:val="750" w:hRule="atLeast"/>
        </w:trPr>
        <w:tc>
          <w:tcPr>
            <w:tcW w:w="28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江西宝宝仔饲料有限公司</w:t>
            </w: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515.4</w:t>
            </w:r>
          </w:p>
        </w:tc>
        <w:tc>
          <w:tcPr>
            <w:tcW w:w="15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25.77</w:t>
            </w: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541.17</w:t>
            </w:r>
          </w:p>
        </w:tc>
        <w:tc>
          <w:tcPr>
            <w:tcW w:w="15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1.62</w:t>
            </w:r>
          </w:p>
        </w:tc>
      </w:tr>
    </w:tbl>
    <w:p>
      <w:pPr>
        <w:keepNext w:val="0"/>
        <w:keepLines w:val="0"/>
        <w:pageBreakBefore w:val="0"/>
        <w:widowControl/>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6.4报告期末主要股东及其控股股东、实际控制人、关联方、一致行动人、最终受益人情况</w:t>
      </w:r>
    </w:p>
    <w:tbl>
      <w:tblPr>
        <w:tblStyle w:val="9"/>
        <w:tblW w:w="9127" w:type="dxa"/>
        <w:jc w:val="center"/>
        <w:tblInd w:w="0" w:type="dxa"/>
        <w:tblLayout w:type="fixed"/>
        <w:tblCellMar>
          <w:top w:w="0" w:type="dxa"/>
          <w:left w:w="108" w:type="dxa"/>
          <w:bottom w:w="0" w:type="dxa"/>
          <w:right w:w="108" w:type="dxa"/>
        </w:tblCellMar>
      </w:tblPr>
      <w:tblGrid>
        <w:gridCol w:w="3787"/>
        <w:gridCol w:w="1767"/>
        <w:gridCol w:w="3573"/>
      </w:tblGrid>
      <w:tr>
        <w:tblPrEx>
          <w:tblLayout w:type="fixed"/>
          <w:tblCellMar>
            <w:top w:w="0" w:type="dxa"/>
            <w:left w:w="108" w:type="dxa"/>
            <w:bottom w:w="0" w:type="dxa"/>
            <w:right w:w="108" w:type="dxa"/>
          </w:tblCellMar>
        </w:tblPrEx>
        <w:trPr>
          <w:trHeight w:val="390" w:hRule="atLeast"/>
          <w:jc w:val="center"/>
        </w:trPr>
        <w:tc>
          <w:tcPr>
            <w:tcW w:w="3787" w:type="dxa"/>
            <w:tcBorders>
              <w:top w:val="nil"/>
              <w:left w:val="nil"/>
              <w:bottom w:val="nil"/>
              <w:right w:val="nil"/>
            </w:tcBorders>
            <w:shd w:val="clear" w:color="auto" w:fill="auto"/>
            <w:vAlign w:val="center"/>
          </w:tcPr>
          <w:p>
            <w:pPr>
              <w:keepNext w:val="0"/>
              <w:keepLines w:val="0"/>
              <w:pageBreakBefore w:val="0"/>
              <w:widowControl/>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p>
        </w:tc>
        <w:tc>
          <w:tcPr>
            <w:tcW w:w="1767" w:type="dxa"/>
            <w:tcBorders>
              <w:top w:val="nil"/>
              <w:left w:val="nil"/>
              <w:bottom w:val="nil"/>
              <w:right w:val="nil"/>
            </w:tcBorders>
            <w:shd w:val="clear" w:color="auto" w:fill="auto"/>
            <w:vAlign w:val="center"/>
          </w:tcPr>
          <w:p>
            <w:pPr>
              <w:keepNext w:val="0"/>
              <w:keepLines w:val="0"/>
              <w:pageBreakBefore w:val="0"/>
              <w:widowControl/>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p>
        </w:tc>
        <w:tc>
          <w:tcPr>
            <w:tcW w:w="3573" w:type="dxa"/>
            <w:tcBorders>
              <w:top w:val="nil"/>
              <w:left w:val="nil"/>
              <w:bottom w:val="nil"/>
              <w:right w:val="nil"/>
            </w:tcBorders>
            <w:shd w:val="clear" w:color="auto" w:fill="auto"/>
            <w:vAlign w:val="center"/>
          </w:tcPr>
          <w:p>
            <w:pPr>
              <w:keepNext w:val="0"/>
              <w:keepLines w:val="0"/>
              <w:pageBreakBefore w:val="0"/>
              <w:widowControl/>
              <w:kinsoku/>
              <w:overflowPunct/>
              <w:topLinePunct w:val="0"/>
              <w:bidi w:val="0"/>
              <w:spacing w:line="560" w:lineRule="exact"/>
              <w:ind w:left="0" w:leftChars="0" w:right="0" w:firstLine="640" w:firstLineChars="200"/>
              <w:jc w:val="righ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单位：万股</w:t>
            </w:r>
          </w:p>
        </w:tc>
      </w:tr>
      <w:tr>
        <w:tblPrEx>
          <w:tblLayout w:type="fixed"/>
          <w:tblCellMar>
            <w:top w:w="0" w:type="dxa"/>
            <w:left w:w="108" w:type="dxa"/>
            <w:bottom w:w="0" w:type="dxa"/>
            <w:right w:w="108" w:type="dxa"/>
          </w:tblCellMar>
        </w:tblPrEx>
        <w:trPr>
          <w:trHeight w:val="973" w:hRule="atLeast"/>
          <w:jc w:val="center"/>
        </w:trPr>
        <w:tc>
          <w:tcPr>
            <w:tcW w:w="3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主要股东</w:t>
            </w:r>
          </w:p>
        </w:tc>
        <w:tc>
          <w:tcPr>
            <w:tcW w:w="176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持股份额</w:t>
            </w:r>
          </w:p>
        </w:tc>
        <w:tc>
          <w:tcPr>
            <w:tcW w:w="357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实际控制人</w:t>
            </w:r>
          </w:p>
        </w:tc>
      </w:tr>
      <w:tr>
        <w:tblPrEx>
          <w:tblLayout w:type="fixed"/>
          <w:tblCellMar>
            <w:top w:w="0" w:type="dxa"/>
            <w:left w:w="108" w:type="dxa"/>
            <w:bottom w:w="0" w:type="dxa"/>
            <w:right w:w="108" w:type="dxa"/>
          </w:tblCellMar>
        </w:tblPrEx>
        <w:trPr>
          <w:trHeight w:val="450" w:hRule="atLeast"/>
          <w:jc w:val="center"/>
        </w:trPr>
        <w:tc>
          <w:tcPr>
            <w:tcW w:w="378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江西于都农村商业银行股份有限公司</w:t>
            </w:r>
          </w:p>
        </w:tc>
        <w:tc>
          <w:tcPr>
            <w:tcW w:w="17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1839.67</w:t>
            </w:r>
          </w:p>
        </w:tc>
        <w:tc>
          <w:tcPr>
            <w:tcW w:w="35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江西于都农村商业银行股份有限公司</w:t>
            </w:r>
          </w:p>
        </w:tc>
      </w:tr>
      <w:tr>
        <w:tblPrEx>
          <w:tblLayout w:type="fixed"/>
          <w:tblCellMar>
            <w:top w:w="0" w:type="dxa"/>
            <w:left w:w="108" w:type="dxa"/>
            <w:bottom w:w="0" w:type="dxa"/>
            <w:right w:w="108" w:type="dxa"/>
          </w:tblCellMar>
        </w:tblPrEx>
        <w:trPr>
          <w:trHeight w:val="450" w:hRule="atLeast"/>
          <w:jc w:val="center"/>
        </w:trPr>
        <w:tc>
          <w:tcPr>
            <w:tcW w:w="3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江西寻乌农村商业银行股份有限公司</w:t>
            </w:r>
          </w:p>
        </w:tc>
        <w:tc>
          <w:tcPr>
            <w:tcW w:w="176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1775.5</w:t>
            </w:r>
          </w:p>
        </w:tc>
        <w:tc>
          <w:tcPr>
            <w:tcW w:w="357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江西寻乌农村商业银行股份有限公司</w:t>
            </w:r>
          </w:p>
        </w:tc>
      </w:tr>
    </w:tbl>
    <w:p>
      <w:pPr>
        <w:pStyle w:val="7"/>
        <w:keepNext w:val="0"/>
        <w:keepLines w:val="0"/>
        <w:pageBreakBefore w:val="0"/>
        <w:widowControl/>
        <w:shd w:val="clear" w:color="auto" w:fill="FFFFFF"/>
        <w:kinsoku/>
        <w:overflowPunct/>
        <w:topLinePunct w:val="0"/>
        <w:bidi w:val="0"/>
        <w:spacing w:line="560" w:lineRule="exact"/>
        <w:ind w:left="0" w:leftChars="0" w:right="0" w:firstLine="643" w:firstLineChars="200"/>
        <w:rPr>
          <w:rFonts w:hint="eastAsia" w:ascii="仿宋_GB2312" w:hAnsi="仿宋_GB2312" w:eastAsia="仿宋_GB2312" w:cs="仿宋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6.5报告期内与主要股东及其控股股东、实际控制人、关联方、一致行动人、最终受益人关联交易情况</w:t>
      </w:r>
    </w:p>
    <w:p>
      <w:pPr>
        <w:pStyle w:val="7"/>
        <w:keepNext w:val="0"/>
        <w:keepLines w:val="0"/>
        <w:pageBreakBefore w:val="0"/>
        <w:widowControl/>
        <w:shd w:val="clear" w:color="auto" w:fill="FFFFFF"/>
        <w:kinsoku/>
        <w:overflowPunct/>
        <w:topLinePunct w:val="0"/>
        <w:bidi w:val="0"/>
        <w:spacing w:line="560" w:lineRule="exact"/>
        <w:ind w:left="0" w:leftChars="0" w:right="0" w:firstLine="640" w:firstLineChars="200"/>
        <w:jc w:val="right"/>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color w:val="auto"/>
          <w:kern w:val="0"/>
          <w:sz w:val="32"/>
          <w:szCs w:val="32"/>
          <w:highlight w:val="none"/>
        </w:rPr>
        <w:t>单位：万元</w:t>
      </w:r>
    </w:p>
    <w:tbl>
      <w:tblPr>
        <w:tblStyle w:val="9"/>
        <w:tblW w:w="9117" w:type="dxa"/>
        <w:jc w:val="center"/>
        <w:tblInd w:w="0" w:type="dxa"/>
        <w:tblLayout w:type="fixed"/>
        <w:tblCellMar>
          <w:top w:w="0" w:type="dxa"/>
          <w:left w:w="108" w:type="dxa"/>
          <w:bottom w:w="0" w:type="dxa"/>
          <w:right w:w="108" w:type="dxa"/>
        </w:tblCellMar>
      </w:tblPr>
      <w:tblGrid>
        <w:gridCol w:w="3039"/>
        <w:gridCol w:w="4056"/>
        <w:gridCol w:w="2022"/>
      </w:tblGrid>
      <w:tr>
        <w:tblPrEx>
          <w:tblLayout w:type="fixed"/>
          <w:tblCellMar>
            <w:top w:w="0" w:type="dxa"/>
            <w:left w:w="108" w:type="dxa"/>
            <w:bottom w:w="0" w:type="dxa"/>
            <w:right w:w="108" w:type="dxa"/>
          </w:tblCellMar>
        </w:tblPrEx>
        <w:trPr>
          <w:trHeight w:val="1255" w:hRule="atLeast"/>
          <w:jc w:val="center"/>
        </w:trPr>
        <w:tc>
          <w:tcPr>
            <w:tcW w:w="3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主要股东</w:t>
            </w:r>
          </w:p>
        </w:tc>
        <w:tc>
          <w:tcPr>
            <w:tcW w:w="40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对该主要股东所在集团内单个主体的最高授信余额</w:t>
            </w:r>
          </w:p>
        </w:tc>
        <w:tc>
          <w:tcPr>
            <w:tcW w:w="20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对该集团合计授信余额</w:t>
            </w:r>
          </w:p>
        </w:tc>
      </w:tr>
      <w:tr>
        <w:tblPrEx>
          <w:tblLayout w:type="fixed"/>
          <w:tblCellMar>
            <w:top w:w="0" w:type="dxa"/>
            <w:left w:w="108" w:type="dxa"/>
            <w:bottom w:w="0" w:type="dxa"/>
            <w:right w:w="108" w:type="dxa"/>
          </w:tblCellMar>
        </w:tblPrEx>
        <w:trPr>
          <w:trHeight w:val="465" w:hRule="atLeast"/>
          <w:jc w:val="center"/>
        </w:trPr>
        <w:tc>
          <w:tcPr>
            <w:tcW w:w="303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江西于都农村商业银行股份有限公司</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0</w:t>
            </w:r>
          </w:p>
        </w:tc>
        <w:tc>
          <w:tcPr>
            <w:tcW w:w="20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0</w:t>
            </w:r>
          </w:p>
        </w:tc>
      </w:tr>
      <w:tr>
        <w:tblPrEx>
          <w:tblLayout w:type="fixed"/>
          <w:tblCellMar>
            <w:top w:w="0" w:type="dxa"/>
            <w:left w:w="108" w:type="dxa"/>
            <w:bottom w:w="0" w:type="dxa"/>
            <w:right w:w="108" w:type="dxa"/>
          </w:tblCellMar>
        </w:tblPrEx>
        <w:trPr>
          <w:trHeight w:val="96" w:hRule="atLeast"/>
          <w:jc w:val="center"/>
        </w:trPr>
        <w:tc>
          <w:tcPr>
            <w:tcW w:w="303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江西寻乌农村商业银行股份有限公司</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0</w:t>
            </w:r>
          </w:p>
        </w:tc>
        <w:tc>
          <w:tcPr>
            <w:tcW w:w="20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0</w:t>
            </w:r>
          </w:p>
        </w:tc>
      </w:tr>
    </w:tbl>
    <w:p>
      <w:pPr>
        <w:pStyle w:val="7"/>
        <w:keepNext w:val="0"/>
        <w:keepLines w:val="0"/>
        <w:pageBreakBefore w:val="0"/>
        <w:widowControl/>
        <w:shd w:val="clear" w:color="auto" w:fill="FFFFFF"/>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6.6股权出质情况</w:t>
      </w:r>
    </w:p>
    <w:p>
      <w:pPr>
        <w:pStyle w:val="7"/>
        <w:keepNext w:val="0"/>
        <w:keepLines w:val="0"/>
        <w:pageBreakBefore w:val="0"/>
        <w:widowControl/>
        <w:shd w:val="clear" w:color="auto" w:fill="FFFFFF"/>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6.6.1股权出质基本情况</w:t>
      </w:r>
    </w:p>
    <w:p>
      <w:pPr>
        <w:pStyle w:val="7"/>
        <w:keepNext w:val="0"/>
        <w:keepLines w:val="0"/>
        <w:pageBreakBefore w:val="0"/>
        <w:widowControl/>
        <w:shd w:val="clear" w:color="auto" w:fill="FFFFFF"/>
        <w:kinsoku/>
        <w:overflowPunct/>
        <w:topLinePunct w:val="0"/>
        <w:bidi w:val="0"/>
        <w:spacing w:line="56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年末出质股东户数</w:t>
      </w:r>
      <w:r>
        <w:rPr>
          <w:rFonts w:hint="eastAsia" w:ascii="仿宋_GB2312" w:hAnsi="仿宋_GB2312" w:eastAsia="仿宋_GB2312" w:cs="仿宋_GB2312"/>
          <w:color w:val="auto"/>
          <w:kern w:val="0"/>
          <w:sz w:val="32"/>
          <w:szCs w:val="32"/>
          <w:highlight w:val="none"/>
          <w:lang w:val="en-US" w:eastAsia="zh-CN"/>
        </w:rPr>
        <w:t>90</w:t>
      </w:r>
      <w:r>
        <w:rPr>
          <w:rFonts w:hint="eastAsia" w:ascii="仿宋_GB2312" w:hAnsi="仿宋_GB2312" w:eastAsia="仿宋_GB2312" w:cs="仿宋_GB2312"/>
          <w:color w:val="auto"/>
          <w:sz w:val="32"/>
          <w:szCs w:val="32"/>
          <w:highlight w:val="none"/>
        </w:rPr>
        <w:t>户，占本行股东总户数的</w:t>
      </w:r>
      <w:r>
        <w:rPr>
          <w:rFonts w:hint="eastAsia" w:ascii="仿宋_GB2312" w:hAnsi="仿宋_GB2312" w:eastAsia="仿宋_GB2312" w:cs="仿宋_GB2312"/>
          <w:color w:val="auto"/>
          <w:kern w:val="0"/>
          <w:sz w:val="32"/>
          <w:szCs w:val="32"/>
          <w:highlight w:val="none"/>
          <w:lang w:val="en-US" w:eastAsia="zh-CN"/>
        </w:rPr>
        <w:t>6.72</w:t>
      </w:r>
      <w:r>
        <w:rPr>
          <w:rFonts w:hint="eastAsia" w:ascii="仿宋_GB2312" w:hAnsi="仿宋_GB2312" w:eastAsia="仿宋_GB2312" w:cs="仿宋_GB2312"/>
          <w:color w:val="auto"/>
          <w:sz w:val="32"/>
          <w:szCs w:val="32"/>
          <w:highlight w:val="none"/>
        </w:rPr>
        <w:t>%，已出质股金金额</w:t>
      </w:r>
      <w:r>
        <w:rPr>
          <w:rFonts w:hint="eastAsia" w:ascii="仿宋_GB2312" w:hAnsi="仿宋_GB2312" w:eastAsia="仿宋_GB2312" w:cs="仿宋_GB2312"/>
          <w:color w:val="auto"/>
          <w:kern w:val="0"/>
          <w:sz w:val="32"/>
          <w:szCs w:val="32"/>
          <w:highlight w:val="none"/>
          <w:lang w:val="en-US" w:eastAsia="zh-CN"/>
        </w:rPr>
        <w:t>5548.16</w:t>
      </w:r>
      <w:r>
        <w:rPr>
          <w:rFonts w:hint="eastAsia" w:ascii="仿宋_GB2312" w:hAnsi="仿宋_GB2312" w:eastAsia="仿宋_GB2312" w:cs="仿宋_GB2312"/>
          <w:color w:val="auto"/>
          <w:sz w:val="32"/>
          <w:szCs w:val="32"/>
          <w:highlight w:val="none"/>
        </w:rPr>
        <w:t>万元，占本行股本总额的</w:t>
      </w:r>
      <w:r>
        <w:rPr>
          <w:rFonts w:hint="eastAsia" w:ascii="仿宋_GB2312" w:hAnsi="仿宋_GB2312" w:eastAsia="仿宋_GB2312" w:cs="仿宋_GB2312"/>
          <w:color w:val="auto"/>
          <w:kern w:val="0"/>
          <w:sz w:val="32"/>
          <w:szCs w:val="32"/>
          <w:highlight w:val="none"/>
          <w:lang w:val="en-US" w:eastAsia="zh-CN"/>
        </w:rPr>
        <w:t>16.65</w:t>
      </w:r>
      <w:r>
        <w:rPr>
          <w:rFonts w:hint="eastAsia" w:ascii="仿宋_GB2312" w:hAnsi="仿宋_GB2312" w:eastAsia="仿宋_GB2312" w:cs="仿宋_GB2312"/>
          <w:color w:val="auto"/>
          <w:sz w:val="32"/>
          <w:szCs w:val="32"/>
          <w:highlight w:val="none"/>
        </w:rPr>
        <w:t>%；其中以股权质押反担保方式出质户数为</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sz w:val="32"/>
          <w:szCs w:val="32"/>
          <w:highlight w:val="none"/>
        </w:rPr>
        <w:t>户、金额</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sz w:val="32"/>
          <w:szCs w:val="32"/>
          <w:highlight w:val="none"/>
        </w:rPr>
        <w:t>万元，在其他农商银行出质</w:t>
      </w:r>
      <w:r>
        <w:rPr>
          <w:rFonts w:hint="eastAsia" w:ascii="仿宋_GB2312" w:hAnsi="仿宋_GB2312" w:eastAsia="仿宋_GB2312" w:cs="仿宋_GB2312"/>
          <w:color w:val="auto"/>
          <w:kern w:val="0"/>
          <w:sz w:val="32"/>
          <w:szCs w:val="32"/>
          <w:highlight w:val="none"/>
          <w:lang w:val="en-US" w:eastAsia="zh-CN"/>
        </w:rPr>
        <w:t>90</w:t>
      </w:r>
      <w:r>
        <w:rPr>
          <w:rFonts w:hint="eastAsia" w:ascii="仿宋_GB2312" w:hAnsi="仿宋_GB2312" w:eastAsia="仿宋_GB2312" w:cs="仿宋_GB2312"/>
          <w:color w:val="auto"/>
          <w:sz w:val="32"/>
          <w:szCs w:val="32"/>
          <w:highlight w:val="none"/>
        </w:rPr>
        <w:t>户、金额</w:t>
      </w:r>
      <w:r>
        <w:rPr>
          <w:rFonts w:hint="eastAsia" w:ascii="仿宋_GB2312" w:hAnsi="仿宋_GB2312" w:eastAsia="仿宋_GB2312" w:cs="仿宋_GB2312"/>
          <w:color w:val="auto"/>
          <w:kern w:val="0"/>
          <w:sz w:val="32"/>
          <w:szCs w:val="32"/>
          <w:highlight w:val="none"/>
          <w:lang w:val="en-US" w:eastAsia="zh-CN"/>
        </w:rPr>
        <w:t>5548.16</w:t>
      </w:r>
      <w:r>
        <w:rPr>
          <w:rFonts w:hint="eastAsia" w:ascii="仿宋_GB2312" w:hAnsi="仿宋_GB2312" w:eastAsia="仿宋_GB2312" w:cs="仿宋_GB2312"/>
          <w:color w:val="auto"/>
          <w:sz w:val="32"/>
          <w:szCs w:val="32"/>
          <w:highlight w:val="none"/>
        </w:rPr>
        <w:t>元，无在其他银行出质情况。</w:t>
      </w:r>
    </w:p>
    <w:p>
      <w:pPr>
        <w:pStyle w:val="7"/>
        <w:keepNext w:val="0"/>
        <w:keepLines w:val="0"/>
        <w:pageBreakBefore w:val="0"/>
        <w:widowControl/>
        <w:shd w:val="clear" w:color="auto" w:fill="FFFFFF"/>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6.6.2主要股东出质股权情况</w:t>
      </w:r>
    </w:p>
    <w:p>
      <w:pPr>
        <w:pStyle w:val="7"/>
        <w:keepNext w:val="0"/>
        <w:keepLines w:val="0"/>
        <w:pageBreakBefore w:val="0"/>
        <w:widowControl/>
        <w:shd w:val="clear" w:color="auto" w:fill="FFFFFF"/>
        <w:kinsoku/>
        <w:overflowPunct/>
        <w:topLinePunct w:val="0"/>
        <w:bidi w:val="0"/>
        <w:spacing w:line="560" w:lineRule="exact"/>
        <w:ind w:left="0" w:leftChars="0" w:right="0" w:firstLine="640" w:firstLineChars="200"/>
        <w:jc w:val="right"/>
        <w:rPr>
          <w:rFonts w:hint="eastAsia" w:ascii="仿宋_GB2312" w:hAnsi="仿宋_GB2312" w:eastAsia="仿宋_GB2312" w:cs="仿宋_GB2312"/>
          <w:b/>
          <w:color w:val="auto"/>
          <w:sz w:val="32"/>
          <w:szCs w:val="32"/>
          <w:highlight w:val="none"/>
          <w:shd w:val="clear" w:color="auto" w:fill="FFFFFF"/>
        </w:rPr>
      </w:pPr>
      <w:r>
        <w:rPr>
          <w:rFonts w:hint="eastAsia" w:ascii="仿宋_GB2312" w:hAnsi="仿宋_GB2312" w:eastAsia="仿宋_GB2312" w:cs="仿宋_GB2312"/>
          <w:color w:val="auto"/>
          <w:kern w:val="0"/>
          <w:sz w:val="32"/>
          <w:szCs w:val="32"/>
          <w:highlight w:val="none"/>
        </w:rPr>
        <w:t>单位：万元、%</w:t>
      </w:r>
    </w:p>
    <w:tbl>
      <w:tblPr>
        <w:tblStyle w:val="9"/>
        <w:tblW w:w="9117" w:type="dxa"/>
        <w:jc w:val="center"/>
        <w:tblInd w:w="0" w:type="dxa"/>
        <w:tblLayout w:type="fixed"/>
        <w:tblCellMar>
          <w:top w:w="0" w:type="dxa"/>
          <w:left w:w="0" w:type="dxa"/>
          <w:bottom w:w="0" w:type="dxa"/>
          <w:right w:w="0" w:type="dxa"/>
        </w:tblCellMar>
      </w:tblPr>
      <w:tblGrid>
        <w:gridCol w:w="4088"/>
        <w:gridCol w:w="1398"/>
        <w:gridCol w:w="1338"/>
        <w:gridCol w:w="2293"/>
      </w:tblGrid>
      <w:tr>
        <w:tblPrEx>
          <w:tblLayout w:type="fixed"/>
          <w:tblCellMar>
            <w:top w:w="0" w:type="dxa"/>
            <w:left w:w="0" w:type="dxa"/>
            <w:bottom w:w="0" w:type="dxa"/>
            <w:right w:w="0" w:type="dxa"/>
          </w:tblCellMar>
        </w:tblPrEx>
        <w:trPr>
          <w:trHeight w:val="1592" w:hRule="atLeast"/>
          <w:jc w:val="center"/>
        </w:trPr>
        <w:tc>
          <w:tcPr>
            <w:tcW w:w="4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主要股东</w:t>
            </w:r>
          </w:p>
        </w:tc>
        <w:tc>
          <w:tcPr>
            <w:tcW w:w="139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持股份额</w:t>
            </w:r>
          </w:p>
        </w:tc>
        <w:tc>
          <w:tcPr>
            <w:tcW w:w="133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出质份额</w:t>
            </w:r>
          </w:p>
        </w:tc>
        <w:tc>
          <w:tcPr>
            <w:tcW w:w="22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出质份额占持股份额比例</w:t>
            </w:r>
          </w:p>
        </w:tc>
      </w:tr>
      <w:tr>
        <w:tblPrEx>
          <w:tblLayout w:type="fixed"/>
          <w:tblCellMar>
            <w:top w:w="0" w:type="dxa"/>
            <w:left w:w="0" w:type="dxa"/>
            <w:bottom w:w="0" w:type="dxa"/>
            <w:right w:w="0" w:type="dxa"/>
          </w:tblCellMar>
        </w:tblPrEx>
        <w:trPr>
          <w:trHeight w:val="1398" w:hRule="atLeast"/>
          <w:jc w:val="center"/>
        </w:trPr>
        <w:tc>
          <w:tcPr>
            <w:tcW w:w="408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江西于都农村商业银行股份有限公司</w:t>
            </w:r>
          </w:p>
        </w:tc>
        <w:tc>
          <w:tcPr>
            <w:tcW w:w="139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1839.67</w:t>
            </w:r>
          </w:p>
        </w:tc>
        <w:tc>
          <w:tcPr>
            <w:tcW w:w="133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bidi w:val="0"/>
              <w:spacing w:line="560" w:lineRule="exact"/>
              <w:ind w:left="0" w:leftChars="0" w:right="0" w:firstLine="640" w:firstLineChars="20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w:t>
            </w:r>
          </w:p>
        </w:tc>
        <w:tc>
          <w:tcPr>
            <w:tcW w:w="22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w:t>
            </w:r>
          </w:p>
        </w:tc>
      </w:tr>
      <w:tr>
        <w:tblPrEx>
          <w:tblLayout w:type="fixed"/>
          <w:tblCellMar>
            <w:top w:w="0" w:type="dxa"/>
            <w:left w:w="0" w:type="dxa"/>
            <w:bottom w:w="0" w:type="dxa"/>
            <w:right w:w="0" w:type="dxa"/>
          </w:tblCellMar>
        </w:tblPrEx>
        <w:trPr>
          <w:trHeight w:val="1262" w:hRule="atLeast"/>
          <w:jc w:val="center"/>
        </w:trPr>
        <w:tc>
          <w:tcPr>
            <w:tcW w:w="408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江西寻乌农村商业银行股份有限公司</w:t>
            </w:r>
          </w:p>
        </w:tc>
        <w:tc>
          <w:tcPr>
            <w:tcW w:w="139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kinsoku/>
              <w:overflowPunct/>
              <w:topLinePunct w:val="0"/>
              <w:bidi w:val="0"/>
              <w:spacing w:line="560" w:lineRule="exact"/>
              <w:ind w:right="0"/>
              <w:jc w:val="center"/>
              <w:textAlignment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1775.5</w:t>
            </w:r>
          </w:p>
        </w:tc>
        <w:tc>
          <w:tcPr>
            <w:tcW w:w="133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bidi w:val="0"/>
              <w:spacing w:line="560" w:lineRule="exact"/>
              <w:ind w:left="0" w:leftChars="0" w:right="0" w:firstLine="640" w:firstLineChars="20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w:t>
            </w:r>
          </w:p>
        </w:tc>
        <w:tc>
          <w:tcPr>
            <w:tcW w:w="22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w:t>
            </w:r>
          </w:p>
        </w:tc>
      </w:tr>
    </w:tbl>
    <w:p>
      <w:pPr>
        <w:pStyle w:val="7"/>
        <w:keepNext w:val="0"/>
        <w:keepLines w:val="0"/>
        <w:pageBreakBefore w:val="0"/>
        <w:widowControl/>
        <w:shd w:val="clear" w:color="auto" w:fill="FFFFFF"/>
        <w:kinsoku/>
        <w:overflowPunct/>
        <w:topLinePunct w:val="0"/>
        <w:bidi w:val="0"/>
        <w:spacing w:line="560" w:lineRule="exact"/>
        <w:ind w:left="0" w:leftChars="0" w:right="0" w:firstLine="643" w:firstLineChars="200"/>
        <w:rPr>
          <w:rFonts w:hint="eastAsia" w:ascii="楷体_GB2312" w:hAnsi="楷体_GB2312" w:eastAsia="楷体_GB2312" w:cs="楷体_GB2312"/>
          <w:b/>
          <w:color w:val="auto"/>
          <w:kern w:val="0"/>
          <w:sz w:val="32"/>
          <w:szCs w:val="32"/>
          <w:highlight w:val="none"/>
        </w:rPr>
      </w:pPr>
      <w:r>
        <w:rPr>
          <w:rFonts w:hint="eastAsia" w:ascii="楷体_GB2312" w:hAnsi="楷体_GB2312" w:eastAsia="楷体_GB2312" w:cs="楷体_GB2312"/>
          <w:b/>
          <w:color w:val="auto"/>
          <w:sz w:val="32"/>
          <w:szCs w:val="32"/>
          <w:highlight w:val="none"/>
          <w:shd w:val="clear" w:color="auto" w:fill="FFFFFF"/>
        </w:rPr>
        <w:t>6.6.3</w:t>
      </w:r>
      <w:r>
        <w:rPr>
          <w:rFonts w:hint="eastAsia" w:ascii="楷体_GB2312" w:hAnsi="楷体_GB2312" w:eastAsia="楷体_GB2312" w:cs="楷体_GB2312"/>
          <w:b/>
          <w:color w:val="auto"/>
          <w:kern w:val="0"/>
          <w:sz w:val="32"/>
          <w:szCs w:val="32"/>
          <w:highlight w:val="none"/>
        </w:rPr>
        <w:t>其他情况</w:t>
      </w:r>
    </w:p>
    <w:p>
      <w:pPr>
        <w:keepNext w:val="0"/>
        <w:keepLines w:val="0"/>
        <w:pageBreakBefore w:val="0"/>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年股东大会，对已出质股权的股东表决权进行了限制</w:t>
      </w:r>
      <w:r>
        <w:rPr>
          <w:rFonts w:hint="eastAsia" w:ascii="仿宋_GB2312" w:hAnsi="仿宋_GB2312" w:eastAsia="仿宋_GB2312" w:cs="仿宋_GB2312"/>
          <w:color w:val="auto"/>
          <w:kern w:val="0"/>
          <w:sz w:val="32"/>
          <w:szCs w:val="32"/>
          <w:highlight w:val="none"/>
        </w:rPr>
        <w:t>；无涉及质押股权被拍卖股东。</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b/>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6.7关联交易情况</w:t>
      </w:r>
    </w:p>
    <w:p>
      <w:pPr>
        <w:pStyle w:val="7"/>
        <w:keepNext w:val="0"/>
        <w:keepLines w:val="0"/>
        <w:pageBreakBefore w:val="0"/>
        <w:widowControl/>
        <w:shd w:val="clear" w:color="auto" w:fill="FFFFFF"/>
        <w:kinsoku/>
        <w:overflowPunct/>
        <w:topLinePunct w:val="0"/>
        <w:bidi w:val="0"/>
        <w:spacing w:line="560" w:lineRule="exact"/>
        <w:ind w:left="0" w:leftChars="0" w:right="0" w:firstLine="643" w:firstLineChars="200"/>
        <w:rPr>
          <w:rFonts w:hint="eastAsia" w:ascii="楷体_GB2312" w:hAnsi="楷体_GB2312" w:eastAsia="楷体_GB2312" w:cs="楷体_GB2312"/>
          <w:b/>
          <w:color w:val="auto"/>
          <w:kern w:val="0"/>
          <w:sz w:val="32"/>
          <w:szCs w:val="32"/>
          <w:highlight w:val="none"/>
        </w:rPr>
      </w:pPr>
      <w:r>
        <w:rPr>
          <w:rFonts w:hint="eastAsia" w:ascii="楷体_GB2312" w:hAnsi="楷体_GB2312" w:eastAsia="楷体_GB2312" w:cs="楷体_GB2312"/>
          <w:b/>
          <w:color w:val="auto"/>
          <w:sz w:val="32"/>
          <w:szCs w:val="32"/>
          <w:highlight w:val="none"/>
          <w:shd w:val="clear" w:color="auto" w:fill="FFFFFF"/>
        </w:rPr>
        <w:t>6.7.1</w:t>
      </w:r>
      <w:r>
        <w:rPr>
          <w:rFonts w:hint="eastAsia" w:ascii="楷体_GB2312" w:hAnsi="楷体_GB2312" w:eastAsia="楷体_GB2312" w:cs="楷体_GB2312"/>
          <w:b/>
          <w:color w:val="auto"/>
          <w:kern w:val="0"/>
          <w:sz w:val="32"/>
          <w:szCs w:val="32"/>
          <w:highlight w:val="none"/>
        </w:rPr>
        <w:t>关联方与商业银行关系的性质</w:t>
      </w:r>
    </w:p>
    <w:p>
      <w:pPr>
        <w:pStyle w:val="2"/>
        <w:keepNext w:val="0"/>
        <w:keepLines w:val="0"/>
        <w:pageBreakBefore w:val="0"/>
        <w:kinsoku/>
        <w:overflowPunct/>
        <w:topLinePunct w:val="0"/>
        <w:bidi w:val="0"/>
        <w:spacing w:before="70" w:line="560" w:lineRule="exact"/>
        <w:ind w:left="0" w:leftChars="0" w:right="0" w:firstLine="640" w:firstLineChars="200"/>
        <w:rPr>
          <w:rFonts w:hint="eastAsia" w:ascii="仿宋_GB2312" w:hAnsi="仿宋_GB2312" w:eastAsia="仿宋_GB2312" w:cs="仿宋_GB2312"/>
          <w:b w:val="0"/>
          <w:color w:val="auto"/>
          <w:sz w:val="32"/>
          <w:szCs w:val="32"/>
          <w:highlight w:val="none"/>
          <w:lang w:eastAsia="zh-CN"/>
        </w:rPr>
      </w:pPr>
      <w:r>
        <w:rPr>
          <w:rFonts w:hint="eastAsia" w:ascii="仿宋_GB2312" w:hAnsi="仿宋_GB2312" w:eastAsia="仿宋_GB2312" w:cs="仿宋_GB2312"/>
          <w:b w:val="0"/>
          <w:color w:val="auto"/>
          <w:sz w:val="32"/>
          <w:szCs w:val="32"/>
          <w:highlight w:val="none"/>
        </w:rPr>
        <w:t>关联方包含内部人和主要自然人股东及内部人和主要自然人股东的近亲属、关联法人或其他组织的控股自然人股东、董事、监事、关键管理人等</w:t>
      </w:r>
      <w:r>
        <w:rPr>
          <w:rFonts w:hint="eastAsia" w:ascii="仿宋_GB2312" w:hAnsi="仿宋_GB2312" w:eastAsia="仿宋_GB2312" w:cs="仿宋_GB2312"/>
          <w:b w:val="0"/>
          <w:color w:val="auto"/>
          <w:sz w:val="32"/>
          <w:szCs w:val="32"/>
          <w:highlight w:val="none"/>
          <w:lang w:eastAsia="zh-CN"/>
        </w:rPr>
        <w:t>。</w:t>
      </w:r>
    </w:p>
    <w:p>
      <w:pPr>
        <w:pStyle w:val="3"/>
        <w:keepNext w:val="0"/>
        <w:keepLines w:val="0"/>
        <w:pageBreakBefore w:val="0"/>
        <w:kinsoku/>
        <w:overflowPunct/>
        <w:topLinePunct w:val="0"/>
        <w:bidi w:val="0"/>
        <w:spacing w:line="560" w:lineRule="exact"/>
        <w:ind w:left="0" w:leftChars="0" w:right="0" w:firstLine="643" w:firstLineChars="200"/>
        <w:rPr>
          <w:rFonts w:hint="eastAsia" w:ascii="楷体_GB2312" w:hAnsi="楷体_GB2312" w:eastAsia="楷体_GB2312" w:cs="楷体_GB2312"/>
          <w:b/>
          <w:color w:val="auto"/>
          <w:kern w:val="0"/>
          <w:sz w:val="32"/>
          <w:szCs w:val="32"/>
          <w:highlight w:val="none"/>
        </w:rPr>
      </w:pPr>
      <w:r>
        <w:rPr>
          <w:rFonts w:hint="eastAsia" w:ascii="楷体_GB2312" w:hAnsi="楷体_GB2312" w:eastAsia="楷体_GB2312" w:cs="楷体_GB2312"/>
          <w:b/>
          <w:color w:val="auto"/>
          <w:sz w:val="32"/>
          <w:szCs w:val="32"/>
          <w:highlight w:val="none"/>
          <w:shd w:val="clear" w:color="auto" w:fill="FFFFFF"/>
        </w:rPr>
        <w:t>6.7</w:t>
      </w:r>
      <w:r>
        <w:rPr>
          <w:rFonts w:hint="eastAsia" w:ascii="楷体_GB2312" w:hAnsi="楷体_GB2312" w:eastAsia="楷体_GB2312" w:cs="楷体_GB2312"/>
          <w:b/>
          <w:color w:val="auto"/>
          <w:kern w:val="0"/>
          <w:sz w:val="32"/>
          <w:szCs w:val="32"/>
          <w:highlight w:val="none"/>
        </w:rPr>
        <w:t>.2关联自然人身份的基本情况</w:t>
      </w:r>
    </w:p>
    <w:tbl>
      <w:tblPr>
        <w:tblStyle w:val="9"/>
        <w:tblW w:w="8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446"/>
        <w:gridCol w:w="4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81" w:hRule="atLeast"/>
          <w:jc w:val="center"/>
        </w:trPr>
        <w:tc>
          <w:tcPr>
            <w:tcW w:w="4446" w:type="dxa"/>
            <w:vAlign w:val="center"/>
          </w:tcPr>
          <w:p>
            <w:pPr>
              <w:pStyle w:val="16"/>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关联方</w:t>
            </w:r>
          </w:p>
        </w:tc>
        <w:tc>
          <w:tcPr>
            <w:tcW w:w="4484" w:type="dxa"/>
            <w:vAlign w:val="center"/>
          </w:tcPr>
          <w:p>
            <w:pPr>
              <w:pStyle w:val="16"/>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姜思义</w:t>
            </w:r>
          </w:p>
        </w:tc>
        <w:tc>
          <w:tcPr>
            <w:tcW w:w="4484"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肖冬禄</w:t>
            </w:r>
          </w:p>
        </w:tc>
        <w:tc>
          <w:tcPr>
            <w:tcW w:w="4484"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董事会成员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龚隆旺</w:t>
            </w:r>
          </w:p>
        </w:tc>
        <w:tc>
          <w:tcPr>
            <w:tcW w:w="4484"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独立董事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刘秋林</w:t>
            </w:r>
          </w:p>
        </w:tc>
        <w:tc>
          <w:tcPr>
            <w:tcW w:w="4484"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董事会成员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张永彬</w:t>
            </w:r>
          </w:p>
        </w:tc>
        <w:tc>
          <w:tcPr>
            <w:tcW w:w="4484"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董事会成员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39" w:hRule="atLeast"/>
          <w:jc w:val="center"/>
        </w:trPr>
        <w:tc>
          <w:tcPr>
            <w:tcW w:w="4446"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赖为生</w:t>
            </w:r>
          </w:p>
        </w:tc>
        <w:tc>
          <w:tcPr>
            <w:tcW w:w="4484"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董事会成员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曾令清</w:t>
            </w:r>
          </w:p>
        </w:tc>
        <w:tc>
          <w:tcPr>
            <w:tcW w:w="4484"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董事会成员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肖义忠</w:t>
            </w:r>
          </w:p>
        </w:tc>
        <w:tc>
          <w:tcPr>
            <w:tcW w:w="4484"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监事长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张椿砚</w:t>
            </w:r>
          </w:p>
        </w:tc>
        <w:tc>
          <w:tcPr>
            <w:tcW w:w="4484"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监事会成员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彭华</w:t>
            </w:r>
          </w:p>
        </w:tc>
        <w:tc>
          <w:tcPr>
            <w:tcW w:w="4484"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监事会成员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尹玉光</w:t>
            </w:r>
          </w:p>
        </w:tc>
        <w:tc>
          <w:tcPr>
            <w:tcW w:w="4484"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监事会成员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郭慧</w:t>
            </w:r>
          </w:p>
        </w:tc>
        <w:tc>
          <w:tcPr>
            <w:tcW w:w="4484"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监事会成员（员工）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黄瑞林</w:t>
            </w:r>
          </w:p>
        </w:tc>
        <w:tc>
          <w:tcPr>
            <w:tcW w:w="4484"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谢彦琴</w:t>
            </w:r>
          </w:p>
        </w:tc>
        <w:tc>
          <w:tcPr>
            <w:tcW w:w="4484"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邱前智</w:t>
            </w:r>
          </w:p>
        </w:tc>
        <w:tc>
          <w:tcPr>
            <w:tcW w:w="4484"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财审会成员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舒琼</w:t>
            </w:r>
          </w:p>
        </w:tc>
        <w:tc>
          <w:tcPr>
            <w:tcW w:w="4484"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财务会计部负责人、财审会成员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谢飞元</w:t>
            </w:r>
          </w:p>
        </w:tc>
        <w:tc>
          <w:tcPr>
            <w:tcW w:w="4484"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审计部负责人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肖武</w:t>
            </w:r>
          </w:p>
        </w:tc>
        <w:tc>
          <w:tcPr>
            <w:tcW w:w="4484"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贷审会成员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廖小燕</w:t>
            </w:r>
          </w:p>
        </w:tc>
        <w:tc>
          <w:tcPr>
            <w:tcW w:w="4484"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贷审会成员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曾歆语</w:t>
            </w:r>
          </w:p>
        </w:tc>
        <w:tc>
          <w:tcPr>
            <w:tcW w:w="4484"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财审会成员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湛方坚</w:t>
            </w:r>
          </w:p>
        </w:tc>
        <w:tc>
          <w:tcPr>
            <w:tcW w:w="4484"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0"/>
                <w:szCs w:val="30"/>
                <w:highlight w:val="none"/>
                <w:lang w:val="en-US" w:eastAsia="zh-CN"/>
              </w:rPr>
              <w:t>风险合规部代为履职、贷审会成员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罗小芳</w:t>
            </w:r>
          </w:p>
        </w:tc>
        <w:tc>
          <w:tcPr>
            <w:tcW w:w="4484" w:type="dxa"/>
            <w:vAlign w:val="center"/>
          </w:tcPr>
          <w:p>
            <w:pPr>
              <w:pStyle w:val="16"/>
              <w:keepNext w:val="0"/>
              <w:keepLines w:val="0"/>
              <w:pageBreakBefore w:val="0"/>
              <w:kinsoku/>
              <w:overflowPunct/>
              <w:topLinePunct w:val="0"/>
              <w:bidi w:val="0"/>
              <w:spacing w:before="133" w:line="560" w:lineRule="exact"/>
              <w:ind w:right="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财审会成员</w:t>
            </w:r>
          </w:p>
        </w:tc>
      </w:tr>
    </w:tbl>
    <w:p>
      <w:pPr>
        <w:keepNext w:val="0"/>
        <w:keepLines w:val="0"/>
        <w:pageBreakBefore w:val="0"/>
        <w:kinsoku/>
        <w:overflowPunct/>
        <w:topLinePunct w:val="0"/>
        <w:bidi w:val="0"/>
        <w:adjustRightInd w:val="0"/>
        <w:snapToGrid w:val="0"/>
        <w:spacing w:line="560" w:lineRule="exact"/>
        <w:ind w:left="0" w:leftChars="0" w:right="0" w:firstLine="643" w:firstLineChars="200"/>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6.7.3关联方所持本行股份情况</w:t>
      </w:r>
    </w:p>
    <w:p>
      <w:pPr>
        <w:keepNext w:val="0"/>
        <w:keepLines w:val="0"/>
        <w:pageBreakBefore w:val="0"/>
        <w:kinsoku/>
        <w:overflowPunct/>
        <w:topLinePunct w:val="0"/>
        <w:bidi w:val="0"/>
        <w:adjustRightInd w:val="0"/>
        <w:snapToGrid w:val="0"/>
        <w:spacing w:line="560" w:lineRule="exact"/>
        <w:ind w:right="0" w:firstLine="6720" w:firstLineChars="21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单位：万股、%</w:t>
      </w:r>
    </w:p>
    <w:tbl>
      <w:tblPr>
        <w:tblStyle w:val="9"/>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851"/>
        <w:gridCol w:w="2838"/>
        <w:gridCol w:w="1562"/>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99" w:hRule="atLeast"/>
        </w:trPr>
        <w:tc>
          <w:tcPr>
            <w:tcW w:w="2851" w:type="dxa"/>
            <w:vAlign w:val="center"/>
          </w:tcPr>
          <w:p>
            <w:pPr>
              <w:pStyle w:val="16"/>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关联自然人</w:t>
            </w:r>
          </w:p>
        </w:tc>
        <w:tc>
          <w:tcPr>
            <w:tcW w:w="2838" w:type="dxa"/>
            <w:vAlign w:val="center"/>
          </w:tcPr>
          <w:p>
            <w:pPr>
              <w:pStyle w:val="16"/>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关联方关系</w:t>
            </w:r>
          </w:p>
        </w:tc>
        <w:tc>
          <w:tcPr>
            <w:tcW w:w="1562" w:type="dxa"/>
            <w:vAlign w:val="center"/>
          </w:tcPr>
          <w:p>
            <w:pPr>
              <w:pStyle w:val="16"/>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期末持股</w:t>
            </w:r>
          </w:p>
        </w:tc>
        <w:tc>
          <w:tcPr>
            <w:tcW w:w="1866" w:type="dxa"/>
            <w:vAlign w:val="center"/>
          </w:tcPr>
          <w:p>
            <w:pPr>
              <w:pStyle w:val="16"/>
              <w:keepNext w:val="0"/>
              <w:keepLines w:val="0"/>
              <w:pageBreakBefore w:val="0"/>
              <w:kinsoku/>
              <w:overflowPunct/>
              <w:topLinePunct w:val="0"/>
              <w:bidi w:val="0"/>
              <w:spacing w:line="560" w:lineRule="exact"/>
              <w:ind w:right="0"/>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持股占比(%)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25"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姜思义</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董事长</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11"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肖冬禄</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董事会成员</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81"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龚隆旺</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独立董事</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10"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刘秋林</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董事会成员</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16.36</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张永彬</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董事会成员</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17.48</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赖为生</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董事会成员</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1.75</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曾令清</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董事会成员</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9.96</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0"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肖义忠</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监事长</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34.95</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张椿砚</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监事会成员</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15.28</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94"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彭华</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监事会成员</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13.11</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尹玉光</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监事会成员</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郭慧</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监事会成员（员工）</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23.57</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5"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黄瑞林</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高级管理人员</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17.48</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谢彦琴</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高级管理人员</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59.94</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邱前智</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财审会成员</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舒琼</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财务会计部负责人、财审会成员</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2.62</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3"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谢飞元</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审计部负责人</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12.32</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5"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肖武</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贷审会成员</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17.48</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廖小燕</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贷审会成员</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17.48</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2"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曾歆语</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财审会成员</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48.03</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90"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湛方坚</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风险合规部（代为履职）、贷审会成员</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10.49</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7"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罗小芳</w:t>
            </w:r>
          </w:p>
        </w:tc>
        <w:tc>
          <w:tcPr>
            <w:tcW w:w="2838" w:type="dxa"/>
            <w:vAlign w:val="center"/>
          </w:tcPr>
          <w:p>
            <w:pPr>
              <w:pStyle w:val="16"/>
              <w:keepNext w:val="0"/>
              <w:keepLines w:val="0"/>
              <w:pageBreakBefore w:val="0"/>
              <w:kinsoku/>
              <w:overflowPunct/>
              <w:topLinePunct w:val="0"/>
              <w:bidi w:val="0"/>
              <w:spacing w:line="560" w:lineRule="exact"/>
              <w:ind w:right="0" w:right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财审会成员</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13.98</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40"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赣州市秋林工贸  有限公司</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董事会成员      刘秋林公司</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93"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赣州宇田化工有限公司</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董事会成员      张永彬公司</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253.39</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98"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江西赣南金利饲料有限公司</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监事会成员      尹玉光公司</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46"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江西宝宝仔饲料有限公司</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监事会成员      尹玉光公司</w:t>
            </w:r>
          </w:p>
        </w:tc>
        <w:tc>
          <w:tcPr>
            <w:tcW w:w="1562" w:type="dxa"/>
            <w:vAlign w:val="center"/>
          </w:tcPr>
          <w:p>
            <w:pPr>
              <w:keepNext w:val="0"/>
              <w:keepLines w:val="0"/>
              <w:pageBreakBefore w:val="0"/>
              <w:widowControl/>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541.17</w:t>
            </w:r>
          </w:p>
        </w:tc>
        <w:tc>
          <w:tcPr>
            <w:tcW w:w="1866" w:type="dxa"/>
            <w:vAlign w:val="center"/>
          </w:tcPr>
          <w:p>
            <w:pPr>
              <w:keepNext w:val="0"/>
              <w:keepLines w:val="0"/>
              <w:pageBreakBefore w:val="0"/>
              <w:widowControl/>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78"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江西宝宝乐畜牧有限公司</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监事会成员      尹玉光公司</w:t>
            </w:r>
          </w:p>
        </w:tc>
        <w:tc>
          <w:tcPr>
            <w:tcW w:w="1562"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w:t>
            </w:r>
          </w:p>
        </w:tc>
        <w:tc>
          <w:tcPr>
            <w:tcW w:w="1866" w:type="dxa"/>
            <w:vAlign w:val="center"/>
          </w:tcPr>
          <w:p>
            <w:pPr>
              <w:pStyle w:val="16"/>
              <w:keepNext w:val="0"/>
              <w:keepLines w:val="0"/>
              <w:pageBreakBefore w:val="0"/>
              <w:kinsoku/>
              <w:overflowPunct/>
              <w:topLinePunct w:val="0"/>
              <w:bidi w:val="0"/>
              <w:spacing w:before="2"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00"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江西于都农村商业银行股份有限公司</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主要股东</w:t>
            </w:r>
          </w:p>
        </w:tc>
        <w:tc>
          <w:tcPr>
            <w:tcW w:w="1562" w:type="dxa"/>
            <w:vAlign w:val="center"/>
          </w:tcPr>
          <w:p>
            <w:pPr>
              <w:keepNext w:val="0"/>
              <w:keepLines w:val="0"/>
              <w:pageBreakBefore w:val="0"/>
              <w:widowControl/>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1839.67</w:t>
            </w:r>
          </w:p>
        </w:tc>
        <w:tc>
          <w:tcPr>
            <w:tcW w:w="1866" w:type="dxa"/>
            <w:vAlign w:val="center"/>
          </w:tcPr>
          <w:p>
            <w:pPr>
              <w:keepNext w:val="0"/>
              <w:keepLines w:val="0"/>
              <w:pageBreakBefore w:val="0"/>
              <w:widowControl/>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96" w:hRule="atLeast"/>
        </w:trPr>
        <w:tc>
          <w:tcPr>
            <w:tcW w:w="2851"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江西寻乌农村商业银行股份有限公司</w:t>
            </w:r>
          </w:p>
        </w:tc>
        <w:tc>
          <w:tcPr>
            <w:tcW w:w="2838" w:type="dxa"/>
            <w:vAlign w:val="center"/>
          </w:tcPr>
          <w:p>
            <w:pPr>
              <w:pStyle w:val="16"/>
              <w:keepNext w:val="0"/>
              <w:keepLines w:val="0"/>
              <w:pageBreakBefore w:val="0"/>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主要股东</w:t>
            </w:r>
          </w:p>
        </w:tc>
        <w:tc>
          <w:tcPr>
            <w:tcW w:w="1562" w:type="dxa"/>
            <w:vAlign w:val="center"/>
          </w:tcPr>
          <w:p>
            <w:pPr>
              <w:keepNext w:val="0"/>
              <w:keepLines w:val="0"/>
              <w:pageBreakBefore w:val="0"/>
              <w:widowControl/>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1775.5</w:t>
            </w:r>
          </w:p>
        </w:tc>
        <w:tc>
          <w:tcPr>
            <w:tcW w:w="1866" w:type="dxa"/>
            <w:vAlign w:val="center"/>
          </w:tcPr>
          <w:p>
            <w:pPr>
              <w:keepNext w:val="0"/>
              <w:keepLines w:val="0"/>
              <w:pageBreakBefore w:val="0"/>
              <w:widowControl/>
              <w:kinsoku/>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5.33</w:t>
            </w:r>
          </w:p>
        </w:tc>
      </w:tr>
    </w:tbl>
    <w:p>
      <w:pPr>
        <w:keepNext w:val="0"/>
        <w:keepLines w:val="0"/>
        <w:pageBreakBefore w:val="0"/>
        <w:kinsoku/>
        <w:overflowPunct/>
        <w:topLinePunct w:val="0"/>
        <w:bidi w:val="0"/>
        <w:adjustRightInd w:val="0"/>
        <w:snapToGrid w:val="0"/>
        <w:spacing w:line="560" w:lineRule="exact"/>
        <w:ind w:left="0" w:leftChars="0" w:right="0" w:firstLine="643" w:firstLineChars="200"/>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6.7.4与自然人、法人或其他组织签署协议、做出安排，协议生效后视为关联方的协议内容</w:t>
      </w:r>
    </w:p>
    <w:p>
      <w:pPr>
        <w:keepNext w:val="0"/>
        <w:keepLines w:val="0"/>
        <w:pageBreakBefore w:val="0"/>
        <w:kinsoku/>
        <w:overflowPunct/>
        <w:topLinePunct w:val="0"/>
        <w:bidi w:val="0"/>
        <w:adjustRightInd w:val="0"/>
        <w:snapToGrid w:val="0"/>
        <w:spacing w:line="56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本行未与自然人、法人或其他组织签署生效后视为关联方的协议；未与自然人、法人或其他组织做出视为关联方的安排。</w:t>
      </w:r>
    </w:p>
    <w:p>
      <w:pPr>
        <w:keepNext w:val="0"/>
        <w:keepLines w:val="0"/>
        <w:pageBreakBefore w:val="0"/>
        <w:kinsoku/>
        <w:overflowPunct/>
        <w:topLinePunct w:val="0"/>
        <w:bidi w:val="0"/>
        <w:adjustRightInd w:val="0"/>
        <w:snapToGrid w:val="0"/>
        <w:spacing w:line="560" w:lineRule="exact"/>
        <w:ind w:left="0" w:leftChars="0" w:right="0" w:firstLine="643" w:firstLineChars="200"/>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6.7.5关联交易的类型</w:t>
      </w:r>
    </w:p>
    <w:p>
      <w:pPr>
        <w:keepNext w:val="0"/>
        <w:keepLines w:val="0"/>
        <w:pageBreakBefore w:val="0"/>
        <w:kinsoku/>
        <w:overflowPunct/>
        <w:topLinePunct w:val="0"/>
        <w:bidi w:val="0"/>
        <w:adjustRightInd w:val="0"/>
        <w:snapToGrid w:val="0"/>
        <w:spacing w:line="56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关联交易分为一般关联交易、重大关联交易。一般关联交易指本行与一个关联方之间单笔交易金额占本行资本净额1%以下，且该笔交易发生后本行与该关联方的交易余额占本行资本净额5%以下的交易。重大关联交易指本行与一个关联方之间单笔交易金额占本行资本净额1%以上，或该笔交易发生后与该关联方的交易余额占本行资本净额5%以上的交易。</w:t>
      </w:r>
    </w:p>
    <w:p>
      <w:pPr>
        <w:keepNext w:val="0"/>
        <w:keepLines w:val="0"/>
        <w:pageBreakBefore w:val="0"/>
        <w:kinsoku/>
        <w:overflowPunct/>
        <w:topLinePunct w:val="0"/>
        <w:bidi w:val="0"/>
        <w:adjustRightInd w:val="0"/>
        <w:snapToGrid w:val="0"/>
        <w:spacing w:line="560" w:lineRule="exact"/>
        <w:ind w:left="0" w:leftChars="0" w:right="0" w:firstLine="643" w:firstLineChars="200"/>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6.7.6关联交易的金额及相应比例</w:t>
      </w:r>
    </w:p>
    <w:p>
      <w:pPr>
        <w:keepNext w:val="0"/>
        <w:keepLines w:val="0"/>
        <w:pageBreakBefore w:val="0"/>
        <w:kinsoku/>
        <w:overflowPunct/>
        <w:topLinePunct w:val="0"/>
        <w:bidi w:val="0"/>
        <w:adjustRightInd w:val="0"/>
        <w:snapToGrid w:val="0"/>
        <w:spacing w:line="56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关联交易金额共</w:t>
      </w:r>
      <w:r>
        <w:rPr>
          <w:rFonts w:hint="eastAsia" w:ascii="仿宋_GB2312" w:hAnsi="仿宋_GB2312" w:eastAsia="仿宋_GB2312" w:cs="仿宋_GB2312"/>
          <w:color w:val="auto"/>
          <w:kern w:val="0"/>
          <w:sz w:val="32"/>
          <w:szCs w:val="32"/>
          <w:highlight w:val="none"/>
          <w:lang w:val="en-US" w:eastAsia="zh-CN"/>
        </w:rPr>
        <w:t>6137.42</w:t>
      </w:r>
      <w:r>
        <w:rPr>
          <w:rFonts w:hint="eastAsia" w:ascii="仿宋_GB2312" w:hAnsi="仿宋_GB2312" w:eastAsia="仿宋_GB2312" w:cs="仿宋_GB2312"/>
          <w:color w:val="auto"/>
          <w:sz w:val="32"/>
          <w:szCs w:val="32"/>
          <w:highlight w:val="none"/>
        </w:rPr>
        <w:t>万元，其中一般关联交易金额</w:t>
      </w:r>
      <w:r>
        <w:rPr>
          <w:rFonts w:hint="eastAsia" w:ascii="仿宋_GB2312" w:hAnsi="仿宋_GB2312" w:eastAsia="仿宋_GB2312" w:cs="仿宋_GB2312"/>
          <w:color w:val="auto"/>
          <w:kern w:val="0"/>
          <w:sz w:val="32"/>
          <w:szCs w:val="32"/>
          <w:highlight w:val="none"/>
          <w:lang w:val="en-US" w:eastAsia="zh-CN"/>
        </w:rPr>
        <w:t>6137.42</w:t>
      </w:r>
      <w:r>
        <w:rPr>
          <w:rFonts w:hint="eastAsia" w:ascii="仿宋_GB2312" w:hAnsi="仿宋_GB2312" w:eastAsia="仿宋_GB2312" w:cs="仿宋_GB2312"/>
          <w:color w:val="auto"/>
          <w:sz w:val="32"/>
          <w:szCs w:val="32"/>
          <w:highlight w:val="none"/>
        </w:rPr>
        <w:t>万元、重大关联交易金额有</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sz w:val="32"/>
          <w:szCs w:val="32"/>
          <w:highlight w:val="none"/>
        </w:rPr>
        <w:t>万元，本行对最大单个关联方的授信金额</w:t>
      </w:r>
      <w:r>
        <w:rPr>
          <w:rFonts w:hint="eastAsia" w:ascii="仿宋_GB2312" w:hAnsi="仿宋_GB2312" w:eastAsia="仿宋_GB2312" w:cs="仿宋_GB2312"/>
          <w:color w:val="auto"/>
          <w:kern w:val="0"/>
          <w:sz w:val="32"/>
          <w:szCs w:val="32"/>
          <w:highlight w:val="none"/>
          <w:lang w:val="en-US" w:eastAsia="zh-CN"/>
        </w:rPr>
        <w:t>1659</w:t>
      </w:r>
      <w:r>
        <w:rPr>
          <w:rFonts w:hint="eastAsia" w:ascii="仿宋_GB2312" w:hAnsi="仿宋_GB2312" w:eastAsia="仿宋_GB2312" w:cs="仿宋_GB2312"/>
          <w:color w:val="auto"/>
          <w:sz w:val="32"/>
          <w:szCs w:val="32"/>
          <w:highlight w:val="none"/>
        </w:rPr>
        <w:t>万元，为本行资本净额的</w:t>
      </w:r>
      <w:r>
        <w:rPr>
          <w:rFonts w:hint="eastAsia" w:ascii="仿宋_GB2312" w:hAnsi="仿宋_GB2312" w:eastAsia="仿宋_GB2312" w:cs="仿宋_GB2312"/>
          <w:color w:val="auto"/>
          <w:kern w:val="0"/>
          <w:sz w:val="32"/>
          <w:szCs w:val="32"/>
          <w:highlight w:val="none"/>
          <w:lang w:val="en-US" w:eastAsia="zh-CN"/>
        </w:rPr>
        <w:t>1.77</w:t>
      </w:r>
      <w:r>
        <w:rPr>
          <w:rFonts w:hint="eastAsia" w:ascii="仿宋_GB2312" w:hAnsi="仿宋_GB2312" w:eastAsia="仿宋_GB2312" w:cs="仿宋_GB2312"/>
          <w:color w:val="auto"/>
          <w:sz w:val="32"/>
          <w:szCs w:val="32"/>
          <w:highlight w:val="none"/>
        </w:rPr>
        <w:t>%；本行对全部关联方的授信余额</w:t>
      </w:r>
      <w:r>
        <w:rPr>
          <w:rFonts w:hint="eastAsia" w:ascii="仿宋_GB2312" w:hAnsi="仿宋_GB2312" w:eastAsia="仿宋_GB2312" w:cs="仿宋_GB2312"/>
          <w:color w:val="auto"/>
          <w:kern w:val="0"/>
          <w:sz w:val="32"/>
          <w:szCs w:val="32"/>
          <w:highlight w:val="none"/>
          <w:lang w:val="en-US" w:eastAsia="zh-CN"/>
        </w:rPr>
        <w:t>6137.42</w:t>
      </w:r>
      <w:r>
        <w:rPr>
          <w:rFonts w:hint="eastAsia" w:ascii="仿宋_GB2312" w:hAnsi="仿宋_GB2312" w:eastAsia="仿宋_GB2312" w:cs="仿宋_GB2312"/>
          <w:color w:val="auto"/>
          <w:sz w:val="32"/>
          <w:szCs w:val="32"/>
          <w:highlight w:val="none"/>
        </w:rPr>
        <w:t>万元，为本行资本净额的</w:t>
      </w:r>
      <w:r>
        <w:rPr>
          <w:rFonts w:hint="eastAsia" w:ascii="仿宋_GB2312" w:hAnsi="仿宋_GB2312" w:eastAsia="仿宋_GB2312" w:cs="仿宋_GB2312"/>
          <w:color w:val="auto"/>
          <w:kern w:val="0"/>
          <w:sz w:val="32"/>
          <w:szCs w:val="32"/>
          <w:highlight w:val="none"/>
          <w:lang w:val="en-US" w:eastAsia="zh-CN"/>
        </w:rPr>
        <w:t>6.56</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bidi w:val="0"/>
        <w:adjustRightInd w:val="0"/>
        <w:snapToGrid w:val="0"/>
        <w:spacing w:line="560" w:lineRule="exact"/>
        <w:ind w:left="0" w:leftChars="0" w:right="0" w:firstLine="643" w:firstLineChars="200"/>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6.7.7关联交易未结算项目的金额及相应比例</w:t>
      </w:r>
    </w:p>
    <w:p>
      <w:pPr>
        <w:keepNext w:val="0"/>
        <w:keepLines w:val="0"/>
        <w:pageBreakBefore w:val="0"/>
        <w:kinsoku/>
        <w:overflowPunct/>
        <w:topLinePunct w:val="0"/>
        <w:bidi w:val="0"/>
        <w:adjustRightInd w:val="0"/>
        <w:snapToGrid w:val="0"/>
        <w:spacing w:line="56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无关联交易未结算项目。</w:t>
      </w:r>
    </w:p>
    <w:p>
      <w:pPr>
        <w:keepNext w:val="0"/>
        <w:keepLines w:val="0"/>
        <w:pageBreakBefore w:val="0"/>
        <w:kinsoku/>
        <w:overflowPunct/>
        <w:topLinePunct w:val="0"/>
        <w:bidi w:val="0"/>
        <w:adjustRightInd w:val="0"/>
        <w:snapToGrid w:val="0"/>
        <w:spacing w:line="560" w:lineRule="exact"/>
        <w:ind w:left="0" w:leftChars="0" w:right="0" w:firstLine="643" w:firstLineChars="200"/>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6.7.8关联交易的定价政策</w:t>
      </w:r>
    </w:p>
    <w:p>
      <w:pPr>
        <w:keepNext w:val="0"/>
        <w:keepLines w:val="0"/>
        <w:pageBreakBefore w:val="0"/>
        <w:kinsoku/>
        <w:overflowPunct/>
        <w:topLinePunct w:val="0"/>
        <w:bidi w:val="0"/>
        <w:adjustRightInd w:val="0"/>
        <w:snapToGrid w:val="0"/>
        <w:spacing w:line="56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执行本行贷款利率管理办法，定价政策与其他客户同类授信条件一致。</w:t>
      </w:r>
    </w:p>
    <w:p>
      <w:pPr>
        <w:keepNext w:val="0"/>
        <w:keepLines w:val="0"/>
        <w:pageBreakBefore w:val="0"/>
        <w:kinsoku/>
        <w:overflowPunct/>
        <w:topLinePunct w:val="0"/>
        <w:bidi w:val="0"/>
        <w:adjustRightInd w:val="0"/>
        <w:snapToGrid w:val="0"/>
        <w:spacing w:line="560" w:lineRule="exact"/>
        <w:ind w:left="0" w:leftChars="0" w:right="0" w:firstLine="643" w:firstLineChars="200"/>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6.7.9其他事项</w:t>
      </w:r>
    </w:p>
    <w:p>
      <w:pPr>
        <w:keepNext w:val="0"/>
        <w:keepLines w:val="0"/>
        <w:pageBreakBefore w:val="0"/>
        <w:kinsoku/>
        <w:overflowPunct/>
        <w:topLinePunct w:val="0"/>
        <w:bidi w:val="0"/>
        <w:adjustRightInd w:val="0"/>
        <w:snapToGrid w:val="0"/>
        <w:spacing w:line="56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（1）一般关联交易笔数</w:t>
      </w:r>
      <w:r>
        <w:rPr>
          <w:rFonts w:hint="eastAsia" w:ascii="仿宋_GB2312" w:hAnsi="仿宋_GB2312" w:eastAsia="仿宋_GB2312" w:cs="仿宋_GB2312"/>
          <w:color w:val="auto"/>
          <w:kern w:val="0"/>
          <w:sz w:val="32"/>
          <w:szCs w:val="32"/>
          <w:highlight w:val="none"/>
          <w:lang w:val="en-US" w:eastAsia="zh-CN"/>
        </w:rPr>
        <w:t>31</w:t>
      </w:r>
      <w:r>
        <w:rPr>
          <w:rFonts w:hint="eastAsia" w:ascii="仿宋_GB2312" w:hAnsi="仿宋_GB2312" w:eastAsia="仿宋_GB2312" w:cs="仿宋_GB2312"/>
          <w:color w:val="auto"/>
          <w:sz w:val="32"/>
          <w:szCs w:val="32"/>
          <w:highlight w:val="none"/>
        </w:rPr>
        <w:t>笔、金额</w:t>
      </w:r>
      <w:r>
        <w:rPr>
          <w:rFonts w:hint="eastAsia" w:ascii="仿宋_GB2312" w:hAnsi="仿宋_GB2312" w:eastAsia="仿宋_GB2312" w:cs="仿宋_GB2312"/>
          <w:color w:val="auto"/>
          <w:kern w:val="0"/>
          <w:sz w:val="32"/>
          <w:szCs w:val="32"/>
          <w:highlight w:val="none"/>
          <w:lang w:val="en-US" w:eastAsia="zh-CN"/>
        </w:rPr>
        <w:t>6137.42</w:t>
      </w:r>
      <w:r>
        <w:rPr>
          <w:rFonts w:hint="eastAsia" w:ascii="仿宋_GB2312" w:hAnsi="仿宋_GB2312" w:eastAsia="仿宋_GB2312" w:cs="仿宋_GB2312"/>
          <w:color w:val="auto"/>
          <w:sz w:val="32"/>
          <w:szCs w:val="32"/>
          <w:highlight w:val="none"/>
        </w:rPr>
        <w:t>万元；</w:t>
      </w:r>
    </w:p>
    <w:p>
      <w:pPr>
        <w:keepNext w:val="0"/>
        <w:keepLines w:val="0"/>
        <w:pageBreakBefore w:val="0"/>
        <w:kinsoku/>
        <w:overflowPunct/>
        <w:topLinePunct w:val="0"/>
        <w:bidi w:val="0"/>
        <w:adjustRightInd w:val="0"/>
        <w:snapToGrid w:val="0"/>
        <w:spacing w:line="56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（2）重大关联交易</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sz w:val="32"/>
          <w:szCs w:val="32"/>
          <w:highlight w:val="none"/>
        </w:rPr>
        <w:t>笔、金额</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七、本行面临的各类风险及风险管理情况</w:t>
      </w:r>
    </w:p>
    <w:p>
      <w:pPr>
        <w:keepNext w:val="0"/>
        <w:keepLines w:val="0"/>
        <w:pageBreakBefore w:val="0"/>
        <w:kinsoku/>
        <w:overflowPunct/>
        <w:topLinePunct w:val="0"/>
        <w:bidi w:val="0"/>
        <w:spacing w:line="560" w:lineRule="exact"/>
        <w:ind w:left="0" w:leftChars="0" w:right="0" w:firstLine="643" w:firstLineChars="200"/>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bCs/>
          <w:color w:val="auto"/>
          <w:kern w:val="0"/>
          <w:sz w:val="32"/>
          <w:szCs w:val="32"/>
          <w:highlight w:val="none"/>
        </w:rPr>
        <w:t>7.1面临的各种风险及相应对策</w:t>
      </w:r>
    </w:p>
    <w:p>
      <w:pPr>
        <w:keepNext w:val="0"/>
        <w:keepLines w:val="0"/>
        <w:pageBreakBefore w:val="0"/>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当前，本行面对的风险因素主要有信用风险、市场风险、操作风险</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信息技术风险</w:t>
      </w:r>
      <w:r>
        <w:rPr>
          <w:rFonts w:hint="eastAsia" w:ascii="仿宋_GB2312" w:hAnsi="仿宋_GB2312" w:eastAsia="仿宋_GB2312" w:cs="仿宋_GB2312"/>
          <w:color w:val="auto"/>
          <w:kern w:val="0"/>
          <w:sz w:val="32"/>
          <w:szCs w:val="32"/>
          <w:highlight w:val="none"/>
          <w:lang w:eastAsia="zh-CN"/>
        </w:rPr>
        <w:t>、声誉风险和疫情风险</w:t>
      </w:r>
      <w:r>
        <w:rPr>
          <w:rFonts w:hint="eastAsia" w:ascii="仿宋_GB2312" w:hAnsi="仿宋_GB2312" w:eastAsia="仿宋_GB2312" w:cs="仿宋_GB2312"/>
          <w:color w:val="auto"/>
          <w:kern w:val="0"/>
          <w:sz w:val="32"/>
          <w:szCs w:val="32"/>
          <w:highlight w:val="none"/>
        </w:rPr>
        <w:t>等。报告期内，本行根据中国银监会《农村中小金融机构风险管理机制建设指引》等文件精神，积极落实风险管理建设工作，通过建立健全风险管理组织体系、全面梳理管理制度、开展制度后评价、落实内部控制审计监督，优化了授信评审、资金营运、运营管理、核心业务、中间业务、电子银行、信息科技、安全保卫等风险管理机制</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优化考核问责和薪酬激励机制</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落实全面风险评价评估</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开展资本充足和流动性压力测试等一系列风险管理手段，有效提升了本行风险管理工作，促进了各项业务稳健发展。202</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年，本行各项监管指标均达到或</w:t>
      </w:r>
      <w:r>
        <w:rPr>
          <w:rFonts w:hint="eastAsia" w:ascii="仿宋_GB2312" w:hAnsi="仿宋_GB2312" w:eastAsia="仿宋_GB2312" w:cs="仿宋_GB2312"/>
          <w:color w:val="auto"/>
          <w:kern w:val="0"/>
          <w:sz w:val="32"/>
          <w:szCs w:val="32"/>
          <w:highlight w:val="none"/>
          <w:lang w:eastAsia="zh-CN"/>
        </w:rPr>
        <w:t>优</w:t>
      </w:r>
      <w:r>
        <w:rPr>
          <w:rFonts w:hint="eastAsia" w:ascii="仿宋_GB2312" w:hAnsi="仿宋_GB2312" w:eastAsia="仿宋_GB2312" w:cs="仿宋_GB2312"/>
          <w:color w:val="auto"/>
          <w:kern w:val="0"/>
          <w:sz w:val="32"/>
          <w:szCs w:val="32"/>
          <w:highlight w:val="none"/>
        </w:rPr>
        <w:t>于银监部门法定监管标准。</w:t>
      </w:r>
    </w:p>
    <w:p>
      <w:pPr>
        <w:keepNext w:val="0"/>
        <w:keepLines w:val="0"/>
        <w:pageBreakBefore w:val="0"/>
        <w:kinsoku/>
        <w:overflowPunct/>
        <w:topLinePunct w:val="0"/>
        <w:bidi w:val="0"/>
        <w:spacing w:line="560" w:lineRule="exact"/>
        <w:ind w:left="0" w:leftChars="0" w:right="0" w:firstLine="643" w:firstLineChars="200"/>
        <w:rPr>
          <w:rFonts w:hint="eastAsia" w:ascii="楷体_GB2312" w:hAnsi="楷体_GB2312" w:eastAsia="楷体_GB2312" w:cs="楷体_GB2312"/>
          <w:b/>
          <w:color w:val="auto"/>
          <w:kern w:val="0"/>
          <w:sz w:val="32"/>
          <w:szCs w:val="32"/>
          <w:highlight w:val="none"/>
        </w:rPr>
      </w:pPr>
      <w:r>
        <w:rPr>
          <w:rFonts w:hint="eastAsia" w:ascii="楷体_GB2312" w:hAnsi="楷体_GB2312" w:eastAsia="楷体_GB2312" w:cs="楷体_GB2312"/>
          <w:b/>
          <w:color w:val="auto"/>
          <w:kern w:val="0"/>
          <w:sz w:val="32"/>
          <w:szCs w:val="32"/>
          <w:highlight w:val="none"/>
        </w:rPr>
        <w:t>7.1.1信用风险状况</w:t>
      </w:r>
    </w:p>
    <w:p>
      <w:pPr>
        <w:keepNext w:val="0"/>
        <w:keepLines w:val="0"/>
        <w:pageBreakBefore w:val="0"/>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信用风险主要是因流动性不足，发生存款下降、挤兑或大量贷款风险管理失控、到期贷款不能按时收回而引发的信用风险。本行建立了覆盖全行客户和信用、担保贷款及流动性管理的信用风险防范体系，指导经营机构的业务拓展方向，合理配置信贷规模、资金营运和流动资金。</w:t>
      </w:r>
      <w:r>
        <w:rPr>
          <w:rFonts w:hint="eastAsia" w:ascii="仿宋_GB2312" w:hAnsi="仿宋_GB2312" w:eastAsia="仿宋_GB2312" w:cs="仿宋_GB2312"/>
          <w:b/>
          <w:color w:val="auto"/>
          <w:kern w:val="0"/>
          <w:sz w:val="32"/>
          <w:szCs w:val="32"/>
          <w:highlight w:val="none"/>
        </w:rPr>
        <w:t>一是</w:t>
      </w:r>
      <w:r>
        <w:rPr>
          <w:rFonts w:hint="eastAsia" w:ascii="仿宋_GB2312" w:hAnsi="仿宋_GB2312" w:eastAsia="仿宋_GB2312" w:cs="仿宋_GB2312"/>
          <w:color w:val="auto"/>
          <w:kern w:val="0"/>
          <w:sz w:val="32"/>
          <w:szCs w:val="32"/>
          <w:highlight w:val="none"/>
        </w:rPr>
        <w:t>建立了完善的贷款风险管理机制。本行制定了贷款黑名单客户管理、押品管理、同业统一授信等一系列信用风险管理制度办法，并严格按管理办法开展评级授信工作，有效防范了信贷风险。</w:t>
      </w:r>
      <w:r>
        <w:rPr>
          <w:rFonts w:hint="eastAsia" w:ascii="仿宋_GB2312" w:hAnsi="仿宋_GB2312" w:eastAsia="仿宋_GB2312" w:cs="仿宋_GB2312"/>
          <w:b/>
          <w:color w:val="auto"/>
          <w:kern w:val="0"/>
          <w:sz w:val="32"/>
          <w:szCs w:val="32"/>
          <w:highlight w:val="none"/>
        </w:rPr>
        <w:t>二是</w:t>
      </w:r>
      <w:r>
        <w:rPr>
          <w:rFonts w:hint="eastAsia" w:ascii="仿宋_GB2312" w:hAnsi="仿宋_GB2312" w:eastAsia="仿宋_GB2312" w:cs="仿宋_GB2312"/>
          <w:color w:val="auto"/>
          <w:kern w:val="0"/>
          <w:sz w:val="32"/>
          <w:szCs w:val="32"/>
          <w:highlight w:val="none"/>
        </w:rPr>
        <w:t>建立了信用风险管理工具。本行制定了《全面风险管理办法》，推进全面风险管理体系建设，提升了全行风险管理水平。</w:t>
      </w:r>
      <w:r>
        <w:rPr>
          <w:rFonts w:hint="eastAsia" w:ascii="仿宋_GB2312" w:hAnsi="仿宋_GB2312" w:eastAsia="仿宋_GB2312" w:cs="仿宋_GB2312"/>
          <w:b/>
          <w:color w:val="auto"/>
          <w:kern w:val="0"/>
          <w:sz w:val="32"/>
          <w:szCs w:val="32"/>
          <w:highlight w:val="none"/>
        </w:rPr>
        <w:t>三是</w:t>
      </w:r>
      <w:r>
        <w:rPr>
          <w:rFonts w:hint="eastAsia" w:ascii="仿宋_GB2312" w:hAnsi="仿宋_GB2312" w:eastAsia="仿宋_GB2312" w:cs="仿宋_GB2312"/>
          <w:color w:val="auto"/>
          <w:kern w:val="0"/>
          <w:sz w:val="32"/>
          <w:szCs w:val="32"/>
          <w:highlight w:val="none"/>
        </w:rPr>
        <w:t>加强了资金营运业务风险管理。202</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年，本行按照《江西省农村信用社资金业务管理办法》，并通过省联社平台审慎、合规开展资金营运业务。</w:t>
      </w:r>
      <w:r>
        <w:rPr>
          <w:rFonts w:hint="eastAsia" w:ascii="仿宋_GB2312" w:hAnsi="仿宋_GB2312" w:eastAsia="仿宋_GB2312" w:cs="仿宋_GB2312"/>
          <w:b/>
          <w:color w:val="auto"/>
          <w:kern w:val="0"/>
          <w:sz w:val="32"/>
          <w:szCs w:val="32"/>
          <w:highlight w:val="none"/>
        </w:rPr>
        <w:t>四是</w:t>
      </w:r>
      <w:r>
        <w:rPr>
          <w:rFonts w:hint="eastAsia" w:ascii="仿宋_GB2312" w:hAnsi="仿宋_GB2312" w:eastAsia="仿宋_GB2312" w:cs="仿宋_GB2312"/>
          <w:color w:val="auto"/>
          <w:kern w:val="0"/>
          <w:sz w:val="32"/>
          <w:szCs w:val="32"/>
          <w:highlight w:val="none"/>
        </w:rPr>
        <w:t>开展资本充足率、流动性风险压力测试。本行按要求开展了资本充足率、流动性压力测试，根据测试结果及时调整本行流动性管理及经营策略，有效防范了流动性风险。</w:t>
      </w:r>
      <w:r>
        <w:rPr>
          <w:rFonts w:hint="eastAsia" w:ascii="仿宋_GB2312" w:hAnsi="仿宋_GB2312" w:eastAsia="仿宋_GB2312" w:cs="仿宋_GB2312"/>
          <w:b/>
          <w:color w:val="auto"/>
          <w:kern w:val="0"/>
          <w:sz w:val="32"/>
          <w:szCs w:val="32"/>
          <w:highlight w:val="none"/>
        </w:rPr>
        <w:t>五是</w:t>
      </w:r>
      <w:r>
        <w:rPr>
          <w:rFonts w:hint="eastAsia" w:ascii="仿宋_GB2312" w:hAnsi="仿宋_GB2312" w:eastAsia="仿宋_GB2312" w:cs="仿宋_GB2312"/>
          <w:color w:val="auto"/>
          <w:kern w:val="0"/>
          <w:sz w:val="32"/>
          <w:szCs w:val="32"/>
          <w:highlight w:val="none"/>
        </w:rPr>
        <w:t>建立流动性风险监测预警机制。本行对资本充足率、流动性等关键风险指标进行持续跟踪监测和风险评价，密切关注流动性指标变化情况以及外部诱因变化情况，适时采取有效应对措施，将流动性风险指标控制在正常值范围内，增强了流动性风险应对能力。</w:t>
      </w:r>
    </w:p>
    <w:p>
      <w:pPr>
        <w:keepNext w:val="0"/>
        <w:keepLines w:val="0"/>
        <w:pageBreakBefore w:val="0"/>
        <w:kinsoku/>
        <w:overflowPunct/>
        <w:topLinePunct w:val="0"/>
        <w:bidi w:val="0"/>
        <w:spacing w:line="560" w:lineRule="exact"/>
        <w:ind w:left="0" w:leftChars="0" w:right="0" w:firstLine="643" w:firstLineChars="200"/>
        <w:rPr>
          <w:rFonts w:hint="eastAsia" w:ascii="楷体_GB2312" w:hAnsi="楷体_GB2312" w:eastAsia="楷体_GB2312" w:cs="楷体_GB2312"/>
          <w:b/>
          <w:color w:val="auto"/>
          <w:kern w:val="0"/>
          <w:sz w:val="32"/>
          <w:szCs w:val="32"/>
          <w:highlight w:val="none"/>
        </w:rPr>
      </w:pPr>
      <w:r>
        <w:rPr>
          <w:rFonts w:hint="eastAsia" w:ascii="楷体_GB2312" w:hAnsi="楷体_GB2312" w:eastAsia="楷体_GB2312" w:cs="楷体_GB2312"/>
          <w:b/>
          <w:color w:val="auto"/>
          <w:kern w:val="0"/>
          <w:sz w:val="32"/>
          <w:szCs w:val="32"/>
          <w:highlight w:val="none"/>
        </w:rPr>
        <w:t>7.1.2市场风险状况</w:t>
      </w:r>
    </w:p>
    <w:p>
      <w:pPr>
        <w:keepNext w:val="0"/>
        <w:keepLines w:val="0"/>
        <w:pageBreakBefore w:val="0"/>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本行的市场风险主要为存贷款利率风险和债券投资业务风险。为了防范市场风险，本行采取了一系列措施：</w:t>
      </w:r>
      <w:r>
        <w:rPr>
          <w:rFonts w:hint="eastAsia" w:ascii="仿宋_GB2312" w:hAnsi="仿宋_GB2312" w:eastAsia="仿宋_GB2312" w:cs="仿宋_GB2312"/>
          <w:b/>
          <w:color w:val="auto"/>
          <w:kern w:val="0"/>
          <w:sz w:val="32"/>
          <w:szCs w:val="32"/>
          <w:highlight w:val="none"/>
        </w:rPr>
        <w:t>一是</w:t>
      </w:r>
      <w:r>
        <w:rPr>
          <w:rFonts w:hint="eastAsia" w:ascii="仿宋_GB2312" w:hAnsi="仿宋_GB2312" w:eastAsia="仿宋_GB2312" w:cs="仿宋_GB2312"/>
          <w:color w:val="auto"/>
          <w:kern w:val="0"/>
          <w:sz w:val="32"/>
          <w:szCs w:val="32"/>
          <w:highlight w:val="none"/>
        </w:rPr>
        <w:t>科学合理进行存贷款利率定价。本行根据人民银行</w:t>
      </w:r>
      <w:r>
        <w:rPr>
          <w:rFonts w:hint="eastAsia" w:ascii="仿宋_GB2312" w:hAnsi="仿宋_GB2312" w:eastAsia="仿宋_GB2312" w:cs="仿宋_GB2312"/>
          <w:color w:val="auto"/>
          <w:kern w:val="0"/>
          <w:sz w:val="32"/>
          <w:szCs w:val="32"/>
          <w:highlight w:val="none"/>
          <w:lang w:eastAsia="zh-CN"/>
        </w:rPr>
        <w:t>等监管部门</w:t>
      </w:r>
      <w:r>
        <w:rPr>
          <w:rFonts w:hint="eastAsia" w:ascii="仿宋_GB2312" w:hAnsi="仿宋_GB2312" w:eastAsia="仿宋_GB2312" w:cs="仿宋_GB2312"/>
          <w:color w:val="auto"/>
          <w:kern w:val="0"/>
          <w:sz w:val="32"/>
          <w:szCs w:val="32"/>
          <w:highlight w:val="none"/>
        </w:rPr>
        <w:t>相关文件精神，结合实际，科学合理地定价存款利率，促使存款持续稳定增长，确保有充足的信贷资金。同时，遵照省联社要求，并结合实际制定了《贷款利率定价管理办法》，有效应对存贷款利率市场化竞争。</w:t>
      </w:r>
      <w:r>
        <w:rPr>
          <w:rFonts w:hint="eastAsia" w:ascii="仿宋_GB2312" w:hAnsi="仿宋_GB2312" w:eastAsia="仿宋_GB2312" w:cs="仿宋_GB2312"/>
          <w:b/>
          <w:color w:val="auto"/>
          <w:kern w:val="0"/>
          <w:sz w:val="32"/>
          <w:szCs w:val="32"/>
          <w:highlight w:val="none"/>
        </w:rPr>
        <w:t>二是</w:t>
      </w:r>
      <w:r>
        <w:rPr>
          <w:rFonts w:hint="eastAsia" w:ascii="仿宋_GB2312" w:hAnsi="仿宋_GB2312" w:eastAsia="仿宋_GB2312" w:cs="仿宋_GB2312"/>
          <w:color w:val="auto"/>
          <w:kern w:val="0"/>
          <w:sz w:val="32"/>
          <w:szCs w:val="32"/>
          <w:highlight w:val="none"/>
        </w:rPr>
        <w:t>持续监测分析存贷款利率风险状况。根据中国人民银行存贷款基准利率变动情况，及时调整本行存贷款利率，尽量使存贷款利率定价合理匹配，主动应对市场风险。</w:t>
      </w:r>
      <w:r>
        <w:rPr>
          <w:rFonts w:hint="eastAsia" w:ascii="仿宋_GB2312" w:hAnsi="仿宋_GB2312" w:eastAsia="仿宋_GB2312" w:cs="仿宋_GB2312"/>
          <w:b/>
          <w:color w:val="auto"/>
          <w:kern w:val="0"/>
          <w:sz w:val="32"/>
          <w:szCs w:val="32"/>
          <w:highlight w:val="none"/>
        </w:rPr>
        <w:t>三是</w:t>
      </w:r>
      <w:r>
        <w:rPr>
          <w:rFonts w:hint="eastAsia" w:ascii="仿宋_GB2312" w:hAnsi="仿宋_GB2312" w:eastAsia="仿宋_GB2312" w:cs="仿宋_GB2312"/>
          <w:color w:val="auto"/>
          <w:kern w:val="0"/>
          <w:sz w:val="32"/>
          <w:szCs w:val="32"/>
          <w:highlight w:val="none"/>
        </w:rPr>
        <w:t>加强了市场风险管理。本行密切关注国际国内金融市场走势，结合市场利率、股市、债市、汇市发展走势，在省联社的指导下对全行投融资规模、结构、期限等进行了相应的风险管理，积极防范市场风险。</w:t>
      </w:r>
    </w:p>
    <w:p>
      <w:pPr>
        <w:keepNext w:val="0"/>
        <w:keepLines w:val="0"/>
        <w:pageBreakBefore w:val="0"/>
        <w:kinsoku/>
        <w:overflowPunct/>
        <w:topLinePunct w:val="0"/>
        <w:bidi w:val="0"/>
        <w:spacing w:line="560" w:lineRule="exact"/>
        <w:ind w:left="0" w:leftChars="0" w:right="0" w:firstLine="643" w:firstLineChars="200"/>
        <w:rPr>
          <w:rFonts w:hint="eastAsia" w:ascii="楷体_GB2312" w:hAnsi="楷体_GB2312" w:eastAsia="楷体_GB2312" w:cs="楷体_GB2312"/>
          <w:b/>
          <w:color w:val="auto"/>
          <w:kern w:val="0"/>
          <w:sz w:val="32"/>
          <w:szCs w:val="32"/>
          <w:highlight w:val="none"/>
        </w:rPr>
      </w:pPr>
      <w:r>
        <w:rPr>
          <w:rFonts w:hint="eastAsia" w:ascii="楷体_GB2312" w:hAnsi="楷体_GB2312" w:eastAsia="楷体_GB2312" w:cs="楷体_GB2312"/>
          <w:b/>
          <w:color w:val="auto"/>
          <w:kern w:val="0"/>
          <w:sz w:val="32"/>
          <w:szCs w:val="32"/>
          <w:highlight w:val="none"/>
        </w:rPr>
        <w:t>7.1.3操作风险状况</w:t>
      </w:r>
    </w:p>
    <w:p>
      <w:pPr>
        <w:keepNext w:val="0"/>
        <w:keepLines w:val="0"/>
        <w:pageBreakBefore w:val="0"/>
        <w:kinsoku/>
        <w:overflowPunct/>
        <w:topLinePunct w:val="0"/>
        <w:bidi w:val="0"/>
        <w:spacing w:line="560" w:lineRule="exact"/>
        <w:ind w:left="0" w:leftChars="0" w:right="0"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kern w:val="0"/>
          <w:sz w:val="32"/>
          <w:szCs w:val="32"/>
          <w:highlight w:val="none"/>
        </w:rPr>
        <w:t>操作风险是指由内部高管人员、员工违规操作或业务制度流程缺陷而引发的经营风险。本行建立了突出重点业务风险监控、分类较为科学、覆盖经营管理各环节的制度和流程体系，实现了各部门、岗位、各业务之间全过程相互监督和制约。</w:t>
      </w:r>
      <w:r>
        <w:rPr>
          <w:rFonts w:hint="eastAsia" w:ascii="仿宋_GB2312" w:hAnsi="仿宋_GB2312" w:eastAsia="仿宋_GB2312" w:cs="仿宋_GB2312"/>
          <w:b/>
          <w:color w:val="auto"/>
          <w:kern w:val="0"/>
          <w:sz w:val="32"/>
          <w:szCs w:val="32"/>
          <w:highlight w:val="none"/>
        </w:rPr>
        <w:t>一是</w:t>
      </w:r>
      <w:r>
        <w:rPr>
          <w:rFonts w:hint="eastAsia" w:ascii="仿宋_GB2312" w:hAnsi="仿宋_GB2312" w:eastAsia="仿宋_GB2312" w:cs="仿宋_GB2312"/>
          <w:color w:val="auto"/>
          <w:kern w:val="0"/>
          <w:sz w:val="32"/>
          <w:szCs w:val="32"/>
          <w:highlight w:val="none"/>
        </w:rPr>
        <w:t>强化信贷管理质量。优化新增贷款投放，落实“三查”关键要求，做好不良贷款清收处置工作，加大贷款问责力度，严防信贷管理风险。</w:t>
      </w:r>
      <w:r>
        <w:rPr>
          <w:rFonts w:hint="eastAsia" w:ascii="仿宋_GB2312" w:hAnsi="仿宋_GB2312" w:eastAsia="仿宋_GB2312" w:cs="仿宋_GB2312"/>
          <w:b/>
          <w:color w:val="auto"/>
          <w:sz w:val="32"/>
          <w:szCs w:val="32"/>
          <w:highlight w:val="none"/>
        </w:rPr>
        <w:t>二</w:t>
      </w:r>
      <w:r>
        <w:rPr>
          <w:rFonts w:hint="eastAsia" w:ascii="仿宋_GB2312" w:hAnsi="仿宋_GB2312" w:eastAsia="仿宋_GB2312" w:cs="仿宋_GB2312"/>
          <w:b/>
          <w:color w:val="auto"/>
          <w:kern w:val="0"/>
          <w:sz w:val="32"/>
          <w:szCs w:val="32"/>
          <w:highlight w:val="none"/>
        </w:rPr>
        <w:t>是</w:t>
      </w:r>
      <w:r>
        <w:rPr>
          <w:rFonts w:hint="eastAsia" w:ascii="仿宋_GB2312" w:hAnsi="仿宋_GB2312" w:eastAsia="仿宋_GB2312" w:cs="仿宋_GB2312"/>
          <w:color w:val="auto"/>
          <w:kern w:val="0"/>
          <w:sz w:val="32"/>
          <w:szCs w:val="32"/>
          <w:highlight w:val="none"/>
        </w:rPr>
        <w:t>做好事前、事中案件风险防控工作。开展案件风险排查，对重要岗位、敏感环节和员工异常行为等重点操作风险进行常态化排查，制定并落实举报奖励制度，对员工实施有效监督，有效防范员工道德风险和操作风险。</w:t>
      </w:r>
      <w:r>
        <w:rPr>
          <w:rFonts w:hint="eastAsia" w:ascii="仿宋_GB2312" w:hAnsi="仿宋_GB2312" w:eastAsia="仿宋_GB2312" w:cs="仿宋_GB2312"/>
          <w:b/>
          <w:color w:val="auto"/>
          <w:kern w:val="0"/>
          <w:sz w:val="32"/>
          <w:szCs w:val="32"/>
          <w:highlight w:val="none"/>
        </w:rPr>
        <w:t>三是</w:t>
      </w:r>
      <w:r>
        <w:rPr>
          <w:rFonts w:hint="eastAsia" w:ascii="仿宋_GB2312" w:hAnsi="仿宋_GB2312" w:eastAsia="仿宋_GB2312" w:cs="仿宋_GB2312"/>
          <w:color w:val="auto"/>
          <w:kern w:val="0"/>
          <w:sz w:val="32"/>
          <w:szCs w:val="32"/>
          <w:highlight w:val="none"/>
        </w:rPr>
        <w:t>开展事后监督检查，推进业务流程、员工操作规范化。</w:t>
      </w:r>
      <w:r>
        <w:rPr>
          <w:rFonts w:hint="eastAsia" w:ascii="仿宋_GB2312" w:hAnsi="仿宋_GB2312" w:eastAsia="仿宋_GB2312" w:cs="仿宋_GB2312"/>
          <w:color w:val="auto"/>
          <w:kern w:val="0"/>
          <w:sz w:val="32"/>
          <w:szCs w:val="32"/>
          <w:highlight w:val="none"/>
          <w:lang w:val="zh-CN"/>
        </w:rPr>
        <w:t>做好</w:t>
      </w:r>
      <w:r>
        <w:rPr>
          <w:rFonts w:hint="eastAsia" w:ascii="仿宋_GB2312" w:hAnsi="仿宋_GB2312" w:eastAsia="仿宋_GB2312" w:cs="仿宋_GB2312"/>
          <w:color w:val="auto"/>
          <w:kern w:val="0"/>
          <w:sz w:val="32"/>
          <w:szCs w:val="32"/>
          <w:highlight w:val="none"/>
        </w:rPr>
        <w:t>常规审计、信用风险专项排查、征信合规管理排查、押品管理风险排查等，内审风控做到了全覆盖，有效防范了操作风险。</w:t>
      </w:r>
      <w:r>
        <w:rPr>
          <w:rFonts w:hint="eastAsia" w:ascii="仿宋_GB2312" w:hAnsi="仿宋_GB2312" w:eastAsia="仿宋_GB2312" w:cs="仿宋_GB2312"/>
          <w:b/>
          <w:color w:val="auto"/>
          <w:kern w:val="0"/>
          <w:sz w:val="32"/>
          <w:szCs w:val="32"/>
          <w:highlight w:val="none"/>
        </w:rPr>
        <w:t>四是</w:t>
      </w:r>
      <w:r>
        <w:rPr>
          <w:rFonts w:hint="eastAsia" w:ascii="仿宋_GB2312" w:hAnsi="仿宋_GB2312" w:eastAsia="仿宋_GB2312" w:cs="仿宋_GB2312"/>
          <w:color w:val="auto"/>
          <w:kern w:val="0"/>
          <w:sz w:val="32"/>
          <w:szCs w:val="32"/>
          <w:highlight w:val="none"/>
        </w:rPr>
        <w:t>推进合规体系建设，倡导合规文化，牢固树立“合规创造价值”的理念，坚持合规从</w:t>
      </w:r>
      <w:r>
        <w:rPr>
          <w:rFonts w:hint="eastAsia" w:ascii="仿宋_GB2312" w:hAnsi="仿宋_GB2312" w:eastAsia="仿宋_GB2312" w:cs="仿宋_GB2312"/>
          <w:color w:val="auto"/>
          <w:kern w:val="0"/>
          <w:sz w:val="32"/>
          <w:szCs w:val="32"/>
          <w:highlight w:val="none"/>
          <w:lang w:eastAsia="zh-CN"/>
        </w:rPr>
        <w:t>我</w:t>
      </w:r>
      <w:r>
        <w:rPr>
          <w:rFonts w:hint="eastAsia" w:ascii="仿宋_GB2312" w:hAnsi="仿宋_GB2312" w:eastAsia="仿宋_GB2312" w:cs="仿宋_GB2312"/>
          <w:color w:val="auto"/>
          <w:kern w:val="0"/>
          <w:sz w:val="32"/>
          <w:szCs w:val="32"/>
          <w:highlight w:val="none"/>
        </w:rPr>
        <w:t>做起，营造“人人合规、自觉守规”的良好氛围。</w:t>
      </w:r>
      <w:r>
        <w:rPr>
          <w:rFonts w:hint="eastAsia" w:ascii="仿宋_GB2312" w:hAnsi="仿宋_GB2312" w:eastAsia="仿宋_GB2312" w:cs="仿宋_GB2312"/>
          <w:b/>
          <w:color w:val="auto"/>
          <w:kern w:val="0"/>
          <w:sz w:val="32"/>
          <w:szCs w:val="32"/>
          <w:highlight w:val="none"/>
        </w:rPr>
        <w:t>五是</w:t>
      </w:r>
      <w:r>
        <w:rPr>
          <w:rFonts w:hint="eastAsia" w:ascii="仿宋_GB2312" w:hAnsi="仿宋_GB2312" w:eastAsia="仿宋_GB2312" w:cs="仿宋_GB2312"/>
          <w:color w:val="auto"/>
          <w:kern w:val="0"/>
          <w:sz w:val="32"/>
          <w:szCs w:val="32"/>
          <w:highlight w:val="none"/>
        </w:rPr>
        <w:t>开展管理制度、业务流程后评价和全面风险评估。202</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年，本行对目前的核心业务制度、组织行为制度以及监督保障制度等一系列制度，在制度合规性、可操作性、执行状况、执行效率、管理效率等方面，结合业务经营和管理实际，进行了客观真实的自评价，及时修订和完善不适应实际业务发展和管理要求的各项管理制度、操作流程，提升了管理水平和风险防控能力。</w:t>
      </w:r>
      <w:r>
        <w:rPr>
          <w:rFonts w:hint="eastAsia" w:ascii="仿宋_GB2312" w:hAnsi="仿宋_GB2312" w:eastAsia="仿宋_GB2312" w:cs="仿宋_GB2312"/>
          <w:b/>
          <w:bCs/>
          <w:color w:val="auto"/>
          <w:kern w:val="0"/>
          <w:sz w:val="32"/>
          <w:szCs w:val="32"/>
          <w:highlight w:val="none"/>
          <w:lang w:eastAsia="zh-CN"/>
        </w:rPr>
        <w:t>六是</w:t>
      </w:r>
      <w:r>
        <w:rPr>
          <w:rFonts w:hint="eastAsia" w:ascii="仿宋_GB2312" w:hAnsi="仿宋_GB2312" w:eastAsia="仿宋_GB2312" w:cs="仿宋_GB2312"/>
          <w:b w:val="0"/>
          <w:bCs w:val="0"/>
          <w:color w:val="auto"/>
          <w:kern w:val="0"/>
          <w:sz w:val="32"/>
          <w:szCs w:val="32"/>
          <w:highlight w:val="none"/>
          <w:lang w:eastAsia="zh-CN"/>
        </w:rPr>
        <w:t>推进柜面无纸化，业务办理线上化。全年实现网点无纸化机具全覆盖，加快小额贷款线上化，有效降低操作风险</w:t>
      </w:r>
    </w:p>
    <w:p>
      <w:pPr>
        <w:keepNext w:val="0"/>
        <w:keepLines w:val="0"/>
        <w:pageBreakBefore w:val="0"/>
        <w:kinsoku/>
        <w:overflowPunct/>
        <w:topLinePunct w:val="0"/>
        <w:bidi w:val="0"/>
        <w:spacing w:line="560" w:lineRule="exact"/>
        <w:ind w:left="0" w:leftChars="0" w:right="0" w:firstLine="643" w:firstLineChars="200"/>
        <w:rPr>
          <w:rFonts w:hint="eastAsia" w:ascii="楷体_GB2312" w:hAnsi="楷体_GB2312" w:eastAsia="楷体_GB2312" w:cs="楷体_GB2312"/>
          <w:b/>
          <w:color w:val="auto"/>
          <w:kern w:val="0"/>
          <w:sz w:val="32"/>
          <w:szCs w:val="32"/>
          <w:highlight w:val="none"/>
        </w:rPr>
      </w:pPr>
      <w:r>
        <w:rPr>
          <w:rFonts w:hint="eastAsia" w:ascii="楷体_GB2312" w:hAnsi="楷体_GB2312" w:eastAsia="楷体_GB2312" w:cs="楷体_GB2312"/>
          <w:b/>
          <w:color w:val="auto"/>
          <w:kern w:val="0"/>
          <w:sz w:val="32"/>
          <w:szCs w:val="32"/>
          <w:highlight w:val="none"/>
        </w:rPr>
        <w:t>7.1.4信息技术风险</w:t>
      </w:r>
    </w:p>
    <w:p>
      <w:pPr>
        <w:keepNext w:val="0"/>
        <w:keepLines w:val="0"/>
        <w:pageBreakBefore w:val="0"/>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信息技术风险主要是信息网络突发事件或不法分子借助网络系统、高科技手段实施犯罪而引发的风险。本行推进了信息科技建章立制工作，不断完善信息科技标准规范，结合本行实际制定计算机相应的内控制度，切实将本行的网络安全管理责任落到实处；推行软件正版化管理，实时跟踪内网防病毒管理情况；持续做好内部安全检查与保障，防范了信息技术风险。</w:t>
      </w:r>
    </w:p>
    <w:p>
      <w:pPr>
        <w:keepNext w:val="0"/>
        <w:keepLines w:val="0"/>
        <w:pageBreakBefore w:val="0"/>
        <w:kinsoku/>
        <w:overflowPunct/>
        <w:topLinePunct w:val="0"/>
        <w:bidi w:val="0"/>
        <w:spacing w:line="560" w:lineRule="exact"/>
        <w:ind w:left="0" w:leftChars="0" w:right="0" w:firstLine="643" w:firstLineChars="200"/>
        <w:rPr>
          <w:rFonts w:hint="eastAsia" w:ascii="楷体_GB2312" w:hAnsi="楷体_GB2312" w:eastAsia="楷体_GB2312" w:cs="楷体_GB2312"/>
          <w:b/>
          <w:color w:val="auto"/>
          <w:kern w:val="0"/>
          <w:sz w:val="32"/>
          <w:szCs w:val="32"/>
          <w:highlight w:val="none"/>
          <w:lang w:val="en-US" w:eastAsia="zh-CN"/>
        </w:rPr>
      </w:pPr>
      <w:r>
        <w:rPr>
          <w:rFonts w:hint="eastAsia" w:ascii="楷体_GB2312" w:hAnsi="楷体_GB2312" w:eastAsia="楷体_GB2312" w:cs="楷体_GB2312"/>
          <w:b/>
          <w:color w:val="auto"/>
          <w:kern w:val="0"/>
          <w:sz w:val="32"/>
          <w:szCs w:val="32"/>
          <w:highlight w:val="none"/>
          <w:lang w:val="en-US" w:eastAsia="zh-CN"/>
        </w:rPr>
        <w:t>7.1.5声誉风险</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声誉风险主要是</w:t>
      </w:r>
      <w:r>
        <w:rPr>
          <w:rFonts w:hint="eastAsia" w:ascii="仿宋_GB2312" w:hAnsi="仿宋_GB2312" w:eastAsia="仿宋_GB2312" w:cs="仿宋_GB2312"/>
          <w:color w:val="auto"/>
          <w:sz w:val="32"/>
          <w:szCs w:val="32"/>
          <w:highlight w:val="none"/>
        </w:rPr>
        <w:t>指由我行经营、管理及其他行为或外部事件导致利益相关方对我行负面评价的风险。</w:t>
      </w:r>
      <w:r>
        <w:rPr>
          <w:rFonts w:hint="eastAsia" w:ascii="仿宋_GB2312" w:hAnsi="仿宋_GB2312" w:eastAsia="仿宋_GB2312" w:cs="仿宋_GB2312"/>
          <w:color w:val="auto"/>
          <w:sz w:val="32"/>
          <w:szCs w:val="32"/>
          <w:highlight w:val="none"/>
          <w:lang w:eastAsia="zh-CN"/>
        </w:rPr>
        <w:t>本行</w:t>
      </w:r>
      <w:r>
        <w:rPr>
          <w:rFonts w:hint="eastAsia" w:ascii="仿宋_GB2312" w:hAnsi="仿宋_GB2312" w:eastAsia="仿宋_GB2312" w:cs="仿宋_GB2312"/>
          <w:color w:val="auto"/>
          <w:sz w:val="32"/>
          <w:szCs w:val="32"/>
          <w:highlight w:val="none"/>
          <w:lang w:val="en-US" w:eastAsia="zh-CN"/>
        </w:rPr>
        <w:t>坚决贯彻落实省联社、辖区党组和监管部门关于加强声誉风险管理有关精神，采取前置措施，</w:t>
      </w:r>
      <w:r>
        <w:rPr>
          <w:rFonts w:hint="eastAsia" w:ascii="仿宋_GB2312" w:hAnsi="仿宋_GB2312" w:eastAsia="仿宋_GB2312" w:cs="仿宋_GB2312"/>
          <w:color w:val="auto"/>
          <w:sz w:val="32"/>
          <w:szCs w:val="32"/>
          <w:highlight w:val="none"/>
        </w:rPr>
        <w:t>完善组织体系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健全</w:t>
      </w:r>
      <w:r>
        <w:rPr>
          <w:rFonts w:hint="eastAsia" w:ascii="仿宋_GB2312" w:hAnsi="仿宋_GB2312" w:eastAsia="仿宋_GB2312" w:cs="仿宋_GB2312"/>
          <w:color w:val="auto"/>
          <w:sz w:val="32"/>
          <w:szCs w:val="32"/>
          <w:highlight w:val="none"/>
          <w:lang w:eastAsia="zh-CN"/>
        </w:rPr>
        <w:t>工作</w:t>
      </w:r>
      <w:r>
        <w:rPr>
          <w:rFonts w:hint="eastAsia" w:ascii="仿宋_GB2312" w:hAnsi="仿宋_GB2312" w:eastAsia="仿宋_GB2312" w:cs="仿宋_GB2312"/>
          <w:color w:val="auto"/>
          <w:sz w:val="32"/>
          <w:szCs w:val="32"/>
          <w:highlight w:val="none"/>
        </w:rPr>
        <w:t>机制，为</w:t>
      </w: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行发展营造良好的</w:t>
      </w:r>
      <w:r>
        <w:rPr>
          <w:rFonts w:hint="eastAsia" w:ascii="仿宋_GB2312" w:hAnsi="仿宋_GB2312" w:eastAsia="仿宋_GB2312" w:cs="仿宋_GB2312"/>
          <w:color w:val="auto"/>
          <w:sz w:val="32"/>
          <w:szCs w:val="32"/>
          <w:highlight w:val="none"/>
          <w:lang w:eastAsia="zh-CN"/>
        </w:rPr>
        <w:t>声誉</w:t>
      </w:r>
      <w:r>
        <w:rPr>
          <w:rFonts w:hint="eastAsia" w:ascii="仿宋_GB2312" w:hAnsi="仿宋_GB2312" w:eastAsia="仿宋_GB2312" w:cs="仿宋_GB2312"/>
          <w:color w:val="auto"/>
          <w:sz w:val="32"/>
          <w:szCs w:val="32"/>
          <w:highlight w:val="none"/>
        </w:rPr>
        <w:t>环境，保障了各项业务和工作平稳</w:t>
      </w:r>
      <w:r>
        <w:rPr>
          <w:rFonts w:hint="eastAsia" w:ascii="仿宋_GB2312" w:hAnsi="仿宋_GB2312" w:eastAsia="仿宋_GB2312" w:cs="仿宋_GB2312"/>
          <w:color w:val="auto"/>
          <w:sz w:val="32"/>
          <w:szCs w:val="32"/>
          <w:highlight w:val="none"/>
          <w:lang w:eastAsia="zh-CN"/>
        </w:rPr>
        <w:t>健康</w:t>
      </w:r>
      <w:r>
        <w:rPr>
          <w:rFonts w:hint="eastAsia" w:ascii="仿宋_GB2312" w:hAnsi="仿宋_GB2312" w:eastAsia="仿宋_GB2312" w:cs="仿宋_GB2312"/>
          <w:color w:val="auto"/>
          <w:sz w:val="32"/>
          <w:szCs w:val="32"/>
          <w:highlight w:val="none"/>
        </w:rPr>
        <w:t>运行。</w:t>
      </w:r>
      <w:r>
        <w:rPr>
          <w:rFonts w:hint="eastAsia" w:ascii="仿宋_GB2312" w:hAnsi="仿宋_GB2312" w:eastAsia="仿宋_GB2312" w:cs="仿宋_GB2312"/>
          <w:b/>
          <w:bCs/>
          <w:color w:val="auto"/>
          <w:sz w:val="32"/>
          <w:szCs w:val="32"/>
          <w:highlight w:val="none"/>
          <w:lang w:eastAsia="zh-CN"/>
        </w:rPr>
        <w:t>一是</w:t>
      </w:r>
      <w:r>
        <w:rPr>
          <w:rFonts w:hint="eastAsia" w:ascii="仿宋_GB2312" w:hAnsi="仿宋_GB2312" w:eastAsia="仿宋_GB2312" w:cs="仿宋_GB2312"/>
          <w:b/>
          <w:color w:val="auto"/>
          <w:sz w:val="32"/>
          <w:szCs w:val="32"/>
          <w:highlight w:val="none"/>
        </w:rPr>
        <w:t>加强组织领导，完善组织体系。</w:t>
      </w:r>
      <w:r>
        <w:rPr>
          <w:rFonts w:hint="eastAsia" w:ascii="仿宋_GB2312" w:hAnsi="仿宋_GB2312" w:eastAsia="仿宋_GB2312" w:cs="仿宋_GB2312"/>
          <w:color w:val="auto"/>
          <w:sz w:val="32"/>
          <w:szCs w:val="32"/>
          <w:highlight w:val="none"/>
        </w:rPr>
        <w:t>成立以</w:t>
      </w:r>
      <w:r>
        <w:rPr>
          <w:rFonts w:hint="eastAsia" w:ascii="仿宋_GB2312" w:hAnsi="仿宋_GB2312" w:eastAsia="仿宋_GB2312" w:cs="仿宋_GB2312"/>
          <w:color w:val="auto"/>
          <w:sz w:val="32"/>
          <w:szCs w:val="32"/>
          <w:highlight w:val="none"/>
          <w:lang w:eastAsia="zh-CN"/>
        </w:rPr>
        <w:t>董事长</w:t>
      </w:r>
      <w:r>
        <w:rPr>
          <w:rFonts w:hint="eastAsia" w:ascii="仿宋_GB2312" w:hAnsi="仿宋_GB2312" w:eastAsia="仿宋_GB2312" w:cs="仿宋_GB2312"/>
          <w:color w:val="auto"/>
          <w:sz w:val="32"/>
          <w:szCs w:val="32"/>
          <w:highlight w:val="none"/>
        </w:rPr>
        <w:t>为组长，</w:t>
      </w:r>
      <w:r>
        <w:rPr>
          <w:rFonts w:hint="eastAsia" w:ascii="仿宋_GB2312" w:hAnsi="仿宋_GB2312" w:eastAsia="仿宋_GB2312" w:cs="仿宋_GB2312"/>
          <w:color w:val="auto"/>
          <w:sz w:val="32"/>
          <w:szCs w:val="32"/>
          <w:highlight w:val="none"/>
          <w:lang w:eastAsia="zh-CN"/>
        </w:rPr>
        <w:t>行长为常务副组长，其他班子成员为副组长，各支行行长和个部门负责人为成员的</w:t>
      </w:r>
      <w:r>
        <w:rPr>
          <w:rFonts w:hint="eastAsia" w:ascii="仿宋_GB2312" w:hAnsi="仿宋_GB2312" w:eastAsia="仿宋_GB2312" w:cs="仿宋_GB2312"/>
          <w:color w:val="auto"/>
          <w:sz w:val="32"/>
          <w:szCs w:val="32"/>
          <w:highlight w:val="none"/>
        </w:rPr>
        <w:t>声誉风险防范工作领导小组，领导小组下设办公室在总行办公室，具体负责与银保监会、地方政府、网信办、金融局（办）等部门的沟通协调，组织开展声誉风险管理业务培训，履行协调、监督、考评等其他职能。各支行、部（室）成立相应的工作小组，单位主要负责人承担第一责任人责任，指定专人负责声誉风险工作，承担本单位、本辖区、本部门声誉风险管理的主体责任。</w:t>
      </w:r>
      <w:r>
        <w:rPr>
          <w:rFonts w:hint="eastAsia" w:ascii="仿宋_GB2312" w:hAnsi="仿宋_GB2312" w:eastAsia="仿宋_GB2312" w:cs="仿宋_GB2312"/>
          <w:b/>
          <w:bCs/>
          <w:color w:val="auto"/>
          <w:sz w:val="32"/>
          <w:szCs w:val="32"/>
          <w:highlight w:val="none"/>
          <w:lang w:eastAsia="zh-CN"/>
        </w:rPr>
        <w:t>二是</w:t>
      </w:r>
      <w:r>
        <w:rPr>
          <w:rFonts w:hint="eastAsia" w:ascii="仿宋_GB2312" w:hAnsi="仿宋_GB2312" w:eastAsia="仿宋_GB2312" w:cs="仿宋_GB2312"/>
          <w:b/>
          <w:color w:val="auto"/>
          <w:sz w:val="32"/>
          <w:szCs w:val="32"/>
          <w:highlight w:val="none"/>
        </w:rPr>
        <w:t>健全管理机制，严防声誉风险。</w:t>
      </w:r>
      <w:r>
        <w:rPr>
          <w:rFonts w:hint="eastAsia" w:ascii="仿宋_GB2312" w:hAnsi="仿宋_GB2312" w:eastAsia="仿宋_GB2312" w:cs="仿宋_GB2312"/>
          <w:b w:val="0"/>
          <w:bCs/>
          <w:color w:val="auto"/>
          <w:sz w:val="32"/>
          <w:szCs w:val="32"/>
          <w:highlight w:val="none"/>
          <w:lang w:eastAsia="zh-CN"/>
        </w:rPr>
        <w:t>完善相关管理制度和办法，制定了《</w:t>
      </w:r>
      <w:r>
        <w:rPr>
          <w:rFonts w:hint="eastAsia" w:ascii="仿宋_GB2312" w:hAnsi="仿宋_GB2312" w:eastAsia="仿宋_GB2312" w:cs="仿宋_GB2312"/>
          <w:b w:val="0"/>
          <w:bCs/>
          <w:color w:val="auto"/>
          <w:sz w:val="32"/>
          <w:szCs w:val="32"/>
          <w:highlight w:val="none"/>
        </w:rPr>
        <w:t>赣县农商银行声誉风险管理办法</w:t>
      </w:r>
      <w:r>
        <w:rPr>
          <w:rFonts w:hint="eastAsia" w:ascii="仿宋_GB2312" w:hAnsi="仿宋_GB2312" w:eastAsia="仿宋_GB2312" w:cs="仿宋_GB2312"/>
          <w:b w:val="0"/>
          <w:bCs/>
          <w:color w:val="auto"/>
          <w:sz w:val="32"/>
          <w:szCs w:val="32"/>
          <w:highlight w:val="none"/>
          <w:lang w:eastAsia="zh-CN"/>
        </w:rPr>
        <w:t>》，制定了《赣县农商银行声誉风险应急处置预案》，下发《关于印发《赣县农商银行信息宣传工作管理考核办法(修订)》的通知》，特别强调对外信息发布的审核，严防负面信息，特别是新媒体渠道负面信息。</w:t>
      </w:r>
      <w:r>
        <w:rPr>
          <w:rFonts w:hint="eastAsia" w:ascii="仿宋_GB2312" w:hAnsi="仿宋_GB2312" w:eastAsia="仿宋_GB2312" w:cs="仿宋_GB2312"/>
          <w:b w:val="0"/>
          <w:bCs/>
          <w:color w:val="auto"/>
          <w:sz w:val="32"/>
          <w:szCs w:val="32"/>
          <w:highlight w:val="none"/>
          <w:lang w:val="en-US" w:eastAsia="zh-CN"/>
        </w:rPr>
        <w:t>把声誉风险和意识形态培训列入年度培训计划。严格执行对外信息发布审核制，严格对外宣传广告发布。</w:t>
      </w:r>
      <w:r>
        <w:rPr>
          <w:rFonts w:hint="eastAsia" w:ascii="仿宋_GB2312" w:hAnsi="仿宋_GB2312" w:eastAsia="仿宋_GB2312" w:cs="仿宋_GB2312"/>
          <w:b w:val="0"/>
          <w:bCs/>
          <w:color w:val="auto"/>
          <w:sz w:val="32"/>
          <w:szCs w:val="32"/>
          <w:highlight w:val="none"/>
        </w:rPr>
        <w:t>严格执行负面舆情检测报告制度</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三是</w:t>
      </w:r>
      <w:r>
        <w:rPr>
          <w:rFonts w:hint="eastAsia" w:ascii="仿宋_GB2312" w:hAnsi="仿宋_GB2312" w:eastAsia="仿宋_GB2312" w:cs="仿宋_GB2312"/>
          <w:b/>
          <w:bCs w:val="0"/>
          <w:color w:val="auto"/>
          <w:sz w:val="32"/>
          <w:szCs w:val="32"/>
          <w:highlight w:val="none"/>
        </w:rPr>
        <w:t>加大检查力度，考核推动工作。</w:t>
      </w:r>
      <w:r>
        <w:rPr>
          <w:rFonts w:hint="eastAsia" w:ascii="仿宋_GB2312" w:hAnsi="仿宋_GB2312" w:eastAsia="仿宋_GB2312" w:cs="仿宋_GB2312"/>
          <w:b w:val="0"/>
          <w:bCs/>
          <w:color w:val="auto"/>
          <w:sz w:val="32"/>
          <w:szCs w:val="32"/>
          <w:highlight w:val="none"/>
          <w:lang w:eastAsia="zh-CN"/>
        </w:rPr>
        <w:t>本</w:t>
      </w:r>
      <w:r>
        <w:rPr>
          <w:rFonts w:hint="eastAsia" w:ascii="仿宋_GB2312" w:hAnsi="仿宋_GB2312" w:eastAsia="仿宋_GB2312" w:cs="仿宋_GB2312"/>
          <w:color w:val="auto"/>
          <w:sz w:val="32"/>
          <w:szCs w:val="32"/>
          <w:highlight w:val="none"/>
        </w:rPr>
        <w:t>行严格落实意识形态管理责任制，积极主动与地方宣传部、网信办、地方金融局（办）、新闻媒体等单位加强协调联动。同时对各支行、部（室）声誉风险管理工作进行评价及考评，并纳入评先评优和干部员工绩效考核体系。</w:t>
      </w:r>
    </w:p>
    <w:p>
      <w:pPr>
        <w:keepNext w:val="0"/>
        <w:keepLines w:val="0"/>
        <w:pageBreakBefore w:val="0"/>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7.1.6疫情风险</w:t>
      </w:r>
    </w:p>
    <w:p>
      <w:pPr>
        <w:keepNext w:val="0"/>
        <w:keepLines w:val="0"/>
        <w:pageBreakBefore w:val="0"/>
        <w:kinsoku/>
        <w:overflowPunct/>
        <w:topLinePunct w:val="0"/>
        <w:bidi w:val="0"/>
        <w:spacing w:line="560" w:lineRule="exact"/>
        <w:ind w:left="0" w:leftChars="0" w:right="0" w:firstLine="640" w:firstLineChars="200"/>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疫情风险主要指由2020年初</w:t>
      </w:r>
      <w:r>
        <w:rPr>
          <w:rFonts w:hint="eastAsia" w:ascii="仿宋_GB2312" w:hAnsi="仿宋_GB2312" w:eastAsia="仿宋_GB2312" w:cs="仿宋_GB2312"/>
          <w:color w:val="auto"/>
          <w:sz w:val="32"/>
          <w:szCs w:val="32"/>
          <w:highlight w:val="none"/>
        </w:rPr>
        <w:t>突如其来的新冠疫情</w:t>
      </w:r>
      <w:r>
        <w:rPr>
          <w:rFonts w:hint="eastAsia" w:ascii="仿宋_GB2312" w:hAnsi="仿宋_GB2312" w:eastAsia="仿宋_GB2312" w:cs="仿宋_GB2312"/>
          <w:color w:val="auto"/>
          <w:sz w:val="32"/>
          <w:szCs w:val="32"/>
          <w:highlight w:val="none"/>
          <w:lang w:eastAsia="zh-CN"/>
        </w:rPr>
        <w:t>以及类似疫情带来的负面影响</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给本行造成经营发展风险。本行加强组织领导，</w:t>
      </w:r>
      <w:r>
        <w:rPr>
          <w:rFonts w:hint="eastAsia" w:ascii="仿宋_GB2312" w:hAnsi="仿宋_GB2312" w:eastAsia="仿宋_GB2312" w:cs="仿宋_GB2312"/>
          <w:color w:val="auto"/>
          <w:sz w:val="32"/>
          <w:szCs w:val="32"/>
          <w:highlight w:val="none"/>
        </w:rPr>
        <w:t>落实防控举措，</w:t>
      </w:r>
      <w:r>
        <w:rPr>
          <w:rFonts w:hint="eastAsia" w:ascii="仿宋_GB2312" w:hAnsi="仿宋_GB2312" w:eastAsia="仿宋_GB2312" w:cs="仿宋_GB2312"/>
          <w:color w:val="auto"/>
          <w:sz w:val="32"/>
          <w:szCs w:val="32"/>
          <w:highlight w:val="none"/>
          <w:lang w:eastAsia="zh-CN"/>
        </w:rPr>
        <w:t>制定防控方案，科学合理应对，有效降低影响</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一是科学应对疫情。</w:t>
      </w:r>
      <w:r>
        <w:rPr>
          <w:rFonts w:hint="eastAsia" w:ascii="仿宋_GB2312" w:hAnsi="仿宋_GB2312" w:eastAsia="仿宋_GB2312" w:cs="仿宋_GB2312"/>
          <w:b w:val="0"/>
          <w:bCs/>
          <w:color w:val="auto"/>
          <w:sz w:val="32"/>
          <w:szCs w:val="32"/>
          <w:highlight w:val="none"/>
          <w:lang w:eastAsia="zh-CN"/>
        </w:rPr>
        <w:t>分析研判形势，</w:t>
      </w:r>
      <w:r>
        <w:rPr>
          <w:rFonts w:hint="eastAsia" w:ascii="仿宋_GB2312" w:hAnsi="仿宋_GB2312" w:eastAsia="仿宋_GB2312" w:cs="仿宋_GB2312"/>
          <w:color w:val="auto"/>
          <w:sz w:val="32"/>
          <w:szCs w:val="32"/>
          <w:highlight w:val="none"/>
        </w:rPr>
        <w:t>提前筹备谋划，采购医药口罩、酒精消毒液和体温枪等防疫物资，及时下发到各支行特别是配发到业务一线员工，将营业场所的进行全面消杀。统一宣传引导，及时转发全区疫情防控指挥部指令和权威宣传报道，引导全行员工不信谣不传谣，安心业务发展。</w:t>
      </w:r>
      <w:r>
        <w:rPr>
          <w:rFonts w:hint="eastAsia" w:ascii="仿宋_GB2312" w:hAnsi="仿宋_GB2312" w:eastAsia="仿宋_GB2312" w:cs="仿宋_GB2312"/>
          <w:b/>
          <w:color w:val="auto"/>
          <w:sz w:val="32"/>
          <w:szCs w:val="32"/>
          <w:highlight w:val="none"/>
        </w:rPr>
        <w:t>二是保障金融服务。</w:t>
      </w:r>
      <w:r>
        <w:rPr>
          <w:rFonts w:hint="eastAsia" w:ascii="仿宋_GB2312" w:hAnsi="仿宋_GB2312" w:eastAsia="仿宋_GB2312" w:cs="仿宋_GB2312"/>
          <w:color w:val="auto"/>
          <w:sz w:val="32"/>
          <w:szCs w:val="32"/>
          <w:highlight w:val="none"/>
        </w:rPr>
        <w:t>在严格落实各项防疫措施的同时，制作各类业务操作视频和推文，引导客户线上办理各类金融业务，主动拓宽线上业务办理渠道，坚持“实质重于形式”的原则，落实业务容缺办理。在疫情防控有效的前提下，及时开通柜面业务等线下服务渠道，有效满足了客户的各类金融需求。</w:t>
      </w:r>
      <w:r>
        <w:rPr>
          <w:rFonts w:hint="eastAsia" w:ascii="仿宋_GB2312" w:hAnsi="仿宋_GB2312" w:eastAsia="仿宋_GB2312" w:cs="仿宋_GB2312"/>
          <w:b/>
          <w:color w:val="auto"/>
          <w:sz w:val="32"/>
          <w:szCs w:val="32"/>
          <w:highlight w:val="none"/>
        </w:rPr>
        <w:t>三是参与联防联控。</w:t>
      </w:r>
      <w:r>
        <w:rPr>
          <w:rFonts w:hint="eastAsia" w:ascii="仿宋_GB2312" w:hAnsi="仿宋_GB2312" w:eastAsia="仿宋_GB2312" w:cs="仿宋_GB2312"/>
          <w:b w:val="0"/>
          <w:bCs/>
          <w:color w:val="auto"/>
          <w:sz w:val="32"/>
          <w:szCs w:val="32"/>
          <w:highlight w:val="none"/>
          <w:lang w:eastAsia="zh-CN"/>
        </w:rPr>
        <w:t>配合地方</w:t>
      </w:r>
      <w:r>
        <w:rPr>
          <w:rFonts w:hint="eastAsia" w:ascii="仿宋_GB2312" w:hAnsi="仿宋_GB2312" w:eastAsia="仿宋_GB2312" w:cs="仿宋_GB2312"/>
          <w:color w:val="auto"/>
          <w:sz w:val="32"/>
          <w:szCs w:val="32"/>
          <w:highlight w:val="none"/>
        </w:rPr>
        <w:t>政府疫情防控</w:t>
      </w:r>
      <w:r>
        <w:rPr>
          <w:rFonts w:hint="eastAsia" w:ascii="仿宋_GB2312" w:hAnsi="仿宋_GB2312" w:eastAsia="仿宋_GB2312" w:cs="仿宋_GB2312"/>
          <w:color w:val="auto"/>
          <w:sz w:val="32"/>
          <w:szCs w:val="32"/>
          <w:highlight w:val="none"/>
          <w:lang w:eastAsia="zh-CN"/>
        </w:rPr>
        <w:t>工作安排</w:t>
      </w:r>
      <w:r>
        <w:rPr>
          <w:rFonts w:hint="eastAsia" w:ascii="仿宋_GB2312" w:hAnsi="仿宋_GB2312" w:eastAsia="仿宋_GB2312" w:cs="仿宋_GB2312"/>
          <w:color w:val="auto"/>
          <w:sz w:val="32"/>
          <w:szCs w:val="32"/>
          <w:highlight w:val="none"/>
        </w:rPr>
        <w:t>，组织</w:t>
      </w:r>
      <w:r>
        <w:rPr>
          <w:rFonts w:hint="eastAsia" w:ascii="仿宋_GB2312" w:hAnsi="仿宋_GB2312" w:eastAsia="仿宋_GB2312" w:cs="仿宋_GB2312"/>
          <w:color w:val="auto"/>
          <w:sz w:val="32"/>
          <w:szCs w:val="32"/>
          <w:highlight w:val="none"/>
          <w:lang w:eastAsia="zh-CN"/>
        </w:rPr>
        <w:t>人员积极参与责任小区联防联控</w:t>
      </w:r>
      <w:r>
        <w:rPr>
          <w:rFonts w:hint="eastAsia" w:ascii="仿宋_GB2312" w:hAnsi="仿宋_GB2312" w:eastAsia="仿宋_GB2312" w:cs="仿宋_GB2312"/>
          <w:color w:val="auto"/>
          <w:sz w:val="32"/>
          <w:szCs w:val="32"/>
          <w:highlight w:val="none"/>
        </w:rPr>
        <w:t>，完成在住人员信息摸排，卡口值守和防疫宣传</w:t>
      </w:r>
      <w:r>
        <w:rPr>
          <w:rFonts w:hint="eastAsia" w:ascii="仿宋_GB2312" w:hAnsi="仿宋_GB2312" w:eastAsia="仿宋_GB2312" w:cs="仿宋_GB2312"/>
          <w:color w:val="auto"/>
          <w:sz w:val="32"/>
          <w:szCs w:val="32"/>
          <w:highlight w:val="none"/>
          <w:lang w:eastAsia="zh-CN"/>
        </w:rPr>
        <w:t>，融入社区治理和地方生态</w:t>
      </w:r>
      <w:r>
        <w:rPr>
          <w:rFonts w:hint="eastAsia" w:ascii="仿宋_GB2312" w:hAnsi="仿宋_GB2312" w:eastAsia="仿宋_GB2312" w:cs="仿宋_GB2312"/>
          <w:color w:val="auto"/>
          <w:sz w:val="32"/>
          <w:szCs w:val="32"/>
          <w:highlight w:val="none"/>
        </w:rPr>
        <w:t>。</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仿宋_GB2312" w:hAnsi="仿宋_GB2312" w:eastAsia="仿宋_GB2312" w:cs="仿宋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7.2内部控制制度的完整性、合理性和有效性</w:t>
      </w:r>
      <w:r>
        <w:rPr>
          <w:rFonts w:hint="eastAsia" w:ascii="仿宋_GB2312" w:hAnsi="仿宋_GB2312" w:eastAsia="仿宋_GB2312" w:cs="仿宋_GB2312"/>
          <w:b/>
          <w:bCs/>
          <w:color w:val="auto"/>
          <w:kern w:val="0"/>
          <w:sz w:val="32"/>
          <w:szCs w:val="32"/>
          <w:highlight w:val="none"/>
          <w:lang w:val="en-US" w:eastAsia="zh-CN"/>
        </w:rPr>
        <w:t xml:space="preserve"> </w:t>
      </w:r>
    </w:p>
    <w:p>
      <w:pPr>
        <w:keepNext w:val="0"/>
        <w:keepLines w:val="0"/>
        <w:pageBreakBefore w:val="0"/>
        <w:kinsoku/>
        <w:overflowPunct/>
        <w:topLinePunct w:val="0"/>
        <w:bidi w:val="0"/>
        <w:spacing w:line="560" w:lineRule="exact"/>
        <w:ind w:left="0" w:leftChars="0" w:right="0" w:firstLine="640" w:firstLineChars="200"/>
        <w:rPr>
          <w:rFonts w:hint="eastAsia" w:ascii="仿宋_GB2312" w:hAnsi="仿宋_GB2312" w:eastAsia="仿宋_GB2312" w:cs="仿宋_GB2312"/>
          <w:sz w:val="32"/>
          <w:szCs w:val="32"/>
          <w:highlight w:val="green"/>
        </w:rPr>
      </w:pPr>
      <w:r>
        <w:rPr>
          <w:rFonts w:hint="eastAsia" w:ascii="仿宋_GB2312" w:hAnsi="仿宋_GB2312" w:eastAsia="仿宋_GB2312" w:cs="仿宋_GB2312"/>
          <w:color w:val="auto"/>
          <w:kern w:val="0"/>
          <w:sz w:val="32"/>
          <w:szCs w:val="32"/>
          <w:highlight w:val="none"/>
        </w:rPr>
        <w:t>本行参照《中华人民共和国商业银行法》《商业银行内部控制指引》《银行业金融机构信息系统风险管理指引》和《江西省农村信用社风险合规管理法规手册》</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中华人民共和国</w:t>
      </w:r>
      <w:r>
        <w:rPr>
          <w:rFonts w:hint="eastAsia" w:ascii="仿宋_GB2312" w:hAnsi="仿宋_GB2312" w:eastAsia="仿宋_GB2312" w:cs="仿宋_GB2312"/>
          <w:color w:val="auto"/>
          <w:kern w:val="0"/>
          <w:sz w:val="32"/>
          <w:szCs w:val="32"/>
          <w:highlight w:val="none"/>
          <w:lang w:eastAsia="zh-CN"/>
        </w:rPr>
        <w:t>民法典》</w:t>
      </w:r>
      <w:r>
        <w:rPr>
          <w:rFonts w:hint="eastAsia" w:ascii="仿宋_GB2312" w:hAnsi="仿宋_GB2312" w:eastAsia="仿宋_GB2312" w:cs="仿宋_GB2312"/>
          <w:color w:val="auto"/>
          <w:kern w:val="0"/>
          <w:sz w:val="32"/>
          <w:szCs w:val="32"/>
          <w:highlight w:val="none"/>
        </w:rPr>
        <w:t>等相关法律、规章及规范性文件要求，从控制环境、风险识别、内控措施、信息反馈、监督评价等方面，进行了制定完善。经梳理评价，本行内控制度均符合法律法规、行政规章和监管要求，能够覆盖各业务条线，能有效控制业务风险，各项制度在日常经营活动中得到贯彻执行，并由职能部门、审计部门落实监督检查。</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7.3金融消费者权益状况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行在业务经营、内部控制与风险管理中充分考虑金融消费者投诉反映的问题和需求，并在各营业网点、网络公众平台等公布人行、银</w:t>
      </w:r>
      <w:r>
        <w:rPr>
          <w:rFonts w:hint="eastAsia" w:ascii="仿宋_GB2312" w:hAnsi="仿宋_GB2312" w:eastAsia="仿宋_GB2312" w:cs="仿宋_GB2312"/>
          <w:color w:val="auto"/>
          <w:sz w:val="32"/>
          <w:szCs w:val="32"/>
          <w:highlight w:val="none"/>
          <w:lang w:eastAsia="zh-CN"/>
        </w:rPr>
        <w:t>保</w:t>
      </w:r>
      <w:r>
        <w:rPr>
          <w:rFonts w:hint="eastAsia" w:ascii="仿宋_GB2312" w:hAnsi="仿宋_GB2312" w:eastAsia="仿宋_GB2312" w:cs="仿宋_GB2312"/>
          <w:color w:val="auto"/>
          <w:sz w:val="32"/>
          <w:szCs w:val="32"/>
          <w:highlight w:val="none"/>
        </w:rPr>
        <w:t>监等监管部门和本行投诉受理电话及受理流程，使投诉渠道无障碍、畅通直达，保护了金融消费者的合法权益，及时妥善地解决消费者投诉事项</w:t>
      </w:r>
      <w:r>
        <w:rPr>
          <w:rFonts w:hint="eastAsia" w:ascii="仿宋_GB2312" w:hAnsi="仿宋_GB2312" w:eastAsia="仿宋_GB2312" w:cs="仿宋_GB2312"/>
          <w:color w:val="auto"/>
          <w:sz w:val="32"/>
          <w:szCs w:val="32"/>
          <w:highlight w:val="none"/>
          <w:lang w:eastAsia="zh-CN"/>
        </w:rPr>
        <w:t>，切实维护金融消费权益</w:t>
      </w:r>
      <w:r>
        <w:rPr>
          <w:rFonts w:hint="eastAsia" w:ascii="仿宋_GB2312" w:hAnsi="仿宋_GB2312" w:eastAsia="仿宋_GB2312" w:cs="仿宋_GB2312"/>
          <w:color w:val="auto"/>
          <w:sz w:val="32"/>
          <w:szCs w:val="32"/>
          <w:highlight w:val="none"/>
        </w:rPr>
        <w:t>。我行</w:t>
      </w:r>
      <w:r>
        <w:rPr>
          <w:rFonts w:hint="eastAsia" w:ascii="仿宋_GB2312" w:hAnsi="仿宋_GB2312" w:eastAsia="仿宋_GB2312" w:cs="仿宋_GB2312"/>
          <w:color w:val="auto"/>
          <w:sz w:val="32"/>
          <w:szCs w:val="32"/>
          <w:highlight w:val="none"/>
          <w:lang w:val="en-US" w:eastAsia="zh-CN"/>
        </w:rPr>
        <w:t>2021年共</w:t>
      </w:r>
      <w:r>
        <w:rPr>
          <w:rFonts w:hint="eastAsia" w:ascii="仿宋_GB2312" w:hAnsi="仿宋_GB2312" w:eastAsia="仿宋_GB2312" w:cs="仿宋_GB2312"/>
          <w:color w:val="auto"/>
          <w:sz w:val="32"/>
          <w:szCs w:val="32"/>
          <w:highlight w:val="none"/>
        </w:rPr>
        <w:t>发生</w:t>
      </w:r>
      <w:r>
        <w:rPr>
          <w:rFonts w:hint="eastAsia" w:ascii="仿宋_GB2312" w:hAnsi="仿宋_GB2312" w:eastAsia="仿宋_GB2312" w:cs="仿宋_GB2312"/>
          <w:color w:val="auto"/>
          <w:sz w:val="32"/>
          <w:szCs w:val="32"/>
          <w:highlight w:val="none"/>
          <w:lang w:val="en-US" w:eastAsia="zh-CN"/>
        </w:rPr>
        <w:t>6笔</w:t>
      </w:r>
      <w:r>
        <w:rPr>
          <w:rFonts w:hint="eastAsia" w:ascii="仿宋_GB2312" w:hAnsi="仿宋_GB2312" w:eastAsia="仿宋_GB2312" w:cs="仿宋_GB2312"/>
          <w:color w:val="auto"/>
          <w:sz w:val="32"/>
          <w:szCs w:val="32"/>
          <w:highlight w:val="none"/>
        </w:rPr>
        <w:t>金融消费者投诉事件</w:t>
      </w:r>
      <w:r>
        <w:rPr>
          <w:rFonts w:hint="eastAsia" w:ascii="仿宋_GB2312" w:hAnsi="仿宋_GB2312" w:eastAsia="仿宋_GB2312" w:cs="仿宋_GB2312"/>
          <w:color w:val="auto"/>
          <w:sz w:val="32"/>
          <w:szCs w:val="32"/>
          <w:highlight w:val="none"/>
          <w:lang w:eastAsia="zh-CN"/>
        </w:rPr>
        <w:t>，其中</w:t>
      </w:r>
      <w:r>
        <w:rPr>
          <w:rFonts w:hint="eastAsia" w:ascii="仿宋_GB2312" w:hAnsi="仿宋_GB2312" w:eastAsia="仿宋_GB2312" w:cs="仿宋_GB2312"/>
          <w:color w:val="auto"/>
          <w:sz w:val="32"/>
          <w:szCs w:val="32"/>
          <w:highlight w:val="none"/>
          <w:lang w:val="en-US" w:eastAsia="zh-CN"/>
        </w:rPr>
        <w:t>3笔经过沟通调解，客户已同意撤诉。依据《赣县农商银行客户服务考核管理办法》，对被投诉的相关责任人给予责任追究，共计处罚2人，共处罚金0.15万元。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属</w:t>
      </w:r>
      <w:r>
        <w:rPr>
          <w:rFonts w:hint="eastAsia" w:ascii="仿宋_GB2312" w:hAnsi="仿宋_GB2312" w:eastAsia="仿宋_GB2312" w:cs="仿宋_GB2312"/>
          <w:color w:val="auto"/>
          <w:sz w:val="32"/>
          <w:szCs w:val="32"/>
          <w:highlight w:val="none"/>
          <w:lang w:eastAsia="zh-CN"/>
        </w:rPr>
        <w:t>员工</w:t>
      </w:r>
      <w:r>
        <w:rPr>
          <w:rFonts w:hint="eastAsia" w:ascii="仿宋_GB2312" w:hAnsi="仿宋_GB2312" w:eastAsia="仿宋_GB2312" w:cs="仿宋_GB2312"/>
          <w:color w:val="auto"/>
          <w:sz w:val="32"/>
          <w:szCs w:val="32"/>
          <w:highlight w:val="none"/>
        </w:rPr>
        <w:t>责任的，主动向客户道歉，取得客户的谅解,并对当事人进行批评教育和酌情处理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对投诉事项没有责任，而是因客户误解或不合理要求引起的，耐心解释、有理有节、争取理解。</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7.</w:t>
      </w:r>
      <w:r>
        <w:rPr>
          <w:rFonts w:hint="eastAsia" w:ascii="楷体_GB2312" w:hAnsi="楷体_GB2312" w:eastAsia="楷体_GB2312" w:cs="楷体_GB2312"/>
          <w:b/>
          <w:bCs/>
          <w:color w:val="auto"/>
          <w:kern w:val="0"/>
          <w:sz w:val="32"/>
          <w:szCs w:val="32"/>
          <w:highlight w:val="none"/>
          <w:lang w:val="en-US" w:eastAsia="zh-CN"/>
        </w:rPr>
        <w:t>4</w:t>
      </w:r>
      <w:r>
        <w:rPr>
          <w:rFonts w:hint="eastAsia" w:ascii="楷体_GB2312" w:hAnsi="楷体_GB2312" w:eastAsia="楷体_GB2312" w:cs="楷体_GB2312"/>
          <w:b/>
          <w:bCs/>
          <w:color w:val="auto"/>
          <w:kern w:val="0"/>
          <w:sz w:val="32"/>
          <w:szCs w:val="32"/>
          <w:highlight w:val="none"/>
        </w:rPr>
        <w:t>其他风险状况</w:t>
      </w:r>
    </w:p>
    <w:p>
      <w:pPr>
        <w:keepNext w:val="0"/>
        <w:keepLines w:val="0"/>
        <w:pageBreakBefore w:val="0"/>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截止202</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年末，本行未发现内部控制制度在完整性、合理性和有效性等方面存在重大缺陷及其他风险。</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八、重要事项</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（一）报告期内，无重大诉讼、仲裁事项。</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（二）报告期内，未发生重大案件、重大差错等情况。</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（三）报告期内本行各项业务合同履行情况正常，无重大合同纠纷发生。</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（四）报告期内，本行董事、监事、高管人员未受到监管部门和司法部门处罚。</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除上述事项外，截至202</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年12月31日，本行无需要披露的其他重要事项。</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九、财务报告</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3" w:firstLineChars="200"/>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9.1审计意见</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本行202</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年度财务报告经</w:t>
      </w:r>
      <w:r>
        <w:rPr>
          <w:rFonts w:hint="eastAsia" w:ascii="仿宋_GB2312" w:hAnsi="仿宋_GB2312" w:eastAsia="仿宋_GB2312" w:cs="仿宋_GB2312"/>
          <w:color w:val="auto"/>
          <w:kern w:val="0"/>
          <w:sz w:val="32"/>
          <w:szCs w:val="32"/>
          <w:highlight w:val="none"/>
          <w:lang w:val="zh-CN"/>
        </w:rPr>
        <w:t>江西中富会计师事务所有限公司</w:t>
      </w:r>
      <w:r>
        <w:rPr>
          <w:rFonts w:hint="eastAsia" w:ascii="仿宋_GB2312" w:hAnsi="仿宋_GB2312" w:eastAsia="仿宋_GB2312" w:cs="仿宋_GB2312"/>
          <w:color w:val="auto"/>
          <w:kern w:val="0"/>
          <w:sz w:val="32"/>
          <w:szCs w:val="32"/>
          <w:highlight w:val="none"/>
        </w:rPr>
        <w:t>按国内审计准则审计，注册会计师</w:t>
      </w:r>
      <w:r>
        <w:rPr>
          <w:rFonts w:hint="eastAsia" w:ascii="仿宋_GB2312" w:hAnsi="仿宋_GB2312" w:eastAsia="仿宋_GB2312" w:cs="仿宋_GB2312"/>
          <w:color w:val="auto"/>
          <w:sz w:val="32"/>
          <w:szCs w:val="32"/>
          <w:highlight w:val="none"/>
          <w:lang w:val="en-US" w:eastAsia="zh-CN"/>
        </w:rPr>
        <w:t>肖存耕</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余栋福</w:t>
      </w:r>
      <w:r>
        <w:rPr>
          <w:rFonts w:hint="eastAsia" w:ascii="仿宋_GB2312" w:hAnsi="仿宋_GB2312" w:eastAsia="仿宋_GB2312" w:cs="仿宋_GB2312"/>
          <w:color w:val="auto"/>
          <w:kern w:val="0"/>
          <w:sz w:val="32"/>
          <w:szCs w:val="32"/>
          <w:highlight w:val="none"/>
        </w:rPr>
        <w:t>出具了标准无保留意见的审计报告（赣中</w:t>
      </w:r>
      <w:r>
        <w:rPr>
          <w:rFonts w:hint="eastAsia" w:ascii="仿宋_GB2312" w:hAnsi="仿宋_GB2312" w:eastAsia="仿宋_GB2312" w:cs="仿宋_GB2312"/>
          <w:color w:val="auto"/>
          <w:kern w:val="0"/>
          <w:sz w:val="32"/>
          <w:szCs w:val="32"/>
          <w:highlight w:val="none"/>
          <w:lang w:val="zh-CN"/>
        </w:rPr>
        <w:t>富</w:t>
      </w:r>
      <w:r>
        <w:rPr>
          <w:rFonts w:hint="eastAsia" w:ascii="仿宋_GB2312" w:hAnsi="仿宋_GB2312" w:eastAsia="仿宋_GB2312" w:cs="仿宋_GB2312"/>
          <w:color w:val="auto"/>
          <w:kern w:val="0"/>
          <w:sz w:val="32"/>
          <w:szCs w:val="32"/>
          <w:highlight w:val="none"/>
        </w:rPr>
        <w:t>会审字[202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第</w:t>
      </w:r>
      <w:r>
        <w:rPr>
          <w:rFonts w:hint="eastAsia" w:ascii="仿宋_GB2312" w:hAnsi="仿宋_GB2312" w:eastAsia="仿宋_GB2312" w:cs="仿宋_GB2312"/>
          <w:color w:val="auto"/>
          <w:sz w:val="32"/>
          <w:szCs w:val="32"/>
          <w:highlight w:val="none"/>
          <w:lang w:val="en-US" w:eastAsia="zh-CN"/>
        </w:rPr>
        <w:t>021</w:t>
      </w:r>
      <w:r>
        <w:rPr>
          <w:rFonts w:hint="eastAsia" w:ascii="仿宋_GB2312" w:hAnsi="仿宋_GB2312" w:eastAsia="仿宋_GB2312" w:cs="仿宋_GB2312"/>
          <w:color w:val="auto"/>
          <w:kern w:val="0"/>
          <w:sz w:val="32"/>
          <w:szCs w:val="32"/>
          <w:highlight w:val="none"/>
        </w:rPr>
        <w:t>号）。</w:t>
      </w:r>
    </w:p>
    <w:p>
      <w:pPr>
        <w:keepNext w:val="0"/>
        <w:keepLines w:val="0"/>
        <w:pageBreakBefore w:val="0"/>
        <w:widowControl/>
        <w:shd w:val="clear" w:color="auto" w:fill="FFFFFF"/>
        <w:tabs>
          <w:tab w:val="left" w:pos="630"/>
        </w:tabs>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p>
    <w:p>
      <w:pPr>
        <w:keepNext w:val="0"/>
        <w:keepLines w:val="0"/>
        <w:pageBreakBefore w:val="0"/>
        <w:kinsoku/>
        <w:overflowPunct/>
        <w:topLinePunct w:val="0"/>
        <w:bidi w:val="0"/>
        <w:spacing w:line="56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附件：经审计认定的财务会计报告</w:t>
      </w:r>
    </w:p>
    <w:sectPr>
      <w:footerReference r:id="rId3" w:type="default"/>
      <w:footerReference r:id="rId4" w:type="even"/>
      <w:pgSz w:w="11906" w:h="16838"/>
      <w:pgMar w:top="1418" w:right="1361" w:bottom="1247"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03612"/>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03614"/>
    </w:sdtPr>
    <w:sdtContent>
      <w:p>
        <w:pPr>
          <w:pStyle w:val="5"/>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5BA"/>
    <w:rsid w:val="00007144"/>
    <w:rsid w:val="00015354"/>
    <w:rsid w:val="00021497"/>
    <w:rsid w:val="000353E6"/>
    <w:rsid w:val="00047D76"/>
    <w:rsid w:val="000512A9"/>
    <w:rsid w:val="00055BE1"/>
    <w:rsid w:val="000603BE"/>
    <w:rsid w:val="00060630"/>
    <w:rsid w:val="00062C3C"/>
    <w:rsid w:val="000678EF"/>
    <w:rsid w:val="000703D9"/>
    <w:rsid w:val="00073695"/>
    <w:rsid w:val="00074F95"/>
    <w:rsid w:val="00075933"/>
    <w:rsid w:val="000810E0"/>
    <w:rsid w:val="000955E1"/>
    <w:rsid w:val="000A0AF5"/>
    <w:rsid w:val="000A180C"/>
    <w:rsid w:val="000A74B3"/>
    <w:rsid w:val="000B24D6"/>
    <w:rsid w:val="000C019F"/>
    <w:rsid w:val="000E534F"/>
    <w:rsid w:val="000E6F57"/>
    <w:rsid w:val="000E785B"/>
    <w:rsid w:val="000F5596"/>
    <w:rsid w:val="00101B5B"/>
    <w:rsid w:val="00102899"/>
    <w:rsid w:val="00111B21"/>
    <w:rsid w:val="0011650C"/>
    <w:rsid w:val="001317EB"/>
    <w:rsid w:val="00133776"/>
    <w:rsid w:val="001345F7"/>
    <w:rsid w:val="001352B9"/>
    <w:rsid w:val="0014055D"/>
    <w:rsid w:val="00141400"/>
    <w:rsid w:val="00146914"/>
    <w:rsid w:val="001874A4"/>
    <w:rsid w:val="00196972"/>
    <w:rsid w:val="001A0681"/>
    <w:rsid w:val="001A512B"/>
    <w:rsid w:val="001B18F7"/>
    <w:rsid w:val="001B31B5"/>
    <w:rsid w:val="001B5C0D"/>
    <w:rsid w:val="001C1F72"/>
    <w:rsid w:val="001C6255"/>
    <w:rsid w:val="001C6C7D"/>
    <w:rsid w:val="00205E20"/>
    <w:rsid w:val="00210D99"/>
    <w:rsid w:val="00221332"/>
    <w:rsid w:val="00230B9C"/>
    <w:rsid w:val="00231442"/>
    <w:rsid w:val="0023420F"/>
    <w:rsid w:val="0024259B"/>
    <w:rsid w:val="00262CA6"/>
    <w:rsid w:val="0028549C"/>
    <w:rsid w:val="0028695E"/>
    <w:rsid w:val="002875FE"/>
    <w:rsid w:val="002A004A"/>
    <w:rsid w:val="002A5E73"/>
    <w:rsid w:val="002B2955"/>
    <w:rsid w:val="002B4262"/>
    <w:rsid w:val="002B6DD6"/>
    <w:rsid w:val="002C39CA"/>
    <w:rsid w:val="002C61BA"/>
    <w:rsid w:val="002D07E7"/>
    <w:rsid w:val="002D5278"/>
    <w:rsid w:val="002F5935"/>
    <w:rsid w:val="0030118D"/>
    <w:rsid w:val="00307B27"/>
    <w:rsid w:val="00310E09"/>
    <w:rsid w:val="00311018"/>
    <w:rsid w:val="003174E8"/>
    <w:rsid w:val="00317A45"/>
    <w:rsid w:val="00321F07"/>
    <w:rsid w:val="00332C89"/>
    <w:rsid w:val="003435E5"/>
    <w:rsid w:val="00350FF7"/>
    <w:rsid w:val="00355C21"/>
    <w:rsid w:val="00361704"/>
    <w:rsid w:val="003650BB"/>
    <w:rsid w:val="00366DD8"/>
    <w:rsid w:val="0038451D"/>
    <w:rsid w:val="00387899"/>
    <w:rsid w:val="003A60BC"/>
    <w:rsid w:val="003B058D"/>
    <w:rsid w:val="003B2306"/>
    <w:rsid w:val="003B2313"/>
    <w:rsid w:val="003C0784"/>
    <w:rsid w:val="003C37AA"/>
    <w:rsid w:val="003C46FE"/>
    <w:rsid w:val="003D065B"/>
    <w:rsid w:val="003D61B9"/>
    <w:rsid w:val="003E407E"/>
    <w:rsid w:val="0040259D"/>
    <w:rsid w:val="00405504"/>
    <w:rsid w:val="004075D0"/>
    <w:rsid w:val="004125BB"/>
    <w:rsid w:val="004163B5"/>
    <w:rsid w:val="004207D2"/>
    <w:rsid w:val="004270B3"/>
    <w:rsid w:val="004315B7"/>
    <w:rsid w:val="00442284"/>
    <w:rsid w:val="004449E2"/>
    <w:rsid w:val="00461A55"/>
    <w:rsid w:val="00496C7E"/>
    <w:rsid w:val="004A0E3C"/>
    <w:rsid w:val="004A2268"/>
    <w:rsid w:val="004A266B"/>
    <w:rsid w:val="004A56DB"/>
    <w:rsid w:val="004B0555"/>
    <w:rsid w:val="004B07EB"/>
    <w:rsid w:val="004C5572"/>
    <w:rsid w:val="004F1591"/>
    <w:rsid w:val="004F19A6"/>
    <w:rsid w:val="004F1AD2"/>
    <w:rsid w:val="00500BEB"/>
    <w:rsid w:val="00502AFA"/>
    <w:rsid w:val="00507018"/>
    <w:rsid w:val="00514C80"/>
    <w:rsid w:val="00517CAF"/>
    <w:rsid w:val="00522386"/>
    <w:rsid w:val="005245B4"/>
    <w:rsid w:val="005305EC"/>
    <w:rsid w:val="00534586"/>
    <w:rsid w:val="00537A5A"/>
    <w:rsid w:val="00537E1B"/>
    <w:rsid w:val="005425A5"/>
    <w:rsid w:val="00545DBC"/>
    <w:rsid w:val="00553493"/>
    <w:rsid w:val="00562D4D"/>
    <w:rsid w:val="00563025"/>
    <w:rsid w:val="00567B15"/>
    <w:rsid w:val="0057009D"/>
    <w:rsid w:val="00581B45"/>
    <w:rsid w:val="0058761C"/>
    <w:rsid w:val="00591239"/>
    <w:rsid w:val="005926BD"/>
    <w:rsid w:val="005A4A48"/>
    <w:rsid w:val="005A508B"/>
    <w:rsid w:val="005B1ED1"/>
    <w:rsid w:val="005B71F1"/>
    <w:rsid w:val="005C0AAB"/>
    <w:rsid w:val="005C0F21"/>
    <w:rsid w:val="005C7BC4"/>
    <w:rsid w:val="005D4556"/>
    <w:rsid w:val="005E6A5C"/>
    <w:rsid w:val="005E7D86"/>
    <w:rsid w:val="005F1E26"/>
    <w:rsid w:val="005F4132"/>
    <w:rsid w:val="006046BE"/>
    <w:rsid w:val="006171F1"/>
    <w:rsid w:val="006207BE"/>
    <w:rsid w:val="00620EDD"/>
    <w:rsid w:val="00624EEB"/>
    <w:rsid w:val="0062659C"/>
    <w:rsid w:val="0062697E"/>
    <w:rsid w:val="0064366A"/>
    <w:rsid w:val="00644AAF"/>
    <w:rsid w:val="00644B4F"/>
    <w:rsid w:val="0065091B"/>
    <w:rsid w:val="00654561"/>
    <w:rsid w:val="006556CF"/>
    <w:rsid w:val="00662213"/>
    <w:rsid w:val="00684CF1"/>
    <w:rsid w:val="00685FE2"/>
    <w:rsid w:val="00690B26"/>
    <w:rsid w:val="006A6641"/>
    <w:rsid w:val="006A74BB"/>
    <w:rsid w:val="006B2D8D"/>
    <w:rsid w:val="006B5640"/>
    <w:rsid w:val="006B6524"/>
    <w:rsid w:val="006C2AFD"/>
    <w:rsid w:val="006C361B"/>
    <w:rsid w:val="006E7EDD"/>
    <w:rsid w:val="006F3283"/>
    <w:rsid w:val="006F4567"/>
    <w:rsid w:val="006F5CDD"/>
    <w:rsid w:val="00702EF0"/>
    <w:rsid w:val="0070331E"/>
    <w:rsid w:val="007063F2"/>
    <w:rsid w:val="00713ED5"/>
    <w:rsid w:val="0071478A"/>
    <w:rsid w:val="00717692"/>
    <w:rsid w:val="0072330C"/>
    <w:rsid w:val="00733F25"/>
    <w:rsid w:val="00746910"/>
    <w:rsid w:val="00751181"/>
    <w:rsid w:val="00751FA9"/>
    <w:rsid w:val="00755F09"/>
    <w:rsid w:val="00771074"/>
    <w:rsid w:val="007710F5"/>
    <w:rsid w:val="00773E86"/>
    <w:rsid w:val="0077420E"/>
    <w:rsid w:val="00780C80"/>
    <w:rsid w:val="007857D8"/>
    <w:rsid w:val="0079443C"/>
    <w:rsid w:val="007A0F90"/>
    <w:rsid w:val="007A189A"/>
    <w:rsid w:val="007A5D28"/>
    <w:rsid w:val="007C714D"/>
    <w:rsid w:val="007C7A5C"/>
    <w:rsid w:val="007D617C"/>
    <w:rsid w:val="007E5266"/>
    <w:rsid w:val="007F7D3B"/>
    <w:rsid w:val="0080647A"/>
    <w:rsid w:val="00806635"/>
    <w:rsid w:val="0081469D"/>
    <w:rsid w:val="00816655"/>
    <w:rsid w:val="0081797C"/>
    <w:rsid w:val="00834DDC"/>
    <w:rsid w:val="008364D7"/>
    <w:rsid w:val="00836589"/>
    <w:rsid w:val="008430AF"/>
    <w:rsid w:val="00843237"/>
    <w:rsid w:val="00851F46"/>
    <w:rsid w:val="00855BF5"/>
    <w:rsid w:val="008561DB"/>
    <w:rsid w:val="0087149A"/>
    <w:rsid w:val="00872655"/>
    <w:rsid w:val="0087309A"/>
    <w:rsid w:val="00882046"/>
    <w:rsid w:val="008830E1"/>
    <w:rsid w:val="00886697"/>
    <w:rsid w:val="00895D77"/>
    <w:rsid w:val="00896AA2"/>
    <w:rsid w:val="008A23E1"/>
    <w:rsid w:val="008B6868"/>
    <w:rsid w:val="008B708E"/>
    <w:rsid w:val="008C4038"/>
    <w:rsid w:val="008D1F16"/>
    <w:rsid w:val="008D2EA4"/>
    <w:rsid w:val="008D5FF4"/>
    <w:rsid w:val="008E2F0D"/>
    <w:rsid w:val="008F5E23"/>
    <w:rsid w:val="009123A2"/>
    <w:rsid w:val="00912883"/>
    <w:rsid w:val="009270C3"/>
    <w:rsid w:val="00940148"/>
    <w:rsid w:val="00941BB7"/>
    <w:rsid w:val="009808A0"/>
    <w:rsid w:val="009812BB"/>
    <w:rsid w:val="009B0691"/>
    <w:rsid w:val="009C49AD"/>
    <w:rsid w:val="009C60E8"/>
    <w:rsid w:val="009D3271"/>
    <w:rsid w:val="009E3E37"/>
    <w:rsid w:val="009F303B"/>
    <w:rsid w:val="00A02C0F"/>
    <w:rsid w:val="00A044B6"/>
    <w:rsid w:val="00A2033C"/>
    <w:rsid w:val="00A2413A"/>
    <w:rsid w:val="00A2635F"/>
    <w:rsid w:val="00A268B0"/>
    <w:rsid w:val="00A274BB"/>
    <w:rsid w:val="00A3317B"/>
    <w:rsid w:val="00A41598"/>
    <w:rsid w:val="00A603DD"/>
    <w:rsid w:val="00A622F6"/>
    <w:rsid w:val="00A676B5"/>
    <w:rsid w:val="00A7200E"/>
    <w:rsid w:val="00A74B49"/>
    <w:rsid w:val="00A815AA"/>
    <w:rsid w:val="00A84DBA"/>
    <w:rsid w:val="00A86678"/>
    <w:rsid w:val="00A96841"/>
    <w:rsid w:val="00A9768B"/>
    <w:rsid w:val="00AA1138"/>
    <w:rsid w:val="00AA5628"/>
    <w:rsid w:val="00AA5C81"/>
    <w:rsid w:val="00AA5D70"/>
    <w:rsid w:val="00AB13A8"/>
    <w:rsid w:val="00AB6537"/>
    <w:rsid w:val="00AC00CE"/>
    <w:rsid w:val="00AC2515"/>
    <w:rsid w:val="00AC4C5F"/>
    <w:rsid w:val="00AD630F"/>
    <w:rsid w:val="00AE0564"/>
    <w:rsid w:val="00AE5D51"/>
    <w:rsid w:val="00AF3A8A"/>
    <w:rsid w:val="00AF4855"/>
    <w:rsid w:val="00AF4FAA"/>
    <w:rsid w:val="00AF6053"/>
    <w:rsid w:val="00B02131"/>
    <w:rsid w:val="00B045A0"/>
    <w:rsid w:val="00B127D6"/>
    <w:rsid w:val="00B133CF"/>
    <w:rsid w:val="00B32C1E"/>
    <w:rsid w:val="00B3575F"/>
    <w:rsid w:val="00B50537"/>
    <w:rsid w:val="00B622AD"/>
    <w:rsid w:val="00B63587"/>
    <w:rsid w:val="00B71C56"/>
    <w:rsid w:val="00B845AE"/>
    <w:rsid w:val="00B8494E"/>
    <w:rsid w:val="00B954A9"/>
    <w:rsid w:val="00BA1F82"/>
    <w:rsid w:val="00BC6799"/>
    <w:rsid w:val="00BC74E2"/>
    <w:rsid w:val="00BD2410"/>
    <w:rsid w:val="00BD62E4"/>
    <w:rsid w:val="00BE38BB"/>
    <w:rsid w:val="00BF081A"/>
    <w:rsid w:val="00BF3A30"/>
    <w:rsid w:val="00C02F99"/>
    <w:rsid w:val="00C0361C"/>
    <w:rsid w:val="00C1150C"/>
    <w:rsid w:val="00C15493"/>
    <w:rsid w:val="00C17F7C"/>
    <w:rsid w:val="00C232A2"/>
    <w:rsid w:val="00C2541D"/>
    <w:rsid w:val="00C27245"/>
    <w:rsid w:val="00C349D5"/>
    <w:rsid w:val="00C366E7"/>
    <w:rsid w:val="00C41DAC"/>
    <w:rsid w:val="00C4486A"/>
    <w:rsid w:val="00C5147E"/>
    <w:rsid w:val="00C52046"/>
    <w:rsid w:val="00C5399B"/>
    <w:rsid w:val="00C56AB7"/>
    <w:rsid w:val="00C645CF"/>
    <w:rsid w:val="00C661DA"/>
    <w:rsid w:val="00C7078F"/>
    <w:rsid w:val="00C73A9C"/>
    <w:rsid w:val="00C9448A"/>
    <w:rsid w:val="00C950BD"/>
    <w:rsid w:val="00C950E6"/>
    <w:rsid w:val="00CA42C0"/>
    <w:rsid w:val="00CB1875"/>
    <w:rsid w:val="00CB6A26"/>
    <w:rsid w:val="00CC16F3"/>
    <w:rsid w:val="00CD799A"/>
    <w:rsid w:val="00CE5DDE"/>
    <w:rsid w:val="00CF7504"/>
    <w:rsid w:val="00CF7DB1"/>
    <w:rsid w:val="00D00C30"/>
    <w:rsid w:val="00D0562F"/>
    <w:rsid w:val="00D16749"/>
    <w:rsid w:val="00D2229B"/>
    <w:rsid w:val="00D2752E"/>
    <w:rsid w:val="00D27A5C"/>
    <w:rsid w:val="00D302D8"/>
    <w:rsid w:val="00D31C8C"/>
    <w:rsid w:val="00D34829"/>
    <w:rsid w:val="00D45EDF"/>
    <w:rsid w:val="00D50A93"/>
    <w:rsid w:val="00D5315F"/>
    <w:rsid w:val="00D7210F"/>
    <w:rsid w:val="00D77D83"/>
    <w:rsid w:val="00D85F80"/>
    <w:rsid w:val="00DB3618"/>
    <w:rsid w:val="00DC4AED"/>
    <w:rsid w:val="00DD21F6"/>
    <w:rsid w:val="00DD29BB"/>
    <w:rsid w:val="00DD303E"/>
    <w:rsid w:val="00DE51AA"/>
    <w:rsid w:val="00DE5A3E"/>
    <w:rsid w:val="00DF145B"/>
    <w:rsid w:val="00E0198A"/>
    <w:rsid w:val="00E15715"/>
    <w:rsid w:val="00E2107D"/>
    <w:rsid w:val="00E225D1"/>
    <w:rsid w:val="00E3776B"/>
    <w:rsid w:val="00E41AA9"/>
    <w:rsid w:val="00E63C08"/>
    <w:rsid w:val="00E65032"/>
    <w:rsid w:val="00E671AB"/>
    <w:rsid w:val="00E70B5B"/>
    <w:rsid w:val="00E74AF7"/>
    <w:rsid w:val="00E7614B"/>
    <w:rsid w:val="00EA0D1E"/>
    <w:rsid w:val="00EA2635"/>
    <w:rsid w:val="00EA28C7"/>
    <w:rsid w:val="00EA776C"/>
    <w:rsid w:val="00EB480D"/>
    <w:rsid w:val="00EC0317"/>
    <w:rsid w:val="00EC150E"/>
    <w:rsid w:val="00EC4E66"/>
    <w:rsid w:val="00EE3D23"/>
    <w:rsid w:val="00EE5AA7"/>
    <w:rsid w:val="00EE6222"/>
    <w:rsid w:val="00EF75DD"/>
    <w:rsid w:val="00F05F9A"/>
    <w:rsid w:val="00F069BF"/>
    <w:rsid w:val="00F250A2"/>
    <w:rsid w:val="00F41A5C"/>
    <w:rsid w:val="00F50865"/>
    <w:rsid w:val="00F51284"/>
    <w:rsid w:val="00F61E52"/>
    <w:rsid w:val="00F75ECE"/>
    <w:rsid w:val="00F83745"/>
    <w:rsid w:val="00F84BC2"/>
    <w:rsid w:val="00F851C6"/>
    <w:rsid w:val="00F87247"/>
    <w:rsid w:val="00FB25DD"/>
    <w:rsid w:val="00FB3867"/>
    <w:rsid w:val="00FB6604"/>
    <w:rsid w:val="00FC013A"/>
    <w:rsid w:val="00FD740F"/>
    <w:rsid w:val="00FE4169"/>
    <w:rsid w:val="00FE49D3"/>
    <w:rsid w:val="00FF482E"/>
    <w:rsid w:val="016B5865"/>
    <w:rsid w:val="019122DC"/>
    <w:rsid w:val="03130E78"/>
    <w:rsid w:val="04C84565"/>
    <w:rsid w:val="05077B66"/>
    <w:rsid w:val="073E115C"/>
    <w:rsid w:val="08D75C28"/>
    <w:rsid w:val="0BC73377"/>
    <w:rsid w:val="0BC90295"/>
    <w:rsid w:val="0D6C6BFD"/>
    <w:rsid w:val="0E820445"/>
    <w:rsid w:val="10703045"/>
    <w:rsid w:val="10922F19"/>
    <w:rsid w:val="12ED0F93"/>
    <w:rsid w:val="14142111"/>
    <w:rsid w:val="161B1F43"/>
    <w:rsid w:val="16DA2065"/>
    <w:rsid w:val="17C808A4"/>
    <w:rsid w:val="18173BBD"/>
    <w:rsid w:val="1849235C"/>
    <w:rsid w:val="19A7543E"/>
    <w:rsid w:val="19DF4AA8"/>
    <w:rsid w:val="1A650256"/>
    <w:rsid w:val="1B237CE2"/>
    <w:rsid w:val="1B523561"/>
    <w:rsid w:val="1BAD6739"/>
    <w:rsid w:val="1BB20582"/>
    <w:rsid w:val="1CB6140F"/>
    <w:rsid w:val="1D304E24"/>
    <w:rsid w:val="1D7338A9"/>
    <w:rsid w:val="1DAC3B18"/>
    <w:rsid w:val="1DC56295"/>
    <w:rsid w:val="1EE02EFE"/>
    <w:rsid w:val="20153C15"/>
    <w:rsid w:val="20D556FA"/>
    <w:rsid w:val="24D375AA"/>
    <w:rsid w:val="256E12F3"/>
    <w:rsid w:val="27025D31"/>
    <w:rsid w:val="279F1C14"/>
    <w:rsid w:val="28A367B1"/>
    <w:rsid w:val="296B194B"/>
    <w:rsid w:val="29FA2B91"/>
    <w:rsid w:val="2A3A39A8"/>
    <w:rsid w:val="2B5A60CE"/>
    <w:rsid w:val="2C765BD2"/>
    <w:rsid w:val="2E0C556D"/>
    <w:rsid w:val="2EDC3096"/>
    <w:rsid w:val="2F0155FD"/>
    <w:rsid w:val="2F161A5F"/>
    <w:rsid w:val="2F3D166F"/>
    <w:rsid w:val="30AA0024"/>
    <w:rsid w:val="32D05DB0"/>
    <w:rsid w:val="32D87536"/>
    <w:rsid w:val="32FB6091"/>
    <w:rsid w:val="34677496"/>
    <w:rsid w:val="35CE5728"/>
    <w:rsid w:val="3B5C21D9"/>
    <w:rsid w:val="3CDC29EC"/>
    <w:rsid w:val="3DE851E5"/>
    <w:rsid w:val="3E3A1E21"/>
    <w:rsid w:val="3F455730"/>
    <w:rsid w:val="3F956E04"/>
    <w:rsid w:val="403D540D"/>
    <w:rsid w:val="442D4ACC"/>
    <w:rsid w:val="453451D2"/>
    <w:rsid w:val="455865D8"/>
    <w:rsid w:val="45E268AB"/>
    <w:rsid w:val="46820963"/>
    <w:rsid w:val="46BA2DED"/>
    <w:rsid w:val="46F13252"/>
    <w:rsid w:val="48C07D89"/>
    <w:rsid w:val="4AC92666"/>
    <w:rsid w:val="4E0B1CF7"/>
    <w:rsid w:val="4E3933FD"/>
    <w:rsid w:val="4F0E7DE1"/>
    <w:rsid w:val="528064E4"/>
    <w:rsid w:val="53FE7100"/>
    <w:rsid w:val="55D03724"/>
    <w:rsid w:val="56D72206"/>
    <w:rsid w:val="58735BDF"/>
    <w:rsid w:val="5A8B14D7"/>
    <w:rsid w:val="5B0169F7"/>
    <w:rsid w:val="5B7902D6"/>
    <w:rsid w:val="5C075D45"/>
    <w:rsid w:val="5C272B00"/>
    <w:rsid w:val="5C8F5D5B"/>
    <w:rsid w:val="5E98627C"/>
    <w:rsid w:val="5F2D3487"/>
    <w:rsid w:val="5F5C2F7E"/>
    <w:rsid w:val="5FD705BD"/>
    <w:rsid w:val="601C795B"/>
    <w:rsid w:val="61417F53"/>
    <w:rsid w:val="642025AF"/>
    <w:rsid w:val="6435728C"/>
    <w:rsid w:val="65FA2407"/>
    <w:rsid w:val="66B2560C"/>
    <w:rsid w:val="696C6ED4"/>
    <w:rsid w:val="6CFF3807"/>
    <w:rsid w:val="7040757F"/>
    <w:rsid w:val="71D73C1E"/>
    <w:rsid w:val="72705E7F"/>
    <w:rsid w:val="727566FC"/>
    <w:rsid w:val="736A0E90"/>
    <w:rsid w:val="751662B3"/>
    <w:rsid w:val="78A37F8C"/>
    <w:rsid w:val="79CD2D5C"/>
    <w:rsid w:val="7B233ED9"/>
    <w:rsid w:val="7CFF4FF7"/>
    <w:rsid w:val="7D0232A0"/>
    <w:rsid w:val="7D581C0B"/>
    <w:rsid w:val="7EEF5A8C"/>
    <w:rsid w:val="7F7B52B1"/>
    <w:rsid w:val="7FD27F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9"/>
    <w:pPr>
      <w:autoSpaceDE w:val="0"/>
      <w:autoSpaceDN w:val="0"/>
      <w:ind w:left="20"/>
      <w:jc w:val="left"/>
      <w:outlineLvl w:val="3"/>
    </w:pPr>
    <w:rPr>
      <w:rFonts w:ascii="宋体" w:hAnsi="宋体" w:eastAsia="宋体" w:cs="宋体"/>
      <w:b/>
      <w:bCs/>
      <w:kern w:val="0"/>
      <w:sz w:val="22"/>
      <w:lang w:val="zh-TW" w:eastAsia="zh-TW"/>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4"/>
    <w:qFormat/>
    <w:uiPriority w:val="0"/>
    <w:rPr>
      <w:rFonts w:ascii="宋体" w:hAnsi="Courier New" w:eastAsia="宋体" w:cs="Courier New"/>
      <w:szCs w:val="21"/>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rFonts w:ascii="Calibri" w:hAnsi="Calibri" w:eastAsia="宋体" w:cs="Times New Roman"/>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paragraph" w:styleId="13">
    <w:name w:val="List Paragraph"/>
    <w:basedOn w:val="1"/>
    <w:qFormat/>
    <w:uiPriority w:val="34"/>
    <w:pPr>
      <w:ind w:firstLine="420" w:firstLineChars="200"/>
    </w:pPr>
    <w:rPr>
      <w:rFonts w:ascii="Calibri" w:hAnsi="Calibri" w:eastAsia="宋体" w:cs="Times New Roman"/>
    </w:rPr>
  </w:style>
  <w:style w:type="character" w:customStyle="1" w:styleId="14">
    <w:name w:val="纯文本 Char"/>
    <w:basedOn w:val="8"/>
    <w:link w:val="3"/>
    <w:qFormat/>
    <w:uiPriority w:val="0"/>
    <w:rPr>
      <w:rFonts w:ascii="宋体" w:hAnsi="Courier New" w:eastAsia="宋体" w:cs="Courier New"/>
      <w:szCs w:val="21"/>
    </w:rPr>
  </w:style>
  <w:style w:type="character" w:customStyle="1" w:styleId="15">
    <w:name w:val="批注框文本 Char"/>
    <w:basedOn w:val="8"/>
    <w:link w:val="4"/>
    <w:semiHidden/>
    <w:qFormat/>
    <w:uiPriority w:val="99"/>
    <w:rPr>
      <w:sz w:val="18"/>
      <w:szCs w:val="18"/>
    </w:rPr>
  </w:style>
  <w:style w:type="paragraph" w:customStyle="1" w:styleId="16">
    <w:name w:val="Table Paragraph"/>
    <w:basedOn w:val="1"/>
    <w:qFormat/>
    <w:uiPriority w:val="99"/>
    <w:pPr>
      <w:autoSpaceDE w:val="0"/>
      <w:autoSpaceDN w:val="0"/>
      <w:jc w:val="left"/>
    </w:pPr>
    <w:rPr>
      <w:rFonts w:ascii="Arial" w:hAnsi="Arial" w:eastAsia="宋体" w:cs="Arial"/>
      <w:kern w:val="0"/>
      <w:sz w:val="22"/>
      <w:lang w:val="zh-TW"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C7A414-1535-4826-A3F7-F734F5503C0E}">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25</Pages>
  <Words>1781</Words>
  <Characters>10156</Characters>
  <Lines>84</Lines>
  <Paragraphs>23</Paragraphs>
  <TotalTime>4</TotalTime>
  <ScaleCrop>false</ScaleCrop>
  <LinksUpToDate>false</LinksUpToDate>
  <CharactersWithSpaces>11914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2019-06-13T08:41:00Z</dcterms:created>
  <dc:creator>USER-</dc:creator>
  <cp:lastModifiedBy>lenovo</cp:lastModifiedBy>
  <cp:lastPrinted>2019-06-14T05:45:00Z</cp:lastPrinted>
  <dcterms:modified xsi:type="dcterms:W3CDTF">2022-06-20T12:28:23Z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