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</w:p>
    <w:p>
      <w:pPr>
        <w:spacing w:line="560" w:lineRule="exact"/>
        <w:jc w:val="center"/>
        <w:rPr>
          <w:rFonts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</w:rPr>
        <w:t>赣县农商银行2023年度信息披露报告</w:t>
      </w:r>
    </w:p>
    <w:p>
      <w:pPr>
        <w:spacing w:line="560" w:lineRule="exact"/>
        <w:jc w:val="center"/>
        <w:rPr>
          <w:rFonts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</w:rPr>
        <w:t>（简版）</w:t>
      </w:r>
    </w:p>
    <w:p>
      <w:pPr>
        <w:spacing w:line="560" w:lineRule="exact"/>
        <w:jc w:val="center"/>
        <w:rPr>
          <w:rFonts w:ascii="方正大标宋简体" w:hAnsi="宋体" w:eastAsia="方正大标宋简体"/>
          <w:sz w:val="44"/>
          <w:szCs w:val="44"/>
        </w:rPr>
      </w:pPr>
    </w:p>
    <w:p>
      <w:pPr>
        <w:pStyle w:val="8"/>
        <w:widowControl/>
        <w:shd w:val="clear" w:color="auto" w:fill="FFFFFF"/>
        <w:tabs>
          <w:tab w:val="left" w:pos="630"/>
        </w:tabs>
        <w:spacing w:line="500" w:lineRule="exact"/>
        <w:ind w:firstLine="64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一、报告期末主要利润指标情况</w:t>
      </w:r>
    </w:p>
    <w:p>
      <w:pPr>
        <w:pStyle w:val="8"/>
        <w:widowControl/>
        <w:shd w:val="clear" w:color="auto" w:fill="FFFFFF"/>
        <w:tabs>
          <w:tab w:val="left" w:pos="630"/>
        </w:tabs>
        <w:spacing w:line="500" w:lineRule="exact"/>
        <w:ind w:left="1510" w:firstLine="0" w:firstLineChars="0"/>
        <w:jc w:val="center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 xml:space="preserve">                             单位：万元</w:t>
      </w:r>
    </w:p>
    <w:tbl>
      <w:tblPr>
        <w:tblStyle w:val="6"/>
        <w:tblW w:w="85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2"/>
        <w:gridCol w:w="40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4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2023年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利润总额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15758.79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净利润</w:t>
            </w:r>
          </w:p>
        </w:tc>
        <w:tc>
          <w:tcPr>
            <w:tcW w:w="4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13394.97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投资收益</w:t>
            </w:r>
          </w:p>
        </w:tc>
        <w:tc>
          <w:tcPr>
            <w:tcW w:w="4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3188.93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营业利润</w:t>
            </w: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15908.54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营业外收支净额</w:t>
            </w: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-149.75</w:t>
            </w:r>
          </w:p>
        </w:tc>
      </w:tr>
    </w:tbl>
    <w:p>
      <w:pPr>
        <w:widowControl/>
        <w:shd w:val="clear" w:color="auto" w:fill="FFFFFF"/>
        <w:tabs>
          <w:tab w:val="left" w:pos="630"/>
        </w:tabs>
        <w:spacing w:line="560" w:lineRule="exact"/>
        <w:ind w:firstLine="643" w:firstLineChars="200"/>
        <w:rPr>
          <w:rFonts w:ascii="楷体_GB2312" w:hAnsi="宋体" w:eastAsia="楷体_GB2312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tabs>
          <w:tab w:val="left" w:pos="630"/>
        </w:tabs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二、截止报告期末前三年主要会计财务数据和财务指标</w:t>
      </w:r>
    </w:p>
    <w:p>
      <w:pPr>
        <w:widowControl/>
        <w:shd w:val="clear" w:color="auto" w:fill="FFFFFF"/>
        <w:tabs>
          <w:tab w:val="left" w:pos="630"/>
        </w:tabs>
        <w:spacing w:line="560" w:lineRule="exact"/>
        <w:ind w:right="320" w:firstLine="640" w:firstLineChars="200"/>
        <w:jc w:val="righ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单位：万元、%</w:t>
      </w:r>
    </w:p>
    <w:tbl>
      <w:tblPr>
        <w:tblStyle w:val="7"/>
        <w:tblW w:w="9117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79"/>
        <w:gridCol w:w="2279"/>
        <w:gridCol w:w="22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ind w:firstLine="643" w:firstLineChars="200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ind w:firstLine="643" w:firstLineChars="200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ind w:firstLine="643" w:firstLineChars="200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ind w:firstLine="643" w:firstLineChars="200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71746.91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71562.05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67984.27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营业支出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55838.37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56665.26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55038.67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营业外收支净额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-149.75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-41.43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-35.89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15758.79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14855.35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12909.72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净利润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13394.97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12100.54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9682.29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总资产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1581211.29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1473922.3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1346531.07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总负债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1481310.04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1380735.2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1259811.5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存款余额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137955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3.66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1276640.88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1157210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贷款余额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1032945.37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982615.50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880949.45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信用贷款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485748.02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408711.29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351549.99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保证贷款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63294.50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50446.52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41966.83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抵押贷款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307883.39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302139.12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306822.15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质押贷款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17190.60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26319.71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26558.54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存放同业款项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11101.95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11338.33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12965.58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每股净资产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2.79/股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2.73元/股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ind w:firstLine="320" w:firstLineChars="100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2.6元/股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资本利润率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13.87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13.45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11.67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资产利润率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0.86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0.75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成本收入比例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31.63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31.23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31.26</w:t>
            </w:r>
          </w:p>
        </w:tc>
      </w:tr>
    </w:tbl>
    <w:p>
      <w:pPr>
        <w:widowControl/>
        <w:shd w:val="clear" w:color="auto" w:fill="FFFFFF"/>
        <w:tabs>
          <w:tab w:val="left" w:pos="630"/>
        </w:tabs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三、报告期末主要监管指标情况</w:t>
      </w:r>
    </w:p>
    <w:p>
      <w:pPr>
        <w:widowControl/>
        <w:shd w:val="clear" w:color="auto" w:fill="FFFFFF"/>
        <w:tabs>
          <w:tab w:val="left" w:pos="630"/>
        </w:tabs>
        <w:spacing w:line="560" w:lineRule="exact"/>
        <w:ind w:right="320" w:firstLine="640" w:firstLineChars="200"/>
        <w:jc w:val="righ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单位：万元、%</w:t>
      </w:r>
    </w:p>
    <w:tbl>
      <w:tblPr>
        <w:tblStyle w:val="6"/>
        <w:tblW w:w="877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9"/>
        <w:gridCol w:w="2549"/>
        <w:gridCol w:w="229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主要风险指标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标准值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2023年末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核心一级资本净额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99391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一级资本净额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99391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资本净额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108966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核心一级资本充足率(%）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8.5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11.55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一级资本充足率(%）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8.5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11.55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资本充足率(%）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10.5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12.66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贷款拨备率（%）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≧2.5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贷款损失准备覆盖率（%）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≧150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490.53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不良资产率（%）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不良贷款率（%）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≦5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存贷比例（%）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≦75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70.12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流动性比例（%）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≧25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57.54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逾贷比（%）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≦100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83.66</w:t>
            </w:r>
          </w:p>
        </w:tc>
      </w:tr>
    </w:tbl>
    <w:p>
      <w:pPr>
        <w:widowControl/>
        <w:shd w:val="clear" w:color="auto" w:fill="FFFFFF"/>
        <w:tabs>
          <w:tab w:val="left" w:pos="63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本行确保赣县农商银行 2023年度信息披露表中的有关数内容真实。  </w:t>
      </w:r>
    </w:p>
    <w:p>
      <w:pPr>
        <w:widowControl/>
        <w:shd w:val="clear" w:color="auto" w:fill="FFFFFF"/>
        <w:tabs>
          <w:tab w:val="left" w:pos="63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tabs>
          <w:tab w:val="left" w:pos="63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江西赣县农村商业银行股份有限公司</w:t>
      </w:r>
    </w:p>
    <w:p>
      <w:pPr>
        <w:widowControl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本表为赣县农商银行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23年度信息披露报告（简版），详细披露情况请登录：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（赣县农商银行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23年度信息披露报告正文）http://10.0.95.5:8080/eportal/admin?moduleId=1&amp;struts.portlet.action=/security/toIndex.action</w:t>
      </w:r>
    </w:p>
    <w:p>
      <w:pPr>
        <w:ind w:firstLine="640" w:firstLineChars="200"/>
        <w:rPr>
          <w:rFonts w:ascii="仿宋_GB2312" w:eastAsia="仿宋_GB2312"/>
          <w:color w:val="0000FF"/>
          <w:sz w:val="32"/>
          <w:szCs w:val="32"/>
        </w:rPr>
      </w:pPr>
      <w:r>
        <w:rPr>
          <w:rStyle w:val="5"/>
          <w:rFonts w:hint="eastAsia" w:ascii="仿宋_GB2312" w:eastAsia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eastAsia="仿宋_GB2312"/>
          <w:sz w:val="32"/>
          <w:szCs w:val="32"/>
        </w:rPr>
        <w:t>赣县农商银行</w:t>
      </w:r>
      <w:r>
        <w:rPr>
          <w:rStyle w:val="5"/>
          <w:rFonts w:ascii="仿宋_GB2312" w:eastAsia="仿宋_GB2312"/>
          <w:color w:val="auto"/>
          <w:sz w:val="32"/>
          <w:szCs w:val="32"/>
          <w:u w:val="none"/>
        </w:rPr>
        <w:t>20</w:t>
      </w:r>
      <w:r>
        <w:rPr>
          <w:rStyle w:val="5"/>
          <w:rFonts w:hint="eastAsia" w:ascii="仿宋_GB2312" w:eastAsia="仿宋_GB2312"/>
          <w:color w:val="auto"/>
          <w:sz w:val="32"/>
          <w:szCs w:val="32"/>
          <w:u w:val="none"/>
        </w:rPr>
        <w:t>23年度年报审计报告）</w:t>
      </w: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418" w:right="1361" w:bottom="1247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0361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03614"/>
    </w:sdtPr>
    <w:sdtContent>
      <w:p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27C0F"/>
    <w:rsid w:val="02A05845"/>
    <w:rsid w:val="22755B90"/>
    <w:rsid w:val="3C164644"/>
    <w:rsid w:val="3FA97081"/>
    <w:rsid w:val="40027E7F"/>
    <w:rsid w:val="4DC27C0F"/>
    <w:rsid w:val="75B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2024-06-11T08:03:00Z</dcterms:created>
  <dc:creator>admin</dc:creator>
  <cp:lastModifiedBy>匿名用户</cp:lastModifiedBy>
  <dcterms:modified xsi:type="dcterms:W3CDTF">2024-06-19T08:36:15Z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