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jc w:val="center"/>
        <w:textAlignment w:val="auto"/>
        <w:outlineLvl w:val="9"/>
        <w:rPr>
          <w:rFonts w:hint="eastAsia" w:ascii="方正大标宋简体" w:hAnsi="方正大标宋简体" w:eastAsia="方正大标宋简体" w:cs="方正大标宋简体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大标宋简体" w:hAnsi="方正大标宋简体" w:eastAsia="方正大标宋简体" w:cs="方正大标宋简体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江西赣县农村商业银行股份有限公司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jc w:val="center"/>
        <w:textAlignment w:val="auto"/>
        <w:outlineLvl w:val="9"/>
        <w:rPr>
          <w:rFonts w:hint="eastAsia" w:ascii="方正大标宋简体" w:hAnsi="方正大标宋简体" w:eastAsia="方正大标宋简体" w:cs="方正大标宋简体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大标宋简体" w:hAnsi="方正大标宋简体" w:eastAsia="方正大标宋简体" w:cs="方正大标宋简体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方正大标宋简体" w:hAnsi="方正大标宋简体" w:eastAsia="方正大标宋简体" w:cs="方正大标宋简体"/>
          <w:color w:val="000000" w:themeColor="text1"/>
          <w:sz w:val="44"/>
          <w:szCs w:val="44"/>
          <w:highlight w:val="none"/>
          <w:lang w:eastAsia="zh-CN"/>
          <w14:textFill>
            <w14:solidFill>
              <w14:schemeClr w14:val="tx1"/>
            </w14:solidFill>
          </w14:textFill>
        </w:rPr>
        <w:t>〇</w:t>
      </w:r>
      <w:r>
        <w:rPr>
          <w:rFonts w:hint="eastAsia" w:ascii="方正大标宋简体" w:hAnsi="方正大标宋简体" w:eastAsia="方正大标宋简体" w:cs="方正大标宋简体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方正大标宋简体" w:hAnsi="方正大标宋简体" w:eastAsia="方正大标宋简体" w:cs="方正大标宋简体"/>
          <w:color w:val="000000" w:themeColor="text1"/>
          <w:sz w:val="44"/>
          <w:szCs w:val="44"/>
          <w:highlight w:val="none"/>
          <w:lang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方正大标宋简体" w:hAnsi="方正大标宋简体" w:eastAsia="方正大标宋简体" w:cs="方正大标宋简体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年度社会责任报告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both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一、基本情况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3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（一）公司简介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江西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赣县农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村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商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银行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股份有限公司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是经中国银保监会批准，在原赣县农村信用合作联社基础上改制而成的股份制商业银行，于2016年6月30日正式挂牌开业。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2"/>
          <w:sz w:val="32"/>
          <w:szCs w:val="32"/>
          <w:highlight w:val="none"/>
          <w:lang w:val="zh-CN" w:eastAsia="zh-CN" w:bidi="ar-SA"/>
          <w14:textFill>
            <w14:solidFill>
              <w14:schemeClr w14:val="tx1"/>
            </w14:solidFill>
          </w14:textFill>
        </w:rPr>
        <w:t>截至202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2"/>
          <w:sz w:val="32"/>
          <w:szCs w:val="32"/>
          <w:highlight w:val="none"/>
          <w:lang w:val="zh-CN" w:eastAsia="zh-CN" w:bidi="ar-SA"/>
          <w14:textFill>
            <w14:solidFill>
              <w14:schemeClr w14:val="tx1"/>
            </w14:solidFill>
          </w14:textFill>
        </w:rPr>
        <w:t>年末，全行资产总额达到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158.12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2"/>
          <w:sz w:val="32"/>
          <w:szCs w:val="32"/>
          <w:highlight w:val="none"/>
          <w:lang w:val="zh-CN" w:eastAsia="zh-CN" w:bidi="ar-SA"/>
          <w14:textFill>
            <w14:solidFill>
              <w14:schemeClr w14:val="tx1"/>
            </w14:solidFill>
          </w14:textFill>
        </w:rPr>
        <w:t>亿元，其中各项贷款余额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108.49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2"/>
          <w:sz w:val="32"/>
          <w:szCs w:val="32"/>
          <w:highlight w:val="none"/>
          <w:lang w:val="zh-CN" w:eastAsia="zh-CN" w:bidi="ar-SA"/>
          <w14:textFill>
            <w14:solidFill>
              <w14:schemeClr w14:val="tx1"/>
            </w14:solidFill>
          </w14:textFill>
        </w:rPr>
        <w:t>亿元；各项存款余额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137.96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2"/>
          <w:sz w:val="32"/>
          <w:szCs w:val="32"/>
          <w:highlight w:val="none"/>
          <w:lang w:val="zh-CN" w:eastAsia="zh-CN" w:bidi="ar-SA"/>
          <w14:textFill>
            <w14:solidFill>
              <w14:schemeClr w14:val="tx1"/>
            </w14:solidFill>
          </w14:textFill>
        </w:rPr>
        <w:t>亿元；各项收入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7.18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2"/>
          <w:sz w:val="32"/>
          <w:szCs w:val="32"/>
          <w:highlight w:val="none"/>
          <w:lang w:val="zh-CN" w:eastAsia="zh-CN" w:bidi="ar-SA"/>
          <w14:textFill>
            <w14:solidFill>
              <w14:schemeClr w14:val="tx1"/>
            </w14:solidFill>
          </w14:textFill>
        </w:rPr>
        <w:t>亿元，净利润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1.34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2"/>
          <w:sz w:val="32"/>
          <w:szCs w:val="32"/>
          <w:highlight w:val="none"/>
          <w:lang w:val="zh-CN" w:eastAsia="zh-CN" w:bidi="ar-SA"/>
          <w14:textFill>
            <w14:solidFill>
              <w14:schemeClr w14:val="tx1"/>
            </w14:solidFill>
          </w14:textFill>
        </w:rPr>
        <w:t>亿元；纳税总额</w:t>
      </w:r>
      <w:r>
        <w:rPr>
          <w:rFonts w:hint="eastAsia" w:ascii="仿宋_GB2312" w:hAnsi="仿宋_GB2312" w:eastAsia="仿宋_GB2312" w:cs="仿宋_GB2312"/>
          <w:color w:val="000000" w:themeColor="text1"/>
          <w:w w:val="10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10854.91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2"/>
          <w:sz w:val="32"/>
          <w:szCs w:val="32"/>
          <w:highlight w:val="none"/>
          <w:lang w:val="zh-CN" w:eastAsia="zh-CN" w:bidi="ar-SA"/>
          <w14:textFill>
            <w14:solidFill>
              <w14:schemeClr w14:val="tx1"/>
            </w14:solidFill>
          </w14:textFill>
        </w:rPr>
        <w:t>万元。现有内设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14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2"/>
          <w:sz w:val="32"/>
          <w:szCs w:val="32"/>
          <w:highlight w:val="none"/>
          <w:lang w:val="zh-CN" w:eastAsia="zh-CN" w:bidi="ar-SA"/>
          <w14:textFill>
            <w14:solidFill>
              <w14:schemeClr w14:val="tx1"/>
            </w14:solidFill>
          </w14:textFill>
        </w:rPr>
        <w:t>个职能部门，下辖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31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2"/>
          <w:sz w:val="32"/>
          <w:szCs w:val="32"/>
          <w:highlight w:val="none"/>
          <w:lang w:val="zh-CN" w:eastAsia="zh-CN" w:bidi="ar-SA"/>
          <w14:textFill>
            <w14:solidFill>
              <w14:schemeClr w14:val="tx1"/>
            </w14:solidFill>
          </w14:textFill>
        </w:rPr>
        <w:t>家营业网点，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在岗员工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323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人，业务覆盖全区60余万城乡居民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，全年公益捐款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21.1万元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存贷款规模、市场份额、客户总量、纳税总额、社会贡献均稳居全区金融机构首位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是赣县区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乡村振兴的主办银行、小微首选的暖心银行、市民信任的知心银行、普惠大众的百姓银行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3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（二）所获荣誉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荣获赣县区2022年度综合考核第一等次。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荣获省联社2022年度非现场监管报表统计工作先进单位。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荣获赣县区慈善工作先进单位。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baseline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荣获中国人民银行江西省分行关于2023年江西省金融系统“规范管理提质效 强化调研谋实干”货币信贷与金融市场管理业务竞赛三等奖。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baseline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荣获全省农商银行2023年信息宣传优胜单位。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baseline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荣获全省农商银行百福学堂2023年度优秀学习型单位。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3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（三）企业文化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八行战略</w:t>
      </w: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党建领行、质量立行、合规守行、特色办行、科技兴行、人才强行、服务暖行、从严治行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市场定位：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立足本土，服务社区，支农支小。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企业精神：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勤奋、忠诚、严谨、开拓。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企业宗旨：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信用为本、合作共赢。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企业价值观：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诚信、敬业、创新、稳健、担当。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服务理念：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客户至上、服务至诚。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品牌口号：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手握手的承诺，心贴心的服务。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“三同”情怀：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“同吃、同住、同劳动”。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“三水”精神：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“一头露水、一身汗水、一脚泥水”。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“三勤”作风：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“手勤、嘴勤、腿勤”。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“三铁”要求：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账本、铁算盘、铁规章”。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3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（四）社会责任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对政府：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服务全面乡村振兴战略、支持小微民营企业、助力创新创业群体、融入赣州普惠金融改革试验区建设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、对接区域发展战略、参与保文创卫工作、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保持税收稳定增长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对监管机构：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坚持依法合规经营、推进法治银行建设、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加强全面风险管理、推进平安农商银行建设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对股东：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规范股权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管理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、完善法人治理结构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定期报告与公告、加强日常沟通。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对客户：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加快产品创新、推进百福生活圈建设、升级普惠金融服务站、优化金融服务、普及金融知识、保障金融消费者合法权益。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对员工：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遵守国家劳动法律法规、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提供多元化培训、开展多样化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文体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活动、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关心关怀员工、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优化考核激励机制、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畅通职业发展渠道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对社会：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发展绿色金融、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开展慈善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助学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公益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活动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、开展金融知识宣传、开展志愿者活动。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践行主力担当，融入区域发展建新功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认真贯彻稳经济大盘各项决策部署，“聚焦走在前、勇争先、善作为”目标要求，持续加大有效信贷投放，不断强化金融服务保障，助力地方经济发展，在助企纾困中擦亮金融服务品牌，在推进客户三年翻番中夯实发展基础，切实以金融助力经济稳、以金融活促经济活。 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3" w:firstLineChars="200"/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全面融入国家区域发展战略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坚持用党的二十大精神统一思想和行动，全面践行金融工作的政治性和人民性，深入落实党中央决策部署和省委工作要求，围绕加大投放、精准浇灌、提升质效，积极落实省联社出台的《关于当前形势下全省农商银行信贷投放工作的指导意见》，从强化乡村振兴金融服务、大力发展普惠金融、加大民营企业支持力度、加强绿色发展金融支持、支持恢复和扩大消费、加强制造业和科技金融服务、支持房地产市场平稳健康发展、加强信贷负面清单管理等八个方面出发，制定具体措施，推动更多信贷资源流向科技创新、先进制造、绿色转型、普惠小微等领域，有力支持地方经济高质量发展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firstLine="643" w:firstLineChars="200"/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全域助推现代产业发展计划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Chars="0" w:firstLine="640" w:firstLineChars="200"/>
        <w:rPr>
          <w:rFonts w:hint="default" w:ascii="仿宋_GB2312" w:hAnsi="仿宋_GB2312" w:eastAsia="仿宋_GB2312" w:cs="仿宋_GB2312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我行完整、准确、全面贯彻新发展理念，强化对经济转型升级的金融支持，主动融入现代产业发展计划，充分发挥金融为产业“输血”的能效，创新特色金融产品，加大有效信贷投放力度，为构建体现江西特色和优势的现代化产业体系插上“金融翅膀”。积极践行“绿水青山就是金山银山”理念，主动策应“双碳”战略部署，落实《全省农商银行绿色金融行动实施方案》，把绿色发展理念贯穿于客户服务和信贷管理的全过程，拓展绿色金融产品矩阵，积极推广特色信贷产品，大力支持和促进生态文明建设。截止2023年末，绿色贷款余额21474万元，较年初增加4263万元。 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77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left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三、坚守金融之本，服务实体经济显担当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77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坚持把金融服务实体经济作为根本宗旨，以服务厚植本土，向下扎根、向上生长，以长期主义的韧劲深耕普惠金融核心赛道、强化支农支小核心主业，着力护住“三农+小微”两个小盘，助力稳住区域经济大盘，把“百姓银行”的担当作为书写在赣县区这片土地上。截止2023年末，全年累计投放贷款70.24亿元，普惠涉农贷款余额41.15亿元，普惠小微企业贷款余额29.84亿元，贷款授信户数60590户。</w:t>
      </w:r>
    </w:p>
    <w:p>
      <w:pPr>
        <w:keepNext w:val="0"/>
        <w:keepLines w:val="0"/>
        <w:pageBreakBefore w:val="0"/>
        <w:numPr>
          <w:ilvl w:val="0"/>
          <w:numId w:val="3"/>
        </w:numPr>
        <w:tabs>
          <w:tab w:val="left" w:pos="77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3" w:firstLineChars="200"/>
        <w:jc w:val="left"/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打造离大地最近的草根银行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坚定不移做农、做小、做小微、做特色，深入实施“特色办行”战略，立足机构、网络、服务等独特优势，持之以恒向更深处下沉、向长尾端发力、向宽领域拓展，走小而美、小而优的差异化、特色化发展之路，在推动农业强、农村美、农民富中，见证农商银行对红色土地的赤子情深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深入实施贷款客户三年翻番工程。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积极开展贷款客户三年翻番行动，充分发挥营业网点多、客户资源广、经营机制活、决策效率高等独具特色的比较优势，持续做深、做实、做精、做细、做透本土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市场，持续增强支农支小战略定力。至2023年末，全行新增贷款客户0.43万户，贷款总数达到6.06万户，提升了客户的金融获得感与满意度。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77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3" w:firstLineChars="200"/>
        <w:jc w:val="left"/>
        <w:rPr>
          <w:rFonts w:hint="eastAsia" w:ascii="仿宋_GB2312" w:hAnsi="仿宋_GB2312" w:eastAsia="仿宋_GB2312" w:cs="仿宋_GB2312"/>
          <w:color w:val="000000" w:themeColor="text1"/>
          <w:w w:val="100"/>
          <w:sz w:val="32"/>
          <w:szCs w:val="32"/>
          <w:highlight w:val="none"/>
          <w:lang w:val="zh-CN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全力当好“乡村振兴主办行”。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以“乡村振兴主办银行”的担当、“百姓银行”的情怀，把服务“三农”小盘放在稳住经济发展大盘中布局，深入实施联建共建助力乡村振兴三年规划，将巩固拓展脱贫攻坚成果同乡村振兴有效衔接，通过名单制对接、销号制管理，积极对接特色农产品优势产区和农产品加工金融服务需求，大力支持新型农业经营主体发展，积极推广乡村振兴贷、惠农网贷等特色金融产品，全力保障乡村振兴信贷供给，以“农商之力”助力农业强起来、农村美起来、农民富起来。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至2023年末，全行累放乡村振兴贷款16.91亿元，惠及9415户农户；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2"/>
          <w:sz w:val="32"/>
          <w:szCs w:val="32"/>
          <w:highlight w:val="none"/>
          <w:lang w:val="zh-CN" w:eastAsia="zh-CN" w:bidi="ar-SA"/>
          <w14:textFill>
            <w14:solidFill>
              <w14:schemeClr w14:val="tx1"/>
            </w14:solidFill>
          </w14:textFill>
        </w:rPr>
        <w:t>农户小额贷款覆盖面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22.24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2"/>
          <w:sz w:val="32"/>
          <w:szCs w:val="32"/>
          <w:highlight w:val="none"/>
          <w:lang w:val="zh-CN" w:eastAsia="zh-CN" w:bidi="ar-SA"/>
          <w14:textFill>
            <w14:solidFill>
              <w14:schemeClr w14:val="tx1"/>
            </w14:solidFill>
          </w14:textFill>
        </w:rPr>
        <w:t>%，户均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9.19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2"/>
          <w:sz w:val="32"/>
          <w:szCs w:val="32"/>
          <w:highlight w:val="none"/>
          <w:lang w:val="zh-CN" w:eastAsia="zh-CN" w:bidi="ar-SA"/>
          <w14:textFill>
            <w14:solidFill>
              <w14:schemeClr w14:val="tx1"/>
            </w14:solidFill>
          </w14:textFill>
        </w:rPr>
        <w:t>万元、较年初提高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0.12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2"/>
          <w:sz w:val="32"/>
          <w:szCs w:val="32"/>
          <w:highlight w:val="none"/>
          <w:lang w:val="zh-CN" w:eastAsia="zh-CN" w:bidi="ar-SA"/>
          <w14:textFill>
            <w14:solidFill>
              <w14:schemeClr w14:val="tx1"/>
            </w14:solidFill>
          </w14:textFill>
        </w:rPr>
        <w:t>万元；</w:t>
      </w:r>
      <w:r>
        <w:rPr>
          <w:rFonts w:hint="eastAsia" w:ascii="仿宋_GB2312" w:hAnsi="仿宋_GB2312" w:eastAsia="仿宋_GB2312" w:cs="仿宋_GB2312"/>
          <w:color w:val="000000" w:themeColor="text1"/>
          <w:w w:val="100"/>
          <w:sz w:val="32"/>
          <w:szCs w:val="32"/>
          <w:highlight w:val="none"/>
          <w:lang w:val="zh-CN" w:eastAsia="zh-CN"/>
          <w14:textFill>
            <w14:solidFill>
              <w14:schemeClr w14:val="tx1"/>
            </w14:solidFill>
          </w14:textFill>
        </w:rPr>
        <w:t>及时跟进脱贫户、种养大户、新型农业经营主体的产业发展资金需求，全年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累放</w:t>
      </w:r>
      <w:r>
        <w:rPr>
          <w:rFonts w:hint="eastAsia" w:ascii="仿宋_GB2312" w:hAnsi="仿宋_GB2312" w:eastAsia="仿宋_GB2312" w:cs="仿宋_GB2312"/>
          <w:color w:val="000000" w:themeColor="text1"/>
          <w:w w:val="100"/>
          <w:sz w:val="32"/>
          <w:szCs w:val="32"/>
          <w:highlight w:val="none"/>
          <w:lang w:val="zh-CN" w:eastAsia="zh-CN"/>
          <w14:textFill>
            <w14:solidFill>
              <w14:schemeClr w14:val="tx1"/>
            </w14:solidFill>
          </w14:textFill>
        </w:rPr>
        <w:t>“农业产业振兴通”贷款</w:t>
      </w:r>
      <w:r>
        <w:rPr>
          <w:rFonts w:hint="eastAsia" w:ascii="仿宋_GB2312" w:hAnsi="仿宋_GB2312" w:eastAsia="仿宋_GB2312" w:cs="仿宋_GB2312"/>
          <w:color w:val="000000" w:themeColor="text1"/>
          <w:w w:val="10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4041</w:t>
      </w:r>
      <w:r>
        <w:rPr>
          <w:rFonts w:hint="eastAsia" w:ascii="仿宋_GB2312" w:hAnsi="仿宋_GB2312" w:eastAsia="仿宋_GB2312" w:cs="仿宋_GB2312"/>
          <w:color w:val="000000" w:themeColor="text1"/>
          <w:w w:val="100"/>
          <w:sz w:val="32"/>
          <w:szCs w:val="32"/>
          <w:highlight w:val="none"/>
          <w:lang w:val="zh-CN" w:eastAsia="zh-CN"/>
          <w14:textFill>
            <w14:solidFill>
              <w14:schemeClr w14:val="tx1"/>
            </w14:solidFill>
          </w14:textFill>
        </w:rPr>
        <w:t>户、金额</w:t>
      </w:r>
      <w:r>
        <w:rPr>
          <w:rFonts w:hint="eastAsia" w:ascii="仿宋_GB2312" w:hAnsi="仿宋_GB2312" w:eastAsia="仿宋_GB2312" w:cs="仿宋_GB2312"/>
          <w:color w:val="000000" w:themeColor="text1"/>
          <w:w w:val="10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4.34亿</w:t>
      </w:r>
      <w:r>
        <w:rPr>
          <w:rFonts w:hint="eastAsia" w:ascii="仿宋_GB2312" w:hAnsi="仿宋_GB2312" w:eastAsia="仿宋_GB2312" w:cs="仿宋_GB2312"/>
          <w:color w:val="000000" w:themeColor="text1"/>
          <w:w w:val="100"/>
          <w:sz w:val="32"/>
          <w:szCs w:val="32"/>
          <w:highlight w:val="none"/>
          <w:lang w:val="zh-CN" w:eastAsia="zh-CN"/>
          <w14:textFill>
            <w14:solidFill>
              <w14:schemeClr w14:val="tx1"/>
            </w14:solidFill>
          </w14:textFill>
        </w:rPr>
        <w:t>元。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77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3" w:firstLineChars="200"/>
        <w:jc w:val="left"/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（二）打造与百姓最亲的温暖银行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以人民为中心的价值取向，深入实施“服务暖行”战略，把百姓所难当作第一信号、把百姓所呼当作第一追求，用心用情为客户解难事、办实事，不断满足人民群众日益增长的金融需求，在为百姓民生雪中送炭中，见证农商银行对百姓的真挚情感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3" w:firstLineChars="200"/>
        <w:jc w:val="left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以“点多面广”优势服务当地百姓。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为了更好服务好百姓，充分发挥网点、人员的覆盖优势，支行网点覆盖所有乡镇及主要城市街区，提供差异化服务，全区177个金融服务点延伸至社区、行政村，客户经理深入街头巷尾、田间地头，打通金融服务“最后一公里”，形成百舸争流、千帆竞发、万山红遍之景。积极构建“银行+商户+服务站点”的金融服务布局，不断下沉服务重心，实现金融服务触角从乡镇延伸到村组，累计为偏远乡村农户提供各项金融服务29.13万笔、金额0.78亿元，惠及农户达6万人，农户金融获得感大为提升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3" w:firstLineChars="200"/>
        <w:jc w:val="left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让金融服务跟着老乡走。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以常态化开展“普惠金融万里行”活动为抓手，通过灵活的机制、丰富的产品、暖心的服务，及时与在外客户进行对接，全方位满足在外客户的金融需求。系统谋划制订了外拓服务方案，推出了为赣县籍外出创业人群量身定制的贷款产品，通过融入赣县区各级政府召开的“三请三回”乡贤座谈会等方式，深化与外出关键人、带头人的联系，结合农区整村授信、城区支小支微工作，对赣县区在外人员情况进行精准摸底与梳理。根据赣县区外出人员摸底情况，“兵分多路”前往东莞、深圳、上海等地，全面对接满足企业、商户的生产经营和金融服务需求。2023年，我行通过外拓服务累计客户463户，授信金额10733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营业大厅变群众家门口的“市民办事大厅”。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大力践行“服务暖行”战略，积极推动“金融+政务”融合，智能柜台新增了社保卡账户功能服务，到期社保卡保号申请、社保卡状态查询及变更、社保参保查询、社保缴费明细等多项政务服务功能，通过42多台智能柜台，将政务服务功能延伸至31个网点，真正让营业大厅变身成为群众家门口的“市民办事厅”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3" w:firstLineChars="200"/>
        <w:jc w:val="left"/>
        <w:rPr>
          <w:rFonts w:hint="eastAsia" w:ascii="楷体_GB2312" w:hAnsi="楷体_GB2312" w:eastAsia="楷体_GB2312" w:cs="楷体_GB2312"/>
          <w:b/>
          <w:bCs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（三）打造跟小微最紧的普惠银行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Chars="0" w:firstLine="640" w:firstLineChars="200"/>
        <w:jc w:val="left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把服务小微作为分内之事、应尽之责，坚定走好走稳支小支微的普惠金融之路，发挥小法人经营机制灵活的优势，推动金融服务便捷更高、综合成本更低、支持影响更快，在为小微企业真情付出中，见证农商银行对小微的大爱情怀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Chars="0" w:firstLine="643" w:firstLineChars="200"/>
        <w:jc w:val="left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加大普惠小微金融支持力度。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更加专注做小做散，推动金融资源不断向重点领域和薄弱环节倾斜，持续加大首贷、信用贷的投放力度，着力提升小额贷款占比和首贷率，普惠涉农贷款、普惠小微企业贷款等监管指标持续达标，普惠金融的覆盖率、可得性和满意度持续提升。截止2023年末，小微贷款余额46.84亿元，较年初增加4.06亿元，100万元以下贷款新增占比61.73%，同比上升10.35个百分点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3" w:firstLineChars="200"/>
        <w:jc w:val="left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highlight w:val="none"/>
          <w:lang w:val="zh-CN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真金百银推动“减费让利”。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接续落实普惠小微贷款阶段性减息政策，充分运用支农支小再贷款、再贴现、普惠小微贷款支持工具，并综合运用延期还本付息或无还本续贷等方式，加强对小微企业、个体工商户的金融纾困帮扶，助力保住市场主体、稳住经济大盘。2023年我行贷款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highlight w:val="none"/>
          <w:lang w:val="zh-CN" w:eastAsia="zh-CN" w:bidi="ar-SA"/>
          <w14:textFill>
            <w14:solidFill>
              <w14:schemeClr w14:val="tx1"/>
            </w14:solidFill>
          </w14:textFill>
        </w:rPr>
        <w:t>加权平均利率下降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58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highlight w:val="none"/>
          <w:lang w:val="zh-CN" w:eastAsia="zh-CN" w:bidi="ar-SA"/>
          <w14:textFill>
            <w14:solidFill>
              <w14:schemeClr w14:val="tx1"/>
            </w14:solidFill>
          </w14:textFill>
        </w:rPr>
        <w:t>个BP；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全年减费让利近678万余元，其中下调利率让利640万余元，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highlight w:val="none"/>
          <w:lang w:val="zh-CN" w:eastAsia="zh-CN" w:bidi="ar-SA"/>
          <w14:textFill>
            <w14:solidFill>
              <w14:schemeClr w14:val="tx1"/>
            </w14:solidFill>
          </w14:textFill>
        </w:rPr>
        <w:t>减免抵押登记费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38万余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highlight w:val="none"/>
          <w:lang w:val="zh-CN" w:eastAsia="zh-CN" w:bidi="ar-SA"/>
          <w14:textFill>
            <w14:solidFill>
              <w14:schemeClr w14:val="tx1"/>
            </w14:solidFill>
          </w14:textFill>
        </w:rPr>
        <w:t>元。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Chars="200" w:firstLine="320" w:firstLineChars="100"/>
        <w:jc w:val="left"/>
        <w:rPr>
          <w:rFonts w:hint="eastAsia" w:ascii="黑体" w:hAnsi="黑体" w:eastAsia="黑体" w:cs="黑体"/>
          <w:b w:val="0"/>
          <w:bCs w:val="0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四、胸怀为民，增进民生福祉展作为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left"/>
        <w:rPr>
          <w:rFonts w:hint="eastAsia" w:ascii="仿宋_GB2312" w:hAnsi="仿宋_GB2312" w:eastAsia="仿宋_GB2312" w:cs="仿宋_GB2312"/>
          <w:b/>
          <w:bCs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坚持以人民为中心的价值取向，把增进人民福祉、促进共同富裕作为金融工作的出发点和落脚点，着力把惠民生的事办实、暖民心的事办细、顺民意的事办好，推动金融高质量发展成果更多更好惠及人民群众，用“农商温度”擦亮“百姓银行”金字招牌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3" w:firstLineChars="200"/>
        <w:jc w:val="left"/>
        <w:rPr>
          <w:rFonts w:hint="eastAsia" w:ascii="楷体_GB2312" w:hAnsi="楷体_GB2312" w:eastAsia="楷体_GB2312" w:cs="楷体_GB2312"/>
          <w:b/>
          <w:bCs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（一）金融服务更具“烟火气”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围绕就业、创业、就学等民生热点，聚焦新市民群体初入大城市的“急难愁盼”，不断提升金融产品供给能力和服务能力，以“金融速度”“金融温度”“金融力度”为人民美好生活构筑坚实的金融“后盾”，以强劲金融动能助燃城乡烟火气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3" w:firstLineChars="200"/>
        <w:jc w:val="left"/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金融服务点亮“新”生活。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我行聚焦新市民在创业、就业、住房、教育、医疗、养老等重点领域的金融需求，创新推出差异化、特色化、多样化的金融产品和服务，着力提升新市民融资的可得性和便利性，努力让新市民的获得感成色更足、幸福感更可持续、安全感更有保障。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至2023年末，全行新市民贷款余额0.39亿元，较年初增加346万元，同比增长9.69%。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3" w:firstLineChars="200"/>
        <w:jc w:val="left"/>
        <w:rPr>
          <w:rFonts w:hint="eastAsia" w:ascii="楷体_GB2312" w:hAnsi="楷体_GB2312" w:eastAsia="楷体_GB2312" w:cs="楷体_GB2312"/>
          <w:b/>
          <w:bCs w:val="0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 w:val="0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（二）金融服务更有“人情味”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深入践行“百姓银行”情怀，想客户之所想、急客户之所急、解客户之所难，做好优质金融服务的同时，全力办好金融为民事、守好群众“钱袋子”，切实当好百姓的“贴心人”“知心人”“暖心人”。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3" w:firstLineChars="200"/>
        <w:jc w:val="left"/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以贴心金融服务温暖特殊客群。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我行聚焦广大特殊群体客户特殊金融需求，通过升级服务环境、优化服务流程、创新服务产品等工作举措，持续推进特殊群体服务再升温。完善网点无障碍服务设施，推广手机银行长者界面和智能客户老年专线，智能柜台新增一键切换“大字版”功能，切实让老年人享受金融服务的便利性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2"/>
          <w:sz w:val="32"/>
          <w:szCs w:val="32"/>
          <w:highlight w:val="none"/>
          <w:lang w:val="zh-CN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积极防范堵截电信诈骗。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加强业务培训，提高反诈能力，全方位加大防诈、反诈宣传力度，提高公众识别能力。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2"/>
          <w:sz w:val="32"/>
          <w:szCs w:val="32"/>
          <w:highlight w:val="none"/>
          <w:lang w:val="zh-CN" w:eastAsia="zh-CN" w:bidi="ar-SA"/>
          <w14:textFill>
            <w14:solidFill>
              <w14:schemeClr w14:val="tx1"/>
            </w14:solidFill>
          </w14:textFill>
        </w:rPr>
        <w:t>至202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2"/>
          <w:sz w:val="32"/>
          <w:szCs w:val="32"/>
          <w:highlight w:val="none"/>
          <w:lang w:val="zh-CN" w:eastAsia="zh-CN" w:bidi="ar-SA"/>
          <w14:textFill>
            <w14:solidFill>
              <w14:schemeClr w14:val="tx1"/>
            </w14:solidFill>
          </w14:textFill>
        </w:rPr>
        <w:t>年末，全年堵截电信诈骗案件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15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2"/>
          <w:sz w:val="32"/>
          <w:szCs w:val="32"/>
          <w:highlight w:val="none"/>
          <w:lang w:val="zh-CN" w:eastAsia="zh-CN" w:bidi="ar-SA"/>
          <w14:textFill>
            <w14:solidFill>
              <w14:schemeClr w14:val="tx1"/>
            </w14:solidFill>
          </w14:textFill>
        </w:rPr>
        <w:t>起，避免客户资金损失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147.4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2"/>
          <w:sz w:val="32"/>
          <w:szCs w:val="32"/>
          <w:highlight w:val="none"/>
          <w:lang w:val="zh-CN" w:eastAsia="zh-CN" w:bidi="ar-SA"/>
          <w14:textFill>
            <w14:solidFill>
              <w14:schemeClr w14:val="tx1"/>
            </w14:solidFill>
          </w14:textFill>
        </w:rPr>
        <w:t>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多元化开展金融消费者权益保护宣传。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结合重大节日重点活动、重要时间节点，依托“线上+线下”多种渠道，以营业网点、微信公众号、金融知识进万家、金融夜校等为抓手，组织开展了“3.15消费者权益保护宣传周”等宣传教育活动，有效提升了金融消费者的风险防范和抵御风险的能力。全年累计开展各类宣传活动25余场，参与宣传人员200余人次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both"/>
        <w:outlineLvl w:val="9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五、担当社会责任，增厚改革发展成色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在实现自身高质量跨越式发展的同时，积极履行社会责任，倾心维护客户合法权益，倾力支持员工全面发展，倾情助力公益慈善事业，让改革发展成果更多更公平惠及广大客户、基层员工和困难群体，以包含深情的农商笔墨传递农商温度，为全面建设活力美丽幸福的现代化新赣县增色添彩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3" w:firstLineChars="200"/>
        <w:jc w:val="both"/>
        <w:outlineLvl w:val="9"/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（一）传递公益慈善“正能量”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both"/>
        <w:outlineLvl w:val="9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履行社会责任，积极助力公益慈善事业，聚焦捐资助学、定点帮扶、志愿服务等主题，坚持反哺社会、服务社会、回馈社会，有力践行了地方金融主力军的使命担当和百姓银行的为民情怀。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积极捐资助学。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依托百福慈善基金会，启动“农商银行·助你圆梦”慈善助学活动，向全区41名品学兼优的贫困高考学子捐赠20.5万元助学金。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w w:val="10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做好乡村帮扶。</w:t>
      </w:r>
      <w:r>
        <w:rPr>
          <w:rFonts w:hint="eastAsia" w:ascii="仿宋_GB2312" w:hAnsi="仿宋_GB2312" w:eastAsia="仿宋_GB2312" w:cs="仿宋_GB2312"/>
          <w:color w:val="000000" w:themeColor="text1"/>
          <w:w w:val="10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持续开展好韩坊镇大屋村乡村振兴帮扶力度，全力支持村民发展产业致富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3" w:firstLineChars="200"/>
        <w:jc w:val="left"/>
        <w:rPr>
          <w:rFonts w:hint="eastAsia" w:ascii="楷体_GB2312" w:hAnsi="楷体_GB2312" w:eastAsia="楷体_GB2312" w:cs="楷体_GB2312"/>
          <w:b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开展志愿服务。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在赣县中学南北校区各设立1个高考爱心服务站，为考生、家长和志愿者免费提供饮用水、防暑用品等。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Chars="0" w:firstLine="643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（二）助力人才成长万山红遍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坚持以人为本，深入实施“人才强行”战略，树立正确选人用人导向，礼遇人才、厚爱人才、成就人才，努力营造“既充分竞争，又防止内卷”的干事创业氛围，推动人才与农商银行事业“双向奔赴、共跨山山海”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3" w:firstLineChars="200"/>
        <w:jc w:val="both"/>
        <w:outlineLvl w:val="9"/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关爱关怀员工。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制定下发《赣县农商银行“关爱员工”活动实施方案》，出台若干措施做细关怀职工工作。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Chars="0" w:firstLine="643" w:firstLineChars="200"/>
        <w:jc w:val="both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关心青年员工。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召开青年员工座谈会，关心关爱青年员工成长，为广大青年员工提供干事创业的舞台、平台。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3" w:firstLineChars="200"/>
        <w:jc w:val="both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发挥群团力量。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坚持以党建带工建、促团建，举办读书分享会、“迎双节·聚合力·攀高峰”登山比赛等活动，进一步丰富了员工业余文化生活，提升员工幸福指数，凝聚了共谋发展干事创业的强大合力。</w:t>
      </w:r>
    </w:p>
    <w:p>
      <w:pPr>
        <w:keepNext w:val="0"/>
        <w:keepLines w:val="0"/>
        <w:pageBreakBefore w:val="0"/>
        <w:tabs>
          <w:tab w:val="left" w:pos="7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CD7DD"/>
    <w:multiLevelType w:val="singleLevel"/>
    <w:tmpl w:val="20ACD7DD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3612BC3A"/>
    <w:multiLevelType w:val="singleLevel"/>
    <w:tmpl w:val="3612BC3A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783F07EC"/>
    <w:multiLevelType w:val="singleLevel"/>
    <w:tmpl w:val="783F07EC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33397A"/>
    <w:rsid w:val="03C95D40"/>
    <w:rsid w:val="066815CC"/>
    <w:rsid w:val="073E7F4C"/>
    <w:rsid w:val="0777440D"/>
    <w:rsid w:val="096B4536"/>
    <w:rsid w:val="09C1778E"/>
    <w:rsid w:val="0DBB3794"/>
    <w:rsid w:val="0FA34BDF"/>
    <w:rsid w:val="107962C9"/>
    <w:rsid w:val="143D102E"/>
    <w:rsid w:val="14D577BC"/>
    <w:rsid w:val="171213F5"/>
    <w:rsid w:val="18444FB1"/>
    <w:rsid w:val="1CDC1688"/>
    <w:rsid w:val="22844890"/>
    <w:rsid w:val="27067250"/>
    <w:rsid w:val="275E6406"/>
    <w:rsid w:val="29A809C5"/>
    <w:rsid w:val="29B76DDA"/>
    <w:rsid w:val="2A1B0B80"/>
    <w:rsid w:val="2A434521"/>
    <w:rsid w:val="2CE20DCD"/>
    <w:rsid w:val="2DA447ED"/>
    <w:rsid w:val="302E1270"/>
    <w:rsid w:val="34351793"/>
    <w:rsid w:val="359629B2"/>
    <w:rsid w:val="375029B5"/>
    <w:rsid w:val="39EF78F3"/>
    <w:rsid w:val="3A760BEF"/>
    <w:rsid w:val="3CF016C6"/>
    <w:rsid w:val="3ED020C3"/>
    <w:rsid w:val="40AA7CEA"/>
    <w:rsid w:val="433A3238"/>
    <w:rsid w:val="44A84D23"/>
    <w:rsid w:val="458E3D55"/>
    <w:rsid w:val="45B02C78"/>
    <w:rsid w:val="45C6418C"/>
    <w:rsid w:val="45DB7543"/>
    <w:rsid w:val="463A06BF"/>
    <w:rsid w:val="48065760"/>
    <w:rsid w:val="487948F7"/>
    <w:rsid w:val="4A8D673C"/>
    <w:rsid w:val="4C3F3AF3"/>
    <w:rsid w:val="4CA433FE"/>
    <w:rsid w:val="51E67D40"/>
    <w:rsid w:val="55B91ED9"/>
    <w:rsid w:val="56A92DA1"/>
    <w:rsid w:val="58487B07"/>
    <w:rsid w:val="5933397A"/>
    <w:rsid w:val="59D062E8"/>
    <w:rsid w:val="5A3E217F"/>
    <w:rsid w:val="5B0D0F17"/>
    <w:rsid w:val="5BC52DD9"/>
    <w:rsid w:val="5C8E6584"/>
    <w:rsid w:val="5D3D5EE1"/>
    <w:rsid w:val="5F1E02FF"/>
    <w:rsid w:val="619B3D2C"/>
    <w:rsid w:val="61E46DB3"/>
    <w:rsid w:val="65D9001C"/>
    <w:rsid w:val="6D5A5F5A"/>
    <w:rsid w:val="6E635E21"/>
    <w:rsid w:val="6FE0321B"/>
    <w:rsid w:val="702C7F2C"/>
    <w:rsid w:val="70A721CC"/>
    <w:rsid w:val="71A4057D"/>
    <w:rsid w:val="71E34228"/>
    <w:rsid w:val="73447EB7"/>
    <w:rsid w:val="751D5CF0"/>
    <w:rsid w:val="77F8136B"/>
    <w:rsid w:val="7EDD1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69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2024-05-15T01:08:00Z</dcterms:created>
  <dc:creator>admin</dc:creator>
  <cp:lastModifiedBy>admin</cp:lastModifiedBy>
  <cp:lastPrinted>2024-05-17T06:28:00Z</cp:lastPrinted>
  <dcterms:modified xsi:type="dcterms:W3CDTF">2024-06-13T11:09:18Z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