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660" w:lineRule="exact"/>
        <w:jc w:val="center"/>
        <w:rPr>
          <w:rFonts w:hint="eastAsia" w:ascii="方正大标宋简体" w:hAnsi="Tahoma" w:eastAsia="方正大标宋简体" w:cs="Times New Roman"/>
          <w:kern w:val="0"/>
          <w:sz w:val="44"/>
          <w:szCs w:val="44"/>
          <w:lang w:eastAsia="zh-CN"/>
        </w:rPr>
      </w:pPr>
      <w:r>
        <w:rPr>
          <w:rFonts w:hint="eastAsia" w:ascii="方正大标宋简体" w:hAnsi="Tahoma" w:eastAsia="方正大标宋简体" w:cs="Times New Roman"/>
          <w:kern w:val="0"/>
          <w:sz w:val="44"/>
          <w:szCs w:val="44"/>
          <w:lang w:val="en-US" w:eastAsia="zh-CN"/>
        </w:rPr>
        <w:t>赣县</w:t>
      </w:r>
      <w:r>
        <w:rPr>
          <w:rFonts w:hint="eastAsia" w:ascii="方正大标宋简体" w:hAnsi="Tahoma" w:eastAsia="方正大标宋简体" w:cs="Times New Roman"/>
          <w:kern w:val="0"/>
          <w:sz w:val="44"/>
          <w:szCs w:val="44"/>
          <w:lang w:eastAsia="zh-CN"/>
        </w:rPr>
        <w:t>农商银行202</w:t>
      </w:r>
      <w:r>
        <w:rPr>
          <w:rFonts w:hint="eastAsia" w:ascii="方正大标宋简体" w:hAnsi="Tahoma" w:eastAsia="方正大标宋简体" w:cs="Times New Roman"/>
          <w:kern w:val="0"/>
          <w:sz w:val="44"/>
          <w:szCs w:val="44"/>
          <w:lang w:val="en-US" w:eastAsia="zh-CN"/>
        </w:rPr>
        <w:t>5</w:t>
      </w:r>
      <w:r>
        <w:rPr>
          <w:rFonts w:hint="eastAsia" w:ascii="方正大标宋简体" w:hAnsi="Tahoma" w:eastAsia="方正大标宋简体" w:cs="Times New Roman"/>
          <w:kern w:val="0"/>
          <w:sz w:val="44"/>
          <w:szCs w:val="44"/>
          <w:lang w:eastAsia="zh-CN"/>
        </w:rPr>
        <w:t>年</w:t>
      </w:r>
      <w:r>
        <w:rPr>
          <w:rFonts w:hint="eastAsia" w:ascii="方正大标宋简体" w:hAnsi="Tahoma" w:eastAsia="方正大标宋简体" w:cs="Times New Roman"/>
          <w:kern w:val="0"/>
          <w:sz w:val="44"/>
          <w:szCs w:val="44"/>
          <w:lang w:val="en-US" w:eastAsia="zh-CN"/>
        </w:rPr>
        <w:t>四</w:t>
      </w:r>
      <w:r>
        <w:rPr>
          <w:rFonts w:hint="eastAsia" w:ascii="方正大标宋简体" w:hAnsi="Tahoma" w:eastAsia="方正大标宋简体" w:cs="Times New Roman"/>
          <w:kern w:val="0"/>
          <w:sz w:val="44"/>
          <w:szCs w:val="44"/>
          <w:lang w:eastAsia="zh-CN"/>
        </w:rPr>
        <w:t>季度关联交易</w:t>
      </w:r>
    </w:p>
    <w:p>
      <w:pPr>
        <w:widowControl/>
        <w:adjustRightInd w:val="0"/>
        <w:snapToGrid w:val="0"/>
        <w:spacing w:line="660" w:lineRule="exact"/>
        <w:jc w:val="center"/>
        <w:rPr>
          <w:rFonts w:hint="eastAsia" w:ascii="方正大标宋简体" w:hAnsi="Tahoma" w:eastAsia="方正大标宋简体" w:cs="Times New Roman"/>
          <w:kern w:val="0"/>
          <w:sz w:val="44"/>
          <w:szCs w:val="44"/>
          <w:lang w:eastAsia="zh-CN"/>
        </w:rPr>
      </w:pPr>
      <w:r>
        <w:rPr>
          <w:rFonts w:hint="eastAsia" w:ascii="方正大标宋简体" w:hAnsi="Tahoma" w:eastAsia="方正大标宋简体" w:cs="Times New Roman"/>
          <w:kern w:val="0"/>
          <w:sz w:val="44"/>
          <w:szCs w:val="44"/>
          <w:lang w:eastAsia="zh-CN"/>
        </w:rPr>
        <w:t>信息披露报告</w:t>
      </w:r>
    </w:p>
    <w:p>
      <w:pPr>
        <w:widowControl/>
        <w:adjustRightInd w:val="0"/>
        <w:snapToGrid w:val="0"/>
        <w:spacing w:line="660" w:lineRule="exact"/>
        <w:jc w:val="center"/>
        <w:rPr>
          <w:rFonts w:hint="eastAsia" w:ascii="方正大标宋简体" w:hAnsi="Tahoma" w:eastAsia="方正大标宋简体" w:cs="Times New Roman"/>
          <w:kern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根据《银行保险机构关联交易管理办法》（中国银保监会2022年1号）的有关规定，现将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val="en-US" w:eastAsia="zh-CN"/>
        </w:rPr>
        <w:t>赣县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eastAsia="zh-CN"/>
        </w:rPr>
        <w:t>农商银行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（以下简称“本行”）202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val="en-US" w:eastAsia="zh-CN"/>
        </w:rPr>
        <w:t>四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季度关联交易情况披露如下：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ascii="仿宋_GB2312" w:hAnsi="Tahoma" w:eastAsia="仿宋_GB2312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一、范围界定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本行关联方范围是按照《银行保险机构关联交易管理办法》第五条至第八条的相关规定进行确认。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二、总体情况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截至202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末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，本行资本净额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134837.68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万元，全部关联方关联交易授信金额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4362.98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 xml:space="preserve"> 万元，占本行202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末资本净额的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3.24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%，符合监管规定。</w:t>
      </w:r>
    </w:p>
    <w:p>
      <w:pPr>
        <w:rPr>
          <w:rFonts w:hint="eastAsia"/>
        </w:rPr>
      </w:pPr>
      <w:r>
        <w:rPr>
          <w:rFonts w:hint="eastAsia"/>
        </w:rPr>
        <w:t>　　</w:t>
      </w:r>
      <w:r>
        <w:rPr>
          <w:rFonts w:hint="eastAsia"/>
          <w:lang w:val="en-US" w:eastAsia="zh-CN"/>
        </w:rPr>
        <w:t xml:space="preserve">  </w:t>
      </w:r>
      <w:r>
        <w:rPr>
          <w:rFonts w:hint="eastAsia" w:ascii="黑体" w:hAnsi="黑体" w:eastAsia="黑体" w:cs="Times New Roman"/>
          <w:kern w:val="0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Times New Roman"/>
          <w:kern w:val="0"/>
          <w:sz w:val="32"/>
          <w:szCs w:val="32"/>
        </w:rPr>
        <w:t>、重大关联交易情况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color w:val="FF0000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截至202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末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，本行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eastAsia="zh-CN"/>
        </w:rPr>
        <w:t>授信类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重大关联交易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户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2笔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，授信总金额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2500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万元，占202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年末资本净额的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1.85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%，符合监管规定。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/>
          <w:color w:val="auto"/>
          <w:kern w:val="0"/>
          <w:sz w:val="32"/>
          <w:szCs w:val="32"/>
        </w:rPr>
        <w:t>本季度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  <w:lang w:val="en-US" w:eastAsia="zh-CN"/>
        </w:rPr>
        <w:t>未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</w:rPr>
        <w:t>发生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eastAsia="zh-CN"/>
        </w:rPr>
        <w:t>授信类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</w:rPr>
        <w:t>重大关联交易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。</w:t>
      </w:r>
    </w:p>
    <w:p>
      <w:pPr>
        <w:numPr>
          <w:ilvl w:val="0"/>
          <w:numId w:val="1"/>
        </w:numPr>
        <w:ind w:left="630" w:leftChars="0" w:firstLine="0" w:firstLineChars="0"/>
        <w:rPr>
          <w:rFonts w:hint="eastAsia" w:ascii="黑体" w:hAnsi="黑体" w:eastAsia="黑体" w:cs="Times New Roman"/>
          <w:kern w:val="0"/>
          <w:sz w:val="32"/>
          <w:szCs w:val="32"/>
        </w:rPr>
      </w:pPr>
      <w:r>
        <w:rPr>
          <w:rFonts w:hint="eastAsia" w:ascii="黑体" w:hAnsi="黑体" w:eastAsia="黑体" w:cs="Times New Roman"/>
          <w:kern w:val="0"/>
          <w:sz w:val="32"/>
          <w:szCs w:val="32"/>
          <w:lang w:eastAsia="zh-CN"/>
        </w:rPr>
        <w:t>一般</w:t>
      </w:r>
      <w:r>
        <w:rPr>
          <w:rFonts w:hint="eastAsia" w:ascii="黑体" w:hAnsi="黑体" w:eastAsia="黑体" w:cs="Times New Roman"/>
          <w:kern w:val="0"/>
          <w:sz w:val="32"/>
          <w:szCs w:val="32"/>
        </w:rPr>
        <w:t>关联交易情况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outlineLvl w:val="9"/>
        <w:rPr>
          <w:rFonts w:hint="eastAsia" w:ascii="楷体" w:hAnsi="楷体" w:eastAsia="楷体" w:cs="楷体"/>
          <w:b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kern w:val="0"/>
          <w:sz w:val="32"/>
          <w:szCs w:val="32"/>
          <w:lang w:val="en-US" w:eastAsia="zh-CN"/>
        </w:rPr>
        <w:t>授信类关联交易。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ascii="仿宋_GB2312" w:hAnsi="Tahoma" w:eastAsia="仿宋_GB2312"/>
          <w:bCs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截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eastAsia="zh-CN"/>
        </w:rPr>
        <w:t>至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202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末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，本行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授信类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一般关联交易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87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户，授信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eastAsia="zh-CN"/>
        </w:rPr>
        <w:t>总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额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1862.98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万元，占资本净额的比例为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1.38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%，符合监管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eastAsia="zh-CN"/>
        </w:rPr>
        <w:t>规定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本季度发生授信类一般关联交易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6户，交易金额225万元。6户均为关联自然人关联交易，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占资本净额的比例为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0.17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%，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符合监管规定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。</w:t>
      </w:r>
    </w:p>
    <w:p>
      <w:pPr>
        <w:numPr>
          <w:ilvl w:val="0"/>
          <w:numId w:val="3"/>
        </w:numPr>
        <w:ind w:left="630" w:leftChars="0"/>
        <w:rPr>
          <w:rFonts w:hint="eastAsia" w:ascii="楷体" w:hAnsi="楷体" w:eastAsia="楷体" w:cs="楷体"/>
          <w:b/>
          <w:bCs w:val="0"/>
          <w:color w:val="auto"/>
          <w:kern w:val="0"/>
          <w:sz w:val="32"/>
          <w:szCs w:val="32"/>
        </w:rPr>
      </w:pPr>
      <w:r>
        <w:rPr>
          <w:rFonts w:hint="eastAsia" w:ascii="楷体" w:hAnsi="楷体" w:eastAsia="楷体" w:cs="楷体"/>
          <w:b/>
          <w:bCs w:val="0"/>
          <w:color w:val="auto"/>
          <w:kern w:val="0"/>
          <w:sz w:val="32"/>
          <w:szCs w:val="32"/>
        </w:rPr>
        <w:t>非授信类关联交易。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/>
        </w:rPr>
      </w:pP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截至202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末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，本季度发生非授信类一般关联交易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7户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，交易金额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52.9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万元，均为关联自然人关联交易，符合监管规定。</w:t>
      </w:r>
    </w:p>
    <w:p>
      <w:pPr>
        <w:rPr>
          <w:rFonts w:hint="eastAsia"/>
        </w:rPr>
      </w:pPr>
      <w:r>
        <w:rPr>
          <w:rFonts w:hint="eastAsia"/>
        </w:rPr>
        <w:t>　</w:t>
      </w:r>
      <w:r>
        <w:rPr>
          <w:rFonts w:hint="eastAsia" w:ascii="黑体" w:hAnsi="黑体" w:eastAsia="黑体" w:cs="Times New Roman"/>
          <w:kern w:val="0"/>
          <w:sz w:val="32"/>
          <w:szCs w:val="32"/>
        </w:rPr>
        <w:t>　</w:t>
      </w:r>
      <w:r>
        <w:rPr>
          <w:rFonts w:hint="eastAsia" w:ascii="黑体" w:hAnsi="黑体" w:eastAsia="黑体" w:cs="Times New Roman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Times New Roman"/>
          <w:kern w:val="0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Times New Roman"/>
          <w:kern w:val="0"/>
          <w:sz w:val="32"/>
          <w:szCs w:val="32"/>
        </w:rPr>
        <w:t>、其他情况说明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报告期内，本行与关联方的关联交易遵循商业原则，以不优于对非关联方同类交易的条件进行；授信类型关联交易根据本行现行的授信管理办法、关联交易管理办法，结合客户评级和风险情况确定相应价格，以确保本行关联交易定价的合法性和公允性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特此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eastAsia="zh-CN"/>
        </w:rPr>
        <w:t>披露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 xml:space="preserve"> 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　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20" w:firstLineChars="200"/>
        <w:textAlignment w:val="auto"/>
        <w:outlineLvl w:val="9"/>
        <w:rPr>
          <w:rFonts w:hint="eastAsia"/>
        </w:rPr>
      </w:pPr>
      <w:r>
        <w:rPr>
          <w:rFonts w:hint="eastAsia"/>
        </w:rPr>
        <w:t>　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20" w:firstLineChars="200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　　                   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eastAsia="zh-CN"/>
        </w:rPr>
        <w:t>江西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val="en-US" w:eastAsia="zh-CN"/>
        </w:rPr>
        <w:t>赣县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农村商业银行股份有限公司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 xml:space="preserve">　　                         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202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月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val="en-US" w:eastAsia="zh-CN"/>
        </w:rPr>
        <w:t>29</w:t>
      </w:r>
      <w:bookmarkStart w:id="0" w:name="_GoBack"/>
      <w:bookmarkEnd w:id="0"/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947075C"/>
    <w:multiLevelType w:val="singleLevel"/>
    <w:tmpl w:val="9947075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3F9156E"/>
    <w:multiLevelType w:val="singleLevel"/>
    <w:tmpl w:val="F3F9156E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6AA293B7"/>
    <w:multiLevelType w:val="singleLevel"/>
    <w:tmpl w:val="6AA293B7"/>
    <w:lvl w:ilvl="0" w:tentative="0">
      <w:start w:val="4"/>
      <w:numFmt w:val="chineseCounting"/>
      <w:suff w:val="nothing"/>
      <w:lvlText w:val="%1、"/>
      <w:lvlJc w:val="left"/>
      <w:pPr>
        <w:ind w:left="630" w:leftChars="0" w:firstLine="0" w:firstLineChars="0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D49F0"/>
    <w:rsid w:val="025D18D0"/>
    <w:rsid w:val="028867AF"/>
    <w:rsid w:val="03F40C4D"/>
    <w:rsid w:val="057455FC"/>
    <w:rsid w:val="05F83056"/>
    <w:rsid w:val="078E72FF"/>
    <w:rsid w:val="07BA0C9C"/>
    <w:rsid w:val="08372F61"/>
    <w:rsid w:val="08E11E4F"/>
    <w:rsid w:val="093D6E82"/>
    <w:rsid w:val="0B1E22AD"/>
    <w:rsid w:val="0B4E70DF"/>
    <w:rsid w:val="0C261570"/>
    <w:rsid w:val="0EC4602A"/>
    <w:rsid w:val="0F9E1A63"/>
    <w:rsid w:val="111F4241"/>
    <w:rsid w:val="11F9086C"/>
    <w:rsid w:val="13F23028"/>
    <w:rsid w:val="168555F8"/>
    <w:rsid w:val="185B1D11"/>
    <w:rsid w:val="18DF3EE5"/>
    <w:rsid w:val="1A040093"/>
    <w:rsid w:val="1A661ECE"/>
    <w:rsid w:val="1D17253A"/>
    <w:rsid w:val="203657BB"/>
    <w:rsid w:val="20A8236E"/>
    <w:rsid w:val="20DC4AD0"/>
    <w:rsid w:val="223953CD"/>
    <w:rsid w:val="23923197"/>
    <w:rsid w:val="24DA0BB0"/>
    <w:rsid w:val="25782260"/>
    <w:rsid w:val="25EA4531"/>
    <w:rsid w:val="26EA7EB0"/>
    <w:rsid w:val="27A663F6"/>
    <w:rsid w:val="287D36E6"/>
    <w:rsid w:val="297D32AA"/>
    <w:rsid w:val="29AE02E7"/>
    <w:rsid w:val="2DB15E9D"/>
    <w:rsid w:val="2F2252FD"/>
    <w:rsid w:val="32652A99"/>
    <w:rsid w:val="329A4ED9"/>
    <w:rsid w:val="33323B65"/>
    <w:rsid w:val="333B5E1F"/>
    <w:rsid w:val="335C08EC"/>
    <w:rsid w:val="38157E3C"/>
    <w:rsid w:val="3C1F58C7"/>
    <w:rsid w:val="3DB66C90"/>
    <w:rsid w:val="3FC22F8A"/>
    <w:rsid w:val="42054645"/>
    <w:rsid w:val="43F04FF1"/>
    <w:rsid w:val="446843E3"/>
    <w:rsid w:val="455B1CEF"/>
    <w:rsid w:val="460C315A"/>
    <w:rsid w:val="46166971"/>
    <w:rsid w:val="46B006CC"/>
    <w:rsid w:val="470F359F"/>
    <w:rsid w:val="47E023C1"/>
    <w:rsid w:val="485413AC"/>
    <w:rsid w:val="487B4A98"/>
    <w:rsid w:val="4B253112"/>
    <w:rsid w:val="4D9C4B25"/>
    <w:rsid w:val="4FCD033B"/>
    <w:rsid w:val="50667BEE"/>
    <w:rsid w:val="51E53CCB"/>
    <w:rsid w:val="52F96A9D"/>
    <w:rsid w:val="551D3806"/>
    <w:rsid w:val="55B9060E"/>
    <w:rsid w:val="56786FDA"/>
    <w:rsid w:val="58AC50A2"/>
    <w:rsid w:val="58E90D88"/>
    <w:rsid w:val="59132461"/>
    <w:rsid w:val="59392AE5"/>
    <w:rsid w:val="5B6564CA"/>
    <w:rsid w:val="5B750B02"/>
    <w:rsid w:val="5CE17735"/>
    <w:rsid w:val="5D490575"/>
    <w:rsid w:val="5E377D3C"/>
    <w:rsid w:val="5EFC1906"/>
    <w:rsid w:val="627C4BF6"/>
    <w:rsid w:val="638D0661"/>
    <w:rsid w:val="6445289D"/>
    <w:rsid w:val="67512421"/>
    <w:rsid w:val="676A6A0D"/>
    <w:rsid w:val="69207AA5"/>
    <w:rsid w:val="6A497594"/>
    <w:rsid w:val="6AD10946"/>
    <w:rsid w:val="6D3746E5"/>
    <w:rsid w:val="6DA63A91"/>
    <w:rsid w:val="708B5624"/>
    <w:rsid w:val="71377654"/>
    <w:rsid w:val="71A40A41"/>
    <w:rsid w:val="74D701C7"/>
    <w:rsid w:val="7612311F"/>
    <w:rsid w:val="76D9348C"/>
    <w:rsid w:val="773D57DE"/>
    <w:rsid w:val="78F07AC9"/>
    <w:rsid w:val="798C23CE"/>
    <w:rsid w:val="7AC936DC"/>
    <w:rsid w:val="7C0C5DA6"/>
    <w:rsid w:val="7D641999"/>
    <w:rsid w:val="7DE53198"/>
    <w:rsid w:val="7E664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Administrator</cp:lastModifiedBy>
  <dcterms:modified xsi:type="dcterms:W3CDTF">2026-06-30T08:09:19Z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