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660" w:lineRule="exact"/>
        <w:jc w:val="center"/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</w:pP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val="en-US" w:eastAsia="zh-CN"/>
        </w:rPr>
        <w:t>赣县</w:t>
      </w: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  <w:t>农商银行202</w:t>
      </w: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  <w:t>年一季度关联交易</w:t>
      </w:r>
    </w:p>
    <w:p>
      <w:pPr>
        <w:widowControl/>
        <w:adjustRightInd w:val="0"/>
        <w:snapToGrid w:val="0"/>
        <w:spacing w:line="660" w:lineRule="exact"/>
        <w:jc w:val="center"/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</w:pPr>
      <w:r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  <w:t>信息披露报告</w:t>
      </w:r>
    </w:p>
    <w:p>
      <w:pPr>
        <w:widowControl/>
        <w:adjustRightInd w:val="0"/>
        <w:snapToGrid w:val="0"/>
        <w:spacing w:line="660" w:lineRule="exact"/>
        <w:jc w:val="center"/>
        <w:rPr>
          <w:rFonts w:hint="eastAsia" w:ascii="方正大标宋简体" w:hAnsi="Tahoma" w:eastAsia="方正大标宋简体" w:cs="Times New Roman"/>
          <w:kern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根据《银行保险机构关联交易管理办法》（中国银保监会2022年1号）的有关规定，现将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赣县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  <w:t>农商银行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（以下简称“本行”）202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  <w:t>一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季度关联交易情况披露如下：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ascii="仿宋_GB2312" w:hAnsi="Tahoma" w:eastAsia="仿宋_GB2312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一、范围界定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本行关联方范围是按照《银行保险机构关联交易管理办法》第五条至第八条的相关规定进行确认。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二、总体情况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截至202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月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，本行资本净额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144765.27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万元，全部关联方关联交易授信金额4060.93 万元，占本行202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月末资本净额的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2.81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%，符合监管规定。</w:t>
      </w:r>
    </w:p>
    <w:p>
      <w:pPr>
        <w:rPr>
          <w:rFonts w:hint="eastAsia"/>
        </w:rPr>
      </w:pPr>
      <w:r>
        <w:rPr>
          <w:rFonts w:hint="eastAsia"/>
        </w:rPr>
        <w:t>　　</w:t>
      </w:r>
      <w:r>
        <w:rPr>
          <w:rFonts w:hint="eastAsia"/>
          <w:lang w:val="en-US" w:eastAsia="zh-CN"/>
        </w:rPr>
        <w:t xml:space="preserve">  </w:t>
      </w:r>
      <w:r>
        <w:rPr>
          <w:rFonts w:hint="eastAsia" w:ascii="黑体" w:hAnsi="黑体" w:eastAsia="黑体" w:cs="Times New Roman"/>
          <w:kern w:val="0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Times New Roman"/>
          <w:kern w:val="0"/>
          <w:sz w:val="32"/>
          <w:szCs w:val="32"/>
        </w:rPr>
        <w:t>、重大关联交易情况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FF0000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截至202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月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授信类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重大关联交易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户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2笔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，授信总金额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2500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万元，占202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月末资本净额的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1.73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%，符合监管规定。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本季度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  <w:lang w:val="en-US" w:eastAsia="zh-CN"/>
        </w:rPr>
        <w:t>未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发生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授信类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重大关联交易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。</w:t>
      </w:r>
    </w:p>
    <w:p>
      <w:pPr>
        <w:numPr>
          <w:ilvl w:val="0"/>
          <w:numId w:val="1"/>
        </w:numPr>
        <w:ind w:left="630" w:leftChars="0" w:firstLine="0" w:firstLineChars="0"/>
        <w:rPr>
          <w:rFonts w:hint="eastAsia" w:ascii="黑体" w:hAnsi="黑体" w:eastAsia="黑体" w:cs="Times New Roman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lang w:eastAsia="zh-CN"/>
        </w:rPr>
        <w:t>一般</w:t>
      </w:r>
      <w:r>
        <w:rPr>
          <w:rFonts w:hint="eastAsia" w:ascii="黑体" w:hAnsi="黑体" w:eastAsia="黑体" w:cs="Times New Roman"/>
          <w:kern w:val="0"/>
          <w:sz w:val="32"/>
          <w:szCs w:val="32"/>
        </w:rPr>
        <w:t>关联交易情况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3" w:firstLineChars="200"/>
        <w:textAlignment w:val="auto"/>
        <w:outlineLvl w:val="9"/>
        <w:rPr>
          <w:rFonts w:hint="eastAsia" w:ascii="楷体" w:hAnsi="楷体" w:eastAsia="楷体" w:cs="楷体"/>
          <w:b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 w:val="0"/>
          <w:kern w:val="0"/>
          <w:sz w:val="32"/>
          <w:szCs w:val="32"/>
          <w:lang w:val="en-US" w:eastAsia="zh-CN"/>
        </w:rPr>
        <w:t>授信类关联交易。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ascii="仿宋_GB2312" w:hAnsi="Tahoma" w:eastAsia="仿宋_GB2312"/>
          <w:bCs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至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3月末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授信类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一般关联交易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83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户，授信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总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1560.93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万元，占资本净额的比例为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1.08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%，符合监管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eastAsia="zh-CN"/>
        </w:rPr>
        <w:t>规定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本季度发生授信类一般关联交易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5户，交易金额40.7万元。5户均为关联自然人关联交易，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占资本净额的比例为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0.03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%，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符合监管规定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。</w:t>
      </w:r>
    </w:p>
    <w:p>
      <w:pPr>
        <w:numPr>
          <w:ilvl w:val="0"/>
          <w:numId w:val="3"/>
        </w:numPr>
        <w:ind w:left="630" w:leftChars="0"/>
        <w:rPr>
          <w:rFonts w:hint="eastAsia" w:ascii="楷体" w:hAnsi="楷体" w:eastAsia="楷体" w:cs="楷体"/>
          <w:b/>
          <w:bCs w:val="0"/>
          <w:color w:val="auto"/>
          <w:kern w:val="0"/>
          <w:sz w:val="32"/>
          <w:szCs w:val="32"/>
        </w:rPr>
      </w:pPr>
      <w:r>
        <w:rPr>
          <w:rFonts w:hint="eastAsia" w:ascii="楷体" w:hAnsi="楷体" w:eastAsia="楷体" w:cs="楷体"/>
          <w:b/>
          <w:bCs w:val="0"/>
          <w:color w:val="auto"/>
          <w:kern w:val="0"/>
          <w:sz w:val="32"/>
          <w:szCs w:val="32"/>
        </w:rPr>
        <w:t>非授信类关联交易。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/>
        </w:rPr>
      </w:pP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截至202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月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末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，本季度发生非授信类一般关联交易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7户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，交易金额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  <w:lang w:val="en-US" w:eastAsia="zh-CN"/>
        </w:rPr>
        <w:t>446.01</w:t>
      </w:r>
      <w:r>
        <w:rPr>
          <w:rFonts w:hint="eastAsia" w:ascii="仿宋_GB2312" w:hAnsi="Tahoma" w:eastAsia="仿宋_GB2312" w:cs="Times New Roman"/>
          <w:color w:val="auto"/>
          <w:kern w:val="0"/>
          <w:sz w:val="32"/>
          <w:szCs w:val="32"/>
        </w:rPr>
        <w:t>万元，均为关联自然人关联交易，符合监管规定。</w:t>
      </w:r>
    </w:p>
    <w:p>
      <w:pPr>
        <w:rPr>
          <w:rFonts w:hint="eastAsia"/>
        </w:rPr>
      </w:pPr>
      <w:r>
        <w:rPr>
          <w:rFonts w:hint="eastAsia"/>
        </w:rPr>
        <w:t>　</w:t>
      </w:r>
      <w:r>
        <w:rPr>
          <w:rFonts w:hint="eastAsia" w:ascii="黑体" w:hAnsi="黑体" w:eastAsia="黑体" w:cs="Times New Roman"/>
          <w:kern w:val="0"/>
          <w:sz w:val="32"/>
          <w:szCs w:val="32"/>
        </w:rPr>
        <w:t>　</w:t>
      </w:r>
      <w:r>
        <w:rPr>
          <w:rFonts w:hint="eastAsia" w:ascii="黑体" w:hAnsi="黑体" w:eastAsia="黑体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Times New Roman"/>
          <w:kern w:val="0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Times New Roman"/>
          <w:kern w:val="0"/>
          <w:sz w:val="32"/>
          <w:szCs w:val="32"/>
        </w:rPr>
        <w:t>、其他情况说明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报告期内，本行与关联方的关联交易遵循商业原则，以不优于对非关联方同类交易的条件进行；授信类型关联交易根据本行现行的授信管理办法、关联交易管理办法，结合客户评级和风险情况确定相应价格，以确保本行关联交易定价的合法性和公允性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特此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  <w:t>披露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 xml:space="preserve">  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　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 w:firstLineChars="200"/>
        <w:textAlignment w:val="auto"/>
        <w:outlineLvl w:val="9"/>
        <w:rPr>
          <w:rFonts w:hint="eastAsia"/>
        </w:rPr>
      </w:pPr>
      <w:r>
        <w:rPr>
          <w:rFonts w:hint="eastAsia"/>
        </w:rPr>
        <w:t>　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420" w:firstLineChars="200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　　                   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  <w:t>江西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赣县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农村商业银行股份有限公司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textAlignment w:val="auto"/>
        <w:outlineLvl w:val="9"/>
        <w:rPr>
          <w:rFonts w:hint="eastAsia" w:ascii="仿宋_GB2312" w:hAnsi="Tahoma" w:eastAsia="仿宋_GB2312" w:cs="Times New Roman"/>
          <w:kern w:val="0"/>
          <w:sz w:val="32"/>
          <w:szCs w:val="32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 xml:space="preserve">　　                         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202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年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月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val="en-US" w:eastAsia="zh-CN"/>
        </w:rPr>
        <w:t>20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947075C"/>
    <w:multiLevelType w:val="singleLevel"/>
    <w:tmpl w:val="9947075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3F9156E"/>
    <w:multiLevelType w:val="singleLevel"/>
    <w:tmpl w:val="F3F9156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6AA293B7"/>
    <w:multiLevelType w:val="singleLevel"/>
    <w:tmpl w:val="6AA293B7"/>
    <w:lvl w:ilvl="0" w:tentative="0">
      <w:start w:val="4"/>
      <w:numFmt w:val="chineseCounting"/>
      <w:suff w:val="nothing"/>
      <w:lvlText w:val="%1、"/>
      <w:lvlJc w:val="left"/>
      <w:pPr>
        <w:ind w:left="630" w:leftChars="0" w:firstLine="0" w:firstLineChars="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D49F0"/>
    <w:rsid w:val="025D18D0"/>
    <w:rsid w:val="028867AF"/>
    <w:rsid w:val="03F40C4D"/>
    <w:rsid w:val="057455FC"/>
    <w:rsid w:val="05F83056"/>
    <w:rsid w:val="078E72FF"/>
    <w:rsid w:val="08372F61"/>
    <w:rsid w:val="08E11E4F"/>
    <w:rsid w:val="093D6E82"/>
    <w:rsid w:val="0B1E22AD"/>
    <w:rsid w:val="0B4E70DF"/>
    <w:rsid w:val="0C261570"/>
    <w:rsid w:val="0EC4602A"/>
    <w:rsid w:val="0F9E1A63"/>
    <w:rsid w:val="111F4241"/>
    <w:rsid w:val="11F9086C"/>
    <w:rsid w:val="13F23028"/>
    <w:rsid w:val="168555F8"/>
    <w:rsid w:val="185B1D11"/>
    <w:rsid w:val="18DF3EE5"/>
    <w:rsid w:val="1A661ECE"/>
    <w:rsid w:val="1D17253A"/>
    <w:rsid w:val="203657BB"/>
    <w:rsid w:val="20A8236E"/>
    <w:rsid w:val="20DC4AD0"/>
    <w:rsid w:val="223953CD"/>
    <w:rsid w:val="23923197"/>
    <w:rsid w:val="25782260"/>
    <w:rsid w:val="26EA7EB0"/>
    <w:rsid w:val="27A663F6"/>
    <w:rsid w:val="287D36E6"/>
    <w:rsid w:val="297D32AA"/>
    <w:rsid w:val="29AE02E7"/>
    <w:rsid w:val="2DB15E9D"/>
    <w:rsid w:val="2F2252FD"/>
    <w:rsid w:val="32652A99"/>
    <w:rsid w:val="329A4ED9"/>
    <w:rsid w:val="33323B65"/>
    <w:rsid w:val="333B5E1F"/>
    <w:rsid w:val="335C08EC"/>
    <w:rsid w:val="38157E3C"/>
    <w:rsid w:val="3C1F58C7"/>
    <w:rsid w:val="3DB66C90"/>
    <w:rsid w:val="42054645"/>
    <w:rsid w:val="43F04FF1"/>
    <w:rsid w:val="446843E3"/>
    <w:rsid w:val="455B1CEF"/>
    <w:rsid w:val="460C315A"/>
    <w:rsid w:val="46B006CC"/>
    <w:rsid w:val="47E023C1"/>
    <w:rsid w:val="487B4A98"/>
    <w:rsid w:val="4B253112"/>
    <w:rsid w:val="4D9C4B25"/>
    <w:rsid w:val="4FCD033B"/>
    <w:rsid w:val="50667BEE"/>
    <w:rsid w:val="51E53CCB"/>
    <w:rsid w:val="52F96A9D"/>
    <w:rsid w:val="551D3806"/>
    <w:rsid w:val="55B9060E"/>
    <w:rsid w:val="56786FDA"/>
    <w:rsid w:val="58AC50A2"/>
    <w:rsid w:val="58E90D88"/>
    <w:rsid w:val="59132461"/>
    <w:rsid w:val="59392AE5"/>
    <w:rsid w:val="5B6564CA"/>
    <w:rsid w:val="5B750B02"/>
    <w:rsid w:val="5CE17735"/>
    <w:rsid w:val="5D490575"/>
    <w:rsid w:val="5E377D3C"/>
    <w:rsid w:val="5EFC1906"/>
    <w:rsid w:val="627C4BF6"/>
    <w:rsid w:val="638D0661"/>
    <w:rsid w:val="6445289D"/>
    <w:rsid w:val="67512421"/>
    <w:rsid w:val="676A6A0D"/>
    <w:rsid w:val="69207AA5"/>
    <w:rsid w:val="6A497594"/>
    <w:rsid w:val="6AD10946"/>
    <w:rsid w:val="6D3746E5"/>
    <w:rsid w:val="708B5624"/>
    <w:rsid w:val="71377654"/>
    <w:rsid w:val="71A40A41"/>
    <w:rsid w:val="74D701C7"/>
    <w:rsid w:val="76D9348C"/>
    <w:rsid w:val="773D57DE"/>
    <w:rsid w:val="78F07AC9"/>
    <w:rsid w:val="798C23CE"/>
    <w:rsid w:val="7AC936DC"/>
    <w:rsid w:val="7C0C5DA6"/>
    <w:rsid w:val="7D641999"/>
    <w:rsid w:val="7DE53198"/>
    <w:rsid w:val="7E66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Administrator</cp:lastModifiedBy>
  <dcterms:modified xsi:type="dcterms:W3CDTF">2026-06-30T07:53:43Z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