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b/>
          <w:sz w:val="44"/>
          <w:szCs w:val="44"/>
        </w:rPr>
      </w:pPr>
      <w:r>
        <w:rPr>
          <w:rFonts w:hint="eastAsia"/>
          <w:b/>
          <w:sz w:val="44"/>
          <w:szCs w:val="44"/>
        </w:rPr>
        <w:t>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b/>
          <w:sz w:val="48"/>
          <w:szCs w:val="48"/>
        </w:rPr>
      </w:pPr>
      <w:r>
        <w:rPr>
          <w:b/>
          <w:sz w:val="48"/>
          <w:szCs w:val="48"/>
        </w:rPr>
        <w:t>20</w:t>
      </w:r>
      <w:r>
        <w:rPr>
          <w:rFonts w:hint="eastAsia"/>
          <w:b/>
          <w:sz w:val="48"/>
          <w:szCs w:val="48"/>
        </w:rPr>
        <w:t>2</w:t>
      </w:r>
      <w:r>
        <w:rPr>
          <w:rFonts w:hint="eastAsia"/>
          <w:b/>
          <w:sz w:val="48"/>
          <w:szCs w:val="48"/>
          <w:lang w:val="en-US" w:eastAsia="zh-CN"/>
        </w:rPr>
        <w:t>3</w:t>
      </w:r>
      <w:r>
        <w:rPr>
          <w:rFonts w:hint="eastAsia"/>
          <w:b/>
          <w:sz w:val="48"/>
          <w:szCs w:val="48"/>
        </w:rPr>
        <w:t>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sz w:val="28"/>
          <w:szCs w:val="28"/>
        </w:rPr>
      </w:pP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b/>
          <w:sz w:val="32"/>
          <w:szCs w:val="32"/>
        </w:rPr>
      </w:pPr>
      <w:r>
        <w:rPr>
          <w:rFonts w:hint="eastAsia" w:ascii="仿宋" w:hAnsi="仿宋" w:eastAsia="仿宋"/>
          <w:b/>
          <w:sz w:val="32"/>
          <w:szCs w:val="32"/>
        </w:rPr>
        <w:t>重要提示：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本公司董事会</w:t>
      </w:r>
      <w:r>
        <w:rPr>
          <w:rFonts w:hint="eastAsia" w:ascii="仿宋_GB2312" w:hAnsi="仿宋_GB2312" w:eastAsia="仿宋_GB2312" w:cs="仿宋_GB2312"/>
          <w:sz w:val="32"/>
          <w:szCs w:val="32"/>
          <w:highlight w:val="none"/>
          <w:lang w:eastAsia="zh-CN"/>
        </w:rPr>
        <w:t>、监事会及</w:t>
      </w:r>
      <w:r>
        <w:rPr>
          <w:rFonts w:hint="eastAsia" w:ascii="仿宋_GB2312" w:hAnsi="仿宋_GB2312" w:eastAsia="仿宋_GB2312" w:cs="仿宋_GB2312"/>
          <w:sz w:val="32"/>
          <w:szCs w:val="32"/>
          <w:highlight w:val="none"/>
        </w:rPr>
        <w:t>董事</w:t>
      </w:r>
      <w:r>
        <w:rPr>
          <w:rFonts w:hint="eastAsia" w:ascii="仿宋_GB2312" w:hAnsi="仿宋_GB2312" w:eastAsia="仿宋_GB2312" w:cs="仿宋_GB2312"/>
          <w:sz w:val="32"/>
          <w:szCs w:val="32"/>
          <w:highlight w:val="none"/>
          <w:lang w:eastAsia="zh-CN"/>
        </w:rPr>
        <w:t>、监事和高级管理人员</w:t>
      </w:r>
      <w:r>
        <w:rPr>
          <w:rFonts w:hint="eastAsia" w:ascii="仿宋_GB2312" w:hAnsi="仿宋_GB2312" w:eastAsia="仿宋_GB2312" w:cs="仿宋_GB2312"/>
          <w:sz w:val="32"/>
          <w:szCs w:val="32"/>
          <w:highlight w:val="none"/>
        </w:rPr>
        <w:t>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color w:val="auto"/>
          <w:sz w:val="32"/>
          <w:szCs w:val="32"/>
          <w:highlight w:val="none"/>
        </w:rPr>
        <w:t>公司第</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届董事会</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十九</w:t>
      </w:r>
      <w:r>
        <w:rPr>
          <w:rFonts w:hint="eastAsia" w:ascii="仿宋_GB2312" w:hAnsi="仿宋_GB2312" w:eastAsia="仿宋_GB2312" w:cs="仿宋_GB2312"/>
          <w:sz w:val="32"/>
          <w:szCs w:val="32"/>
          <w:highlight w:val="none"/>
        </w:rPr>
        <w:t>次会议于</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日审议通过了《赣州农村商业银行股份有限公司202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本公司年度财务报告已经江西中富会计师事务所有限公司根据我国的</w:t>
      </w:r>
      <w:r>
        <w:rPr>
          <w:rFonts w:hint="eastAsia" w:ascii="仿宋_GB2312" w:hAnsi="仿宋_GB2312" w:eastAsia="仿宋_GB2312" w:cs="仿宋_GB2312"/>
          <w:sz w:val="32"/>
          <w:szCs w:val="32"/>
          <w:highlight w:val="none"/>
          <w:lang w:eastAsia="zh-CN"/>
        </w:rPr>
        <w:t>审计</w:t>
      </w:r>
      <w:r>
        <w:rPr>
          <w:rFonts w:hint="eastAsia" w:ascii="仿宋_GB2312" w:hAnsi="仿宋_GB2312" w:eastAsia="仿宋_GB2312" w:cs="仿宋_GB2312"/>
          <w:sz w:val="32"/>
          <w:szCs w:val="32"/>
          <w:highlight w:val="none"/>
        </w:rPr>
        <w:t>准则审计并出具了标准无保留意见的审计报告。</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本年度报告金额币种均为人民币。本年度报告中所指“</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”或“本公司”均指赣州农村商业银行股份有限公司。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202</w:t>
      </w:r>
      <w:r>
        <w:rPr>
          <w:rFonts w:hint="eastAsia" w:ascii="方正小标宋简体" w:hAnsi="方正小标宋简体" w:eastAsia="方正小标宋简体" w:cs="方正小标宋简体"/>
          <w:b w:val="0"/>
          <w:bCs/>
          <w:color w:val="000000"/>
          <w:sz w:val="44"/>
          <w:szCs w:val="44"/>
          <w:highlight w:val="none"/>
          <w:lang w:val="en-US" w:eastAsia="zh-CN"/>
        </w:rPr>
        <w:t>3</w:t>
      </w:r>
      <w:r>
        <w:rPr>
          <w:rFonts w:hint="eastAsia" w:ascii="方正小标宋简体" w:hAnsi="方正小标宋简体" w:eastAsia="方正小标宋简体" w:cs="方正小标宋简体"/>
          <w:b w:val="0"/>
          <w:bCs/>
          <w:color w:val="000000"/>
          <w:sz w:val="44"/>
          <w:szCs w:val="44"/>
          <w:highlight w:val="none"/>
        </w:rPr>
        <w:t>年度报告</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outlineLvl w:val="9"/>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本行</w:t>
      </w:r>
      <w:r>
        <w:rPr>
          <w:rFonts w:hint="eastAsia" w:ascii="黑体" w:hAnsi="黑体" w:eastAsia="黑体" w:cs="黑体"/>
          <w:b w:val="0"/>
          <w:bCs/>
          <w:color w:val="000000"/>
          <w:sz w:val="32"/>
          <w:szCs w:val="32"/>
          <w:highlight w:val="none"/>
        </w:rPr>
        <w:t>简介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一、名称：</w:t>
      </w:r>
      <w:r>
        <w:rPr>
          <w:rFonts w:hint="eastAsia" w:ascii="仿宋_GB2312" w:hAnsi="仿宋_GB2312" w:eastAsia="仿宋_GB2312" w:cs="仿宋_GB2312"/>
          <w:color w:val="000000"/>
          <w:sz w:val="32"/>
          <w:szCs w:val="32"/>
          <w:highlight w:val="none"/>
        </w:rPr>
        <w:t>赣州农村商业银行股份有限公司（简称赣州农商银行）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电话：0797-8218450   传真：0797-8469651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黑体"/>
          <w:color w:val="000000"/>
          <w:sz w:val="32"/>
          <w:szCs w:val="32"/>
          <w:highlight w:val="none"/>
          <w:lang w:val="en-US" w:eastAsia="zh-CN"/>
        </w:rPr>
      </w:pPr>
      <w:r>
        <w:rPr>
          <w:rFonts w:hint="eastAsia" w:ascii="黑体" w:hAnsi="黑体" w:eastAsia="黑体"/>
          <w:color w:val="000000"/>
          <w:sz w:val="32"/>
          <w:szCs w:val="32"/>
          <w:highlight w:val="none"/>
        </w:rPr>
        <w:t>二、法定代表人：</w:t>
      </w:r>
      <w:r>
        <w:rPr>
          <w:rFonts w:hint="eastAsia" w:ascii="仿宋_GB2312" w:hAnsi="仿宋_GB2312" w:eastAsia="仿宋_GB2312" w:cs="仿宋_GB2312"/>
          <w:color w:val="000000"/>
          <w:sz w:val="32"/>
          <w:szCs w:val="32"/>
          <w:highlight w:val="none"/>
          <w:lang w:eastAsia="zh-CN"/>
        </w:rPr>
        <w:t>刘全华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三、注册地址及办公地址：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注册地址：江西省赣州市章贡区章江南大道10号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办公地址：江西省赣州市章贡区章江南大道10号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邮政编码：341000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四、其他资料：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首次注册登记日期：2012年7月11日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企业法人营业执照注册号：91360700598875097F</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黑体" w:hAnsi="黑体" w:eastAsia="黑体" w:cs="黑体"/>
          <w:b w:val="0"/>
          <w:bCs/>
          <w:color w:val="00000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eastAsia="黑体"/>
          <w:b/>
          <w:color w:val="000000"/>
          <w:sz w:val="44"/>
          <w:szCs w:val="44"/>
          <w:highlight w:val="none"/>
          <w:lang w:eastAsia="zh-CN"/>
        </w:rPr>
      </w:pPr>
      <w:r>
        <w:rPr>
          <w:rFonts w:hint="eastAsia" w:ascii="黑体" w:hAnsi="黑体" w:eastAsia="黑体" w:cs="黑体"/>
          <w:b w:val="0"/>
          <w:bCs/>
          <w:color w:val="000000"/>
          <w:sz w:val="32"/>
          <w:szCs w:val="32"/>
          <w:highlight w:val="none"/>
        </w:rPr>
        <w:t>第二章  财务会计报告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一、会计报表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黑体" w:hAnsi="黑体" w:eastAsia="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黑体" w:hAnsi="黑体" w:eastAsia="黑体"/>
          <w:color w:val="000000"/>
          <w:sz w:val="32"/>
          <w:szCs w:val="32"/>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8"/>
        <w:tblpPr w:leftFromText="180" w:rightFromText="180" w:tblpY="-636"/>
        <w:tblW w:w="15692" w:type="dxa"/>
        <w:tblInd w:w="0" w:type="dxa"/>
        <w:tblLayout w:type="fixed"/>
        <w:tblCellMar>
          <w:top w:w="0" w:type="dxa"/>
          <w:left w:w="108" w:type="dxa"/>
          <w:bottom w:w="0" w:type="dxa"/>
          <w:right w:w="108" w:type="dxa"/>
        </w:tblCellMar>
      </w:tblPr>
      <w:tblGrid>
        <w:gridCol w:w="3743"/>
        <w:gridCol w:w="1299"/>
        <w:gridCol w:w="1010"/>
        <w:gridCol w:w="1226"/>
        <w:gridCol w:w="956"/>
        <w:gridCol w:w="1010"/>
        <w:gridCol w:w="1226"/>
        <w:gridCol w:w="1381"/>
        <w:gridCol w:w="1296"/>
        <w:gridCol w:w="1030"/>
        <w:gridCol w:w="1515"/>
      </w:tblGrid>
      <w:tr>
        <w:tblPrEx>
          <w:tblLayout w:type="fixed"/>
          <w:tblCellMar>
            <w:top w:w="0" w:type="dxa"/>
            <w:left w:w="108" w:type="dxa"/>
            <w:bottom w:w="0" w:type="dxa"/>
            <w:right w:w="108" w:type="dxa"/>
          </w:tblCellMar>
        </w:tblPrEx>
        <w:trPr>
          <w:trHeight w:val="296" w:hRule="atLeast"/>
        </w:trPr>
        <w:tc>
          <w:tcPr>
            <w:tcW w:w="15692" w:type="dxa"/>
            <w:gridSpan w:val="11"/>
            <w:tcBorders>
              <w:top w:val="nil"/>
              <w:left w:val="nil"/>
              <w:bottom w:val="nil"/>
              <w:right w:val="nil"/>
            </w:tcBorders>
            <w:vAlign w:val="bottom"/>
          </w:tcPr>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r>
              <w:rPr>
                <w:rFonts w:hint="eastAsia" w:ascii="方正大标宋简体" w:hAnsi="宋体" w:eastAsia="方正大标宋简体" w:cs="Arial"/>
                <w:b/>
                <w:color w:val="000000"/>
                <w:kern w:val="0"/>
                <w:sz w:val="18"/>
                <w:szCs w:val="18"/>
                <w:highlight w:val="none"/>
              </w:rPr>
              <w:t>所  有  者  权  益  变  动  表</w:t>
            </w:r>
          </w:p>
          <w:p>
            <w:pPr>
              <w:widowControl/>
              <w:spacing w:line="28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417" w:hRule="atLeast"/>
        </w:trPr>
        <w:tc>
          <w:tcPr>
            <w:tcW w:w="3743" w:type="dxa"/>
            <w:tcBorders>
              <w:top w:val="nil"/>
              <w:left w:val="nil"/>
              <w:bottom w:val="nil"/>
              <w:right w:val="nil"/>
            </w:tcBorders>
            <w:vAlign w:val="bottom"/>
          </w:tcPr>
          <w:p>
            <w:pPr>
              <w:widowControl/>
              <w:spacing w:line="280" w:lineRule="exact"/>
              <w:jc w:val="left"/>
              <w:rPr>
                <w:rFonts w:ascii="宋体" w:hAnsi="宋体" w:cs="Arial"/>
                <w:color w:val="000000"/>
                <w:kern w:val="0"/>
                <w:sz w:val="16"/>
                <w:szCs w:val="16"/>
                <w:highlight w:val="none"/>
              </w:rPr>
            </w:pPr>
            <w:r>
              <w:rPr>
                <w:rFonts w:hint="eastAsia" w:ascii="宋体" w:hAnsi="宋体" w:cs="Arial"/>
                <w:color w:val="000000"/>
                <w:kern w:val="0"/>
                <w:sz w:val="12"/>
                <w:szCs w:val="12"/>
                <w:highlight w:val="none"/>
              </w:rPr>
              <w:t>编制单位：赣州农村商业银行股份有限公司</w:t>
            </w:r>
          </w:p>
        </w:tc>
        <w:tc>
          <w:tcPr>
            <w:tcW w:w="1299" w:type="dxa"/>
            <w:tcBorders>
              <w:top w:val="nil"/>
              <w:left w:val="nil"/>
              <w:bottom w:val="nil"/>
              <w:right w:val="nil"/>
            </w:tcBorders>
            <w:vAlign w:val="bottom"/>
          </w:tcPr>
          <w:p>
            <w:pPr>
              <w:widowControl/>
              <w:spacing w:line="280" w:lineRule="exact"/>
              <w:jc w:val="left"/>
              <w:rPr>
                <w:rFonts w:ascii="宋体" w:hAnsi="宋体" w:cs="Arial"/>
                <w:color w:val="000000"/>
                <w:kern w:val="0"/>
                <w:sz w:val="16"/>
                <w:szCs w:val="16"/>
                <w:highlight w:val="none"/>
              </w:rPr>
            </w:pPr>
          </w:p>
        </w:tc>
        <w:tc>
          <w:tcPr>
            <w:tcW w:w="1010"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956" w:type="dxa"/>
            <w:tcBorders>
              <w:top w:val="nil"/>
              <w:left w:val="nil"/>
              <w:bottom w:val="nil"/>
              <w:right w:val="nil"/>
            </w:tcBorders>
            <w:vAlign w:val="bottom"/>
          </w:tcPr>
          <w:p>
            <w:pPr>
              <w:widowControl/>
              <w:spacing w:line="280" w:lineRule="exact"/>
              <w:jc w:val="center"/>
              <w:rPr>
                <w:rFonts w:hint="eastAsia" w:ascii="宋体" w:hAnsi="宋体" w:cs="Arial"/>
                <w:color w:val="000000"/>
                <w:kern w:val="0"/>
                <w:sz w:val="16"/>
                <w:szCs w:val="16"/>
                <w:highlight w:val="none"/>
              </w:rPr>
            </w:pPr>
          </w:p>
          <w:p>
            <w:pPr>
              <w:widowControl/>
              <w:spacing w:line="280" w:lineRule="exact"/>
              <w:jc w:val="center"/>
              <w:rPr>
                <w:rFonts w:ascii="宋体" w:hAnsi="宋体" w:cs="Arial"/>
                <w:color w:val="000000"/>
                <w:kern w:val="0"/>
                <w:sz w:val="16"/>
                <w:szCs w:val="16"/>
                <w:highlight w:val="none"/>
              </w:rPr>
            </w:pPr>
            <w:r>
              <w:rPr>
                <w:rFonts w:hint="eastAsia" w:ascii="宋体" w:hAnsi="宋体" w:cs="Arial"/>
                <w:color w:val="000000"/>
                <w:kern w:val="0"/>
                <w:sz w:val="16"/>
                <w:szCs w:val="16"/>
                <w:highlight w:val="none"/>
              </w:rPr>
              <w:t>202</w:t>
            </w:r>
            <w:r>
              <w:rPr>
                <w:rFonts w:hint="eastAsia" w:ascii="宋体" w:hAnsi="宋体" w:cs="Arial"/>
                <w:color w:val="000000"/>
                <w:kern w:val="0"/>
                <w:sz w:val="16"/>
                <w:szCs w:val="16"/>
                <w:highlight w:val="none"/>
                <w:lang w:val="en-US" w:eastAsia="zh-CN"/>
              </w:rPr>
              <w:t>3</w:t>
            </w:r>
            <w:r>
              <w:rPr>
                <w:rFonts w:hint="eastAsia" w:ascii="宋体" w:hAnsi="宋体" w:cs="Arial"/>
                <w:color w:val="000000"/>
                <w:kern w:val="0"/>
                <w:sz w:val="16"/>
                <w:szCs w:val="16"/>
                <w:highlight w:val="none"/>
              </w:rPr>
              <w:t>年</w:t>
            </w:r>
          </w:p>
        </w:tc>
        <w:tc>
          <w:tcPr>
            <w:tcW w:w="1010"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381"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29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030"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r>
              <w:rPr>
                <w:rFonts w:hint="eastAsia" w:ascii="宋体" w:hAnsi="宋体" w:cs="Arial"/>
                <w:color w:val="000000"/>
                <w:kern w:val="0"/>
                <w:sz w:val="16"/>
                <w:szCs w:val="16"/>
                <w:highlight w:val="none"/>
              </w:rPr>
              <w:t>单位：元</w:t>
            </w:r>
          </w:p>
        </w:tc>
        <w:tc>
          <w:tcPr>
            <w:tcW w:w="1515"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p>
        </w:tc>
      </w:tr>
    </w:tbl>
    <w:tbl>
      <w:tblPr>
        <w:tblStyle w:val="8"/>
        <w:tblW w:w="14800" w:type="dxa"/>
        <w:tblInd w:w="0" w:type="dxa"/>
        <w:tblLayout w:type="fixed"/>
        <w:tblCellMar>
          <w:top w:w="0" w:type="dxa"/>
          <w:left w:w="108" w:type="dxa"/>
          <w:bottom w:w="0" w:type="dxa"/>
          <w:right w:w="108" w:type="dxa"/>
        </w:tblCellMar>
      </w:tblPr>
      <w:tblGrid>
        <w:gridCol w:w="2945"/>
        <w:gridCol w:w="737"/>
        <w:gridCol w:w="1288"/>
        <w:gridCol w:w="1037"/>
        <w:gridCol w:w="1188"/>
        <w:gridCol w:w="518"/>
        <w:gridCol w:w="1132"/>
        <w:gridCol w:w="1062"/>
        <w:gridCol w:w="1188"/>
        <w:gridCol w:w="1137"/>
        <w:gridCol w:w="1271"/>
        <w:gridCol w:w="1297"/>
      </w:tblGrid>
      <w:tr>
        <w:tblPrEx>
          <w:tblLayout w:type="fixed"/>
          <w:tblCellMar>
            <w:top w:w="0" w:type="dxa"/>
            <w:left w:w="108" w:type="dxa"/>
            <w:bottom w:w="0" w:type="dxa"/>
            <w:right w:w="108" w:type="dxa"/>
          </w:tblCellMar>
        </w:tblPrEx>
        <w:trPr>
          <w:trHeight w:val="346" w:hRule="atLeast"/>
        </w:trPr>
        <w:tc>
          <w:tcPr>
            <w:tcW w:w="294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项目</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行次</w:t>
            </w:r>
          </w:p>
        </w:tc>
        <w:tc>
          <w:tcPr>
            <w:tcW w:w="11118" w:type="dxa"/>
            <w:gridSpan w:val="10"/>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本年金额</w:t>
            </w:r>
          </w:p>
        </w:tc>
      </w:tr>
      <w:tr>
        <w:tblPrEx>
          <w:tblLayout w:type="fixed"/>
          <w:tblCellMar>
            <w:top w:w="0" w:type="dxa"/>
            <w:left w:w="108" w:type="dxa"/>
            <w:bottom w:w="0" w:type="dxa"/>
            <w:right w:w="108" w:type="dxa"/>
          </w:tblCellMar>
        </w:tblPrEx>
        <w:trPr>
          <w:trHeight w:val="346" w:hRule="atLeast"/>
        </w:trPr>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2"/>
                <w:szCs w:val="12"/>
                <w:highlight w:val="none"/>
              </w:rPr>
            </w:pPr>
          </w:p>
        </w:tc>
        <w:tc>
          <w:tcPr>
            <w:tcW w:w="73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2"/>
                <w:szCs w:val="12"/>
                <w:highlight w:val="none"/>
              </w:rPr>
            </w:pPr>
          </w:p>
        </w:tc>
        <w:tc>
          <w:tcPr>
            <w:tcW w:w="8550" w:type="dxa"/>
            <w:gridSpan w:val="8"/>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归属于母公司所有者权益</w:t>
            </w:r>
          </w:p>
        </w:tc>
        <w:tc>
          <w:tcPr>
            <w:tcW w:w="127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少数股东权益</w:t>
            </w:r>
          </w:p>
        </w:tc>
        <w:tc>
          <w:tcPr>
            <w:tcW w:w="129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所有者权益合计</w:t>
            </w:r>
          </w:p>
        </w:tc>
      </w:tr>
      <w:tr>
        <w:tblPrEx>
          <w:tblLayout w:type="fixed"/>
          <w:tblCellMar>
            <w:top w:w="0" w:type="dxa"/>
            <w:left w:w="108" w:type="dxa"/>
            <w:bottom w:w="0" w:type="dxa"/>
            <w:right w:w="108" w:type="dxa"/>
          </w:tblCellMar>
        </w:tblPrEx>
        <w:trPr>
          <w:trHeight w:val="682" w:hRule="atLeast"/>
        </w:trPr>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2"/>
                <w:szCs w:val="12"/>
                <w:highlight w:val="none"/>
              </w:rPr>
            </w:pPr>
          </w:p>
        </w:tc>
        <w:tc>
          <w:tcPr>
            <w:tcW w:w="73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2"/>
                <w:szCs w:val="12"/>
                <w:highlight w:val="none"/>
              </w:rPr>
            </w:pPr>
          </w:p>
        </w:tc>
        <w:tc>
          <w:tcPr>
            <w:tcW w:w="12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实收资本</w:t>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t>(或股本)</w:t>
            </w:r>
          </w:p>
        </w:tc>
        <w:tc>
          <w:tcPr>
            <w:tcW w:w="10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其他权益工具</w:t>
            </w:r>
          </w:p>
        </w:tc>
        <w:tc>
          <w:tcPr>
            <w:tcW w:w="11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资本公积</w:t>
            </w:r>
          </w:p>
        </w:tc>
        <w:tc>
          <w:tcPr>
            <w:tcW w:w="51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减：库存股</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其他综合收益</w:t>
            </w:r>
          </w:p>
        </w:tc>
        <w:tc>
          <w:tcPr>
            <w:tcW w:w="106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盈余公积</w:t>
            </w:r>
          </w:p>
        </w:tc>
        <w:tc>
          <w:tcPr>
            <w:tcW w:w="11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一般风险准备</w:t>
            </w:r>
          </w:p>
        </w:tc>
        <w:tc>
          <w:tcPr>
            <w:tcW w:w="11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未分配利润</w:t>
            </w:r>
          </w:p>
        </w:tc>
        <w:tc>
          <w:tcPr>
            <w:tcW w:w="12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2"/>
                <w:szCs w:val="12"/>
                <w:highlight w:val="none"/>
              </w:rPr>
            </w:pPr>
          </w:p>
        </w:tc>
        <w:tc>
          <w:tcPr>
            <w:tcW w:w="12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2"/>
                <w:szCs w:val="12"/>
                <w:highlight w:val="none"/>
              </w:rPr>
            </w:pP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栏   次</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w:t>
            </w:r>
          </w:p>
        </w:tc>
        <w:tc>
          <w:tcPr>
            <w:tcW w:w="12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0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1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51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06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1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1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27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29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一、上年年末余额</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105,695,167.97</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33,972,110.01</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363,104,849.64</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1,588,983,086.38</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532,410,455.70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3,494,751,005.70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加：会计政策变更</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    前期差错更正</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二、本年年初余额</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33,972,110.01</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363,104,849.64</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1,588,983,086.38</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532,410,455.70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3,494,751,005.70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三、本年增减变动金额（减少以“-”号填列）</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32,232,531.74</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37,986,940.55</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50,084,346.19</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176,697,824.56</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297,001,643.04</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（一）综合收益总额</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32,232,531.74</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343,036,180.88</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375,268,712.62</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（二）所有者投入和减少资本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84,346.19</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1,267.47</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85,610.66</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1．所有者投入资本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2．其他权益工具持有者投入资本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3．股份支付计入所有者权益的金额</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11</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84,346.19</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1264.47</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85,610.66</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（三）利润分配</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12</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37,986,940.55</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-166，339，620.79</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-78,352,680.24</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1．提取盈余公积</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13</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34,303,618.09</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-34,303,618.09</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2．提取一般风险准备</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14</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3．对所有者（或股东）的分配</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15</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-78,352,680.24</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-78,352,680.24</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16</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3,683,322.46</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-3,683,322.46</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（四）所有者权益内部结转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17</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0.00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1．资本公积转增资本（或股本）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18</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2．盈余公积转增资本（或股本）</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19</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3．盈余公积弥补亏损</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4．一般风险准备弥补亏损</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21</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5．其他</w:t>
            </w:r>
          </w:p>
        </w:tc>
        <w:tc>
          <w:tcPr>
            <w:tcW w:w="7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22</w:t>
            </w:r>
          </w:p>
        </w:tc>
        <w:tc>
          <w:tcPr>
            <w:tcW w:w="12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1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62"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71"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4"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83" w:hRule="exact"/>
        </w:trPr>
        <w:tc>
          <w:tcPr>
            <w:tcW w:w="2945" w:type="dxa"/>
            <w:tcBorders>
              <w:top w:val="nil"/>
              <w:left w:val="single" w:color="000000" w:sz="4" w:space="0"/>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四、本年年末余额</w:t>
            </w:r>
          </w:p>
        </w:tc>
        <w:tc>
          <w:tcPr>
            <w:tcW w:w="737"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23</w:t>
            </w:r>
          </w:p>
        </w:tc>
        <w:tc>
          <w:tcPr>
            <w:tcW w:w="1288"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037"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8"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518"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32"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66,204,641.75</w:t>
            </w:r>
          </w:p>
        </w:tc>
        <w:tc>
          <w:tcPr>
            <w:tcW w:w="1062"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401,091,790.19</w:t>
            </w:r>
          </w:p>
        </w:tc>
        <w:tc>
          <w:tcPr>
            <w:tcW w:w="1188"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1,639,067,432.57</w:t>
            </w:r>
          </w:p>
        </w:tc>
        <w:tc>
          <w:tcPr>
            <w:tcW w:w="1137"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709,108,280.26</w:t>
            </w:r>
          </w:p>
        </w:tc>
        <w:tc>
          <w:tcPr>
            <w:tcW w:w="1271"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97" w:type="dxa"/>
            <w:tcBorders>
              <w:top w:val="nil"/>
              <w:left w:val="nil"/>
              <w:bottom w:val="single" w:color="000000" w:sz="8" w:space="0"/>
              <w:right w:val="single" w:color="000000" w:sz="4" w:space="0"/>
            </w:tcBorders>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3,791,752,648.74</w:t>
            </w:r>
          </w:p>
        </w:tc>
      </w:tr>
    </w:tbl>
    <w:p>
      <w:pPr>
        <w:widowControl/>
        <w:spacing w:line="280" w:lineRule="exact"/>
        <w:jc w:val="left"/>
        <w:rPr>
          <w:rFonts w:ascii="Arial" w:hAnsi="Arial" w:cs="Arial"/>
          <w:color w:val="000000"/>
          <w:kern w:val="0"/>
          <w:sz w:val="10"/>
          <w:szCs w:val="10"/>
          <w:highlight w:val="none"/>
        </w:rPr>
        <w:sectPr>
          <w:headerReference r:id="rId4" w:type="default"/>
          <w:footerReference r:id="rId5" w:type="default"/>
          <w:pgSz w:w="16838" w:h="11906" w:orient="landscape"/>
          <w:pgMar w:top="720" w:right="720" w:bottom="720" w:left="720" w:header="851" w:footer="992" w:gutter="0"/>
          <w:pgNumType w:fmt="numberInDash"/>
          <w:cols w:space="720" w:num="1"/>
          <w:docGrid w:type="lines" w:linePitch="312" w:charSpace="0"/>
        </w:sectPr>
      </w:pPr>
    </w:p>
    <w:tbl>
      <w:tblPr>
        <w:tblStyle w:val="8"/>
        <w:tblpPr w:leftFromText="180" w:rightFromText="180" w:horzAnchor="margin" w:tblpY="-528"/>
        <w:tblW w:w="15278" w:type="dxa"/>
        <w:tblInd w:w="0" w:type="dxa"/>
        <w:tblLayout w:type="fixed"/>
        <w:tblCellMar>
          <w:top w:w="0" w:type="dxa"/>
          <w:left w:w="108" w:type="dxa"/>
          <w:bottom w:w="0" w:type="dxa"/>
          <w:right w:w="108" w:type="dxa"/>
        </w:tblCellMar>
      </w:tblPr>
      <w:tblGrid>
        <w:gridCol w:w="3217"/>
        <w:gridCol w:w="366"/>
        <w:gridCol w:w="1470"/>
        <w:gridCol w:w="757"/>
        <w:gridCol w:w="1149"/>
        <w:gridCol w:w="1520"/>
        <w:gridCol w:w="737"/>
        <w:gridCol w:w="1083"/>
        <w:gridCol w:w="1259"/>
        <w:gridCol w:w="1215"/>
        <w:gridCol w:w="1027"/>
        <w:gridCol w:w="1478"/>
      </w:tblGrid>
      <w:tr>
        <w:tblPrEx>
          <w:tblLayout w:type="fixed"/>
          <w:tblCellMar>
            <w:top w:w="0" w:type="dxa"/>
            <w:left w:w="108" w:type="dxa"/>
            <w:bottom w:w="0" w:type="dxa"/>
            <w:right w:w="108" w:type="dxa"/>
          </w:tblCellMar>
        </w:tblPrEx>
        <w:trPr>
          <w:trHeight w:val="143" w:hRule="atLeast"/>
        </w:trPr>
        <w:tc>
          <w:tcPr>
            <w:tcW w:w="15278" w:type="dxa"/>
            <w:gridSpan w:val="12"/>
            <w:tcBorders>
              <w:top w:val="nil"/>
              <w:left w:val="nil"/>
              <w:bottom w:val="nil"/>
              <w:right w:val="nil"/>
            </w:tcBorders>
            <w:vAlign w:val="bottom"/>
          </w:tcPr>
          <w:p>
            <w:pPr>
              <w:widowControl/>
              <w:spacing w:line="50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80" w:hRule="atLeast"/>
        </w:trPr>
        <w:tc>
          <w:tcPr>
            <w:tcW w:w="3217" w:type="dxa"/>
            <w:tcBorders>
              <w:top w:val="nil"/>
              <w:left w:val="nil"/>
              <w:bottom w:val="nil"/>
              <w:right w:val="nil"/>
            </w:tcBorders>
            <w:vAlign w:val="bottom"/>
          </w:tcPr>
          <w:p>
            <w:pPr>
              <w:widowControl/>
              <w:spacing w:line="500" w:lineRule="exact"/>
              <w:jc w:val="left"/>
              <w:rPr>
                <w:rFonts w:ascii="宋体" w:hAnsi="宋体" w:cs="Arial"/>
                <w:color w:val="000000"/>
                <w:kern w:val="0"/>
                <w:sz w:val="12"/>
                <w:szCs w:val="12"/>
                <w:highlight w:val="none"/>
              </w:rPr>
            </w:pPr>
          </w:p>
        </w:tc>
        <w:tc>
          <w:tcPr>
            <w:tcW w:w="366" w:type="dxa"/>
            <w:tcBorders>
              <w:top w:val="nil"/>
              <w:left w:val="nil"/>
              <w:bottom w:val="nil"/>
              <w:right w:val="nil"/>
            </w:tcBorders>
            <w:vAlign w:val="bottom"/>
          </w:tcPr>
          <w:p>
            <w:pPr>
              <w:widowControl/>
              <w:spacing w:line="500" w:lineRule="exact"/>
              <w:jc w:val="left"/>
              <w:rPr>
                <w:rFonts w:ascii="宋体" w:hAnsi="宋体" w:cs="Arial"/>
                <w:color w:val="000000"/>
                <w:kern w:val="0"/>
                <w:sz w:val="12"/>
                <w:szCs w:val="12"/>
                <w:highlight w:val="none"/>
              </w:rPr>
            </w:pPr>
          </w:p>
        </w:tc>
        <w:tc>
          <w:tcPr>
            <w:tcW w:w="1470"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757"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149"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520" w:type="dxa"/>
            <w:tcBorders>
              <w:top w:val="nil"/>
              <w:left w:val="nil"/>
              <w:bottom w:val="nil"/>
              <w:right w:val="nil"/>
            </w:tcBorders>
            <w:vAlign w:val="bottom"/>
          </w:tcPr>
          <w:p>
            <w:pPr>
              <w:widowControl/>
              <w:spacing w:line="500" w:lineRule="exact"/>
              <w:jc w:val="left"/>
              <w:rPr>
                <w:rFonts w:ascii="Arial" w:hAnsi="Arial" w:cs="Arial"/>
                <w:color w:val="000000"/>
                <w:kern w:val="0"/>
                <w:sz w:val="12"/>
                <w:szCs w:val="12"/>
                <w:highlight w:val="none"/>
              </w:rPr>
            </w:pPr>
          </w:p>
        </w:tc>
        <w:tc>
          <w:tcPr>
            <w:tcW w:w="737" w:type="dxa"/>
            <w:tcBorders>
              <w:top w:val="nil"/>
              <w:left w:val="nil"/>
              <w:bottom w:val="nil"/>
              <w:right w:val="nil"/>
            </w:tcBorders>
            <w:vAlign w:val="bottom"/>
          </w:tcPr>
          <w:p>
            <w:pPr>
              <w:widowControl/>
              <w:spacing w:line="500" w:lineRule="exact"/>
              <w:jc w:val="left"/>
              <w:rPr>
                <w:rFonts w:ascii="Arial" w:hAnsi="Arial" w:cs="Arial"/>
                <w:color w:val="000000"/>
                <w:kern w:val="0"/>
                <w:sz w:val="12"/>
                <w:szCs w:val="12"/>
                <w:highlight w:val="none"/>
              </w:rPr>
            </w:pPr>
          </w:p>
        </w:tc>
        <w:tc>
          <w:tcPr>
            <w:tcW w:w="1083"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259"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215"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027"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478" w:type="dxa"/>
            <w:tcBorders>
              <w:top w:val="nil"/>
              <w:left w:val="nil"/>
              <w:bottom w:val="nil"/>
              <w:right w:val="nil"/>
            </w:tcBorders>
            <w:vAlign w:val="bottom"/>
          </w:tcPr>
          <w:p>
            <w:pPr>
              <w:widowControl/>
              <w:spacing w:line="500" w:lineRule="exact"/>
              <w:jc w:val="right"/>
              <w:rPr>
                <w:rFonts w:ascii="宋体" w:hAnsi="宋体" w:cs="Arial"/>
                <w:color w:val="000000"/>
                <w:kern w:val="0"/>
                <w:sz w:val="12"/>
                <w:szCs w:val="12"/>
                <w:highlight w:val="none"/>
              </w:rPr>
            </w:pPr>
          </w:p>
        </w:tc>
      </w:tr>
    </w:tbl>
    <w:tbl>
      <w:tblPr>
        <w:tblStyle w:val="8"/>
        <w:tblpPr w:leftFromText="180" w:rightFromText="180" w:tblpY="-636"/>
        <w:tblW w:w="15692" w:type="dxa"/>
        <w:tblInd w:w="0" w:type="dxa"/>
        <w:tblLayout w:type="fixed"/>
        <w:tblCellMar>
          <w:top w:w="0" w:type="dxa"/>
          <w:left w:w="108" w:type="dxa"/>
          <w:bottom w:w="0" w:type="dxa"/>
          <w:right w:w="108" w:type="dxa"/>
        </w:tblCellMar>
      </w:tblPr>
      <w:tblGrid>
        <w:gridCol w:w="3743"/>
        <w:gridCol w:w="1299"/>
        <w:gridCol w:w="1010"/>
        <w:gridCol w:w="1226"/>
        <w:gridCol w:w="956"/>
        <w:gridCol w:w="1010"/>
        <w:gridCol w:w="1226"/>
        <w:gridCol w:w="1381"/>
        <w:gridCol w:w="1296"/>
        <w:gridCol w:w="1030"/>
        <w:gridCol w:w="1515"/>
      </w:tblGrid>
      <w:tr>
        <w:tblPrEx>
          <w:tblLayout w:type="fixed"/>
          <w:tblCellMar>
            <w:top w:w="0" w:type="dxa"/>
            <w:left w:w="108" w:type="dxa"/>
            <w:bottom w:w="0" w:type="dxa"/>
            <w:right w:w="108" w:type="dxa"/>
          </w:tblCellMar>
        </w:tblPrEx>
        <w:trPr>
          <w:trHeight w:val="296" w:hRule="atLeast"/>
        </w:trPr>
        <w:tc>
          <w:tcPr>
            <w:tcW w:w="15692" w:type="dxa"/>
            <w:gridSpan w:val="11"/>
            <w:tcBorders>
              <w:top w:val="nil"/>
              <w:left w:val="nil"/>
              <w:bottom w:val="nil"/>
              <w:right w:val="nil"/>
            </w:tcBorders>
            <w:vAlign w:val="bottom"/>
          </w:tcPr>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r>
              <w:rPr>
                <w:rFonts w:hint="eastAsia" w:ascii="方正大标宋简体" w:hAnsi="宋体" w:eastAsia="方正大标宋简体" w:cs="Arial"/>
                <w:b/>
                <w:color w:val="000000"/>
                <w:kern w:val="0"/>
                <w:sz w:val="18"/>
                <w:szCs w:val="18"/>
                <w:highlight w:val="none"/>
              </w:rPr>
              <w:t>所  有  者  权  益  变  动  表</w:t>
            </w:r>
          </w:p>
          <w:p>
            <w:pPr>
              <w:widowControl/>
              <w:spacing w:line="28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80" w:hRule="atLeast"/>
        </w:trPr>
        <w:tc>
          <w:tcPr>
            <w:tcW w:w="3743" w:type="dxa"/>
            <w:tcBorders>
              <w:top w:val="nil"/>
              <w:left w:val="nil"/>
              <w:bottom w:val="nil"/>
              <w:right w:val="nil"/>
            </w:tcBorders>
            <w:vAlign w:val="bottom"/>
          </w:tcPr>
          <w:p>
            <w:pPr>
              <w:widowControl/>
              <w:spacing w:line="280" w:lineRule="exact"/>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编制单位：赣州农村商业银行股份有限公司</w:t>
            </w:r>
          </w:p>
        </w:tc>
        <w:tc>
          <w:tcPr>
            <w:tcW w:w="1299" w:type="dxa"/>
            <w:tcBorders>
              <w:top w:val="nil"/>
              <w:left w:val="nil"/>
              <w:bottom w:val="nil"/>
              <w:right w:val="nil"/>
            </w:tcBorders>
            <w:vAlign w:val="bottom"/>
          </w:tcPr>
          <w:p>
            <w:pPr>
              <w:widowControl/>
              <w:spacing w:line="280" w:lineRule="exact"/>
              <w:jc w:val="left"/>
              <w:rPr>
                <w:rFonts w:ascii="宋体" w:hAnsi="宋体" w:cs="Arial"/>
                <w:color w:val="000000"/>
                <w:kern w:val="0"/>
                <w:sz w:val="12"/>
                <w:szCs w:val="12"/>
                <w:highlight w:val="none"/>
              </w:rPr>
            </w:pPr>
          </w:p>
        </w:tc>
        <w:tc>
          <w:tcPr>
            <w:tcW w:w="1010"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956" w:type="dxa"/>
            <w:tcBorders>
              <w:top w:val="nil"/>
              <w:left w:val="nil"/>
              <w:bottom w:val="nil"/>
              <w:right w:val="nil"/>
            </w:tcBorders>
            <w:vAlign w:val="bottom"/>
          </w:tcPr>
          <w:p>
            <w:pPr>
              <w:widowControl/>
              <w:spacing w:line="280" w:lineRule="exac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202</w:t>
            </w:r>
            <w:r>
              <w:rPr>
                <w:rFonts w:hint="eastAsia" w:ascii="宋体" w:hAnsi="宋体" w:cs="Arial"/>
                <w:color w:val="000000"/>
                <w:kern w:val="0"/>
                <w:sz w:val="12"/>
                <w:szCs w:val="12"/>
                <w:highlight w:val="none"/>
                <w:lang w:val="en-US" w:eastAsia="zh-CN"/>
              </w:rPr>
              <w:t>3</w:t>
            </w:r>
            <w:r>
              <w:rPr>
                <w:rFonts w:hint="eastAsia" w:ascii="宋体" w:hAnsi="宋体" w:cs="Arial"/>
                <w:color w:val="000000"/>
                <w:kern w:val="0"/>
                <w:sz w:val="12"/>
                <w:szCs w:val="12"/>
                <w:highlight w:val="none"/>
              </w:rPr>
              <w:t>年</w:t>
            </w:r>
          </w:p>
        </w:tc>
        <w:tc>
          <w:tcPr>
            <w:tcW w:w="1010"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381"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29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030"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单位：元</w:t>
            </w:r>
          </w:p>
        </w:tc>
        <w:tc>
          <w:tcPr>
            <w:tcW w:w="1515"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p>
        </w:tc>
      </w:tr>
    </w:tbl>
    <w:tbl>
      <w:tblPr>
        <w:tblStyle w:val="8"/>
        <w:tblW w:w="14760" w:type="dxa"/>
        <w:tblInd w:w="91" w:type="dxa"/>
        <w:tblLayout w:type="fixed"/>
        <w:tblCellMar>
          <w:top w:w="0" w:type="dxa"/>
          <w:left w:w="108" w:type="dxa"/>
          <w:bottom w:w="0" w:type="dxa"/>
          <w:right w:w="108" w:type="dxa"/>
        </w:tblCellMar>
      </w:tblPr>
      <w:tblGrid>
        <w:gridCol w:w="2619"/>
        <w:gridCol w:w="723"/>
        <w:gridCol w:w="1300"/>
        <w:gridCol w:w="1156"/>
        <w:gridCol w:w="1157"/>
        <w:gridCol w:w="1012"/>
        <w:gridCol w:w="1156"/>
        <w:gridCol w:w="1156"/>
        <w:gridCol w:w="1300"/>
        <w:gridCol w:w="1157"/>
        <w:gridCol w:w="723"/>
        <w:gridCol w:w="1301"/>
      </w:tblGrid>
      <w:tr>
        <w:tblPrEx>
          <w:tblLayout w:type="fixed"/>
          <w:tblCellMar>
            <w:top w:w="0" w:type="dxa"/>
            <w:left w:w="108" w:type="dxa"/>
            <w:bottom w:w="0" w:type="dxa"/>
            <w:right w:w="108" w:type="dxa"/>
          </w:tblCellMar>
        </w:tblPrEx>
        <w:trPr>
          <w:trHeight w:val="289" w:hRule="exact"/>
        </w:trPr>
        <w:tc>
          <w:tcPr>
            <w:tcW w:w="2619"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项目</w:t>
            </w:r>
          </w:p>
        </w:tc>
        <w:tc>
          <w:tcPr>
            <w:tcW w:w="723"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行次</w:t>
            </w:r>
          </w:p>
        </w:tc>
        <w:tc>
          <w:tcPr>
            <w:tcW w:w="11418" w:type="dxa"/>
            <w:gridSpan w:val="10"/>
            <w:tcBorders>
              <w:top w:val="single" w:color="auto" w:sz="4" w:space="0"/>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上年金额</w:t>
            </w:r>
          </w:p>
        </w:tc>
      </w:tr>
      <w:tr>
        <w:tblPrEx>
          <w:tblLayout w:type="fixed"/>
          <w:tblCellMar>
            <w:top w:w="0" w:type="dxa"/>
            <w:left w:w="108" w:type="dxa"/>
            <w:bottom w:w="0" w:type="dxa"/>
            <w:right w:w="108" w:type="dxa"/>
          </w:tblCellMar>
        </w:tblPrEx>
        <w:trPr>
          <w:trHeight w:val="289" w:hRule="exact"/>
        </w:trPr>
        <w:tc>
          <w:tcPr>
            <w:tcW w:w="2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2"/>
                <w:szCs w:val="12"/>
                <w:highlight w:val="none"/>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2"/>
                <w:szCs w:val="12"/>
                <w:highlight w:val="none"/>
              </w:rPr>
            </w:pPr>
          </w:p>
        </w:tc>
        <w:tc>
          <w:tcPr>
            <w:tcW w:w="9394" w:type="dxa"/>
            <w:gridSpan w:val="8"/>
            <w:tcBorders>
              <w:top w:val="single" w:color="auto" w:sz="4" w:space="0"/>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归属于母公司所有者权益</w:t>
            </w:r>
          </w:p>
        </w:tc>
        <w:tc>
          <w:tcPr>
            <w:tcW w:w="723" w:type="dxa"/>
            <w:vMerge w:val="restart"/>
            <w:tcBorders>
              <w:top w:val="nil"/>
              <w:left w:val="single" w:color="auto" w:sz="4" w:space="0"/>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少数股东权益</w:t>
            </w:r>
          </w:p>
        </w:tc>
        <w:tc>
          <w:tcPr>
            <w:tcW w:w="1301" w:type="dxa"/>
            <w:vMerge w:val="restart"/>
            <w:tcBorders>
              <w:top w:val="nil"/>
              <w:left w:val="single" w:color="auto" w:sz="4" w:space="0"/>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所有者权益合计</w:t>
            </w:r>
          </w:p>
        </w:tc>
      </w:tr>
      <w:tr>
        <w:tblPrEx>
          <w:tblLayout w:type="fixed"/>
          <w:tblCellMar>
            <w:top w:w="0" w:type="dxa"/>
            <w:left w:w="108" w:type="dxa"/>
            <w:bottom w:w="0" w:type="dxa"/>
            <w:right w:w="108" w:type="dxa"/>
          </w:tblCellMar>
        </w:tblPrEx>
        <w:trPr>
          <w:trHeight w:val="289" w:hRule="exact"/>
        </w:trPr>
        <w:tc>
          <w:tcPr>
            <w:tcW w:w="2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2"/>
                <w:szCs w:val="12"/>
                <w:highlight w:val="none"/>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2"/>
                <w:szCs w:val="12"/>
                <w:highlight w:val="none"/>
              </w:rPr>
            </w:pPr>
          </w:p>
        </w:tc>
        <w:tc>
          <w:tcPr>
            <w:tcW w:w="1300"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实收资本</w:t>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t>(或股本)</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其他权益工具</w:t>
            </w:r>
          </w:p>
        </w:tc>
        <w:tc>
          <w:tcPr>
            <w:tcW w:w="1157"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资本公积</w:t>
            </w:r>
          </w:p>
        </w:tc>
        <w:tc>
          <w:tcPr>
            <w:tcW w:w="1012"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减：库存股</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其他综合收益</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盈余公积</w:t>
            </w:r>
          </w:p>
        </w:tc>
        <w:tc>
          <w:tcPr>
            <w:tcW w:w="1300"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一般风险准备</w:t>
            </w:r>
          </w:p>
        </w:tc>
        <w:tc>
          <w:tcPr>
            <w:tcW w:w="1157"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未分配利润</w:t>
            </w:r>
          </w:p>
        </w:tc>
        <w:tc>
          <w:tcPr>
            <w:tcW w:w="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2"/>
                <w:szCs w:val="12"/>
                <w:highlight w:val="none"/>
              </w:rPr>
            </w:pPr>
          </w:p>
        </w:tc>
        <w:tc>
          <w:tcPr>
            <w:tcW w:w="13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2"/>
                <w:szCs w:val="12"/>
                <w:highlight w:val="none"/>
              </w:rPr>
            </w:pP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栏   次</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w:t>
            </w:r>
          </w:p>
        </w:tc>
        <w:tc>
          <w:tcPr>
            <w:tcW w:w="1300"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157"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012"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156"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300"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157"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01"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一、上年年末余额</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870,585,336.00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105,677,490.97</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61,776,897.27</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315,635,848.92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1,487,352,720.98</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372,461,233.82</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3,213,489,527.96</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加：会计政策变更</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    前期差错更正</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二、本年年初余额</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870,585,336.00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105,677,490.97</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61,776,897.27</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315,635,848.92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1,487,352,720.98</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372,461,233.82</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3,213,489,527.96</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三、本年增减变动金额（减少以“-”号填列）</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17,677.00</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-27,804,787.26</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47,469,000.72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101,630,365.40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159,949,221.88</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281,261,477.74</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（一）综合收益总额</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-27,804,787.26</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411,882,157.73</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384,077,370.47</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（二）所有者投入和减少资本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17,677.00</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1,630,365.40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6,305.19</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1,654,347.59</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1．所有者投入资本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17,677.00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17,677.00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2．其他权益工具持有者投入资本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3．股份支付计入所有者权益的金额</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11</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1,630,365.40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6,305.19</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1,636,670.59</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（三）利润分配</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47,469,000.72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100,000,000.00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-251,939,241.04</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-104,470,240.32</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1．提取盈余公积</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13</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47,469,000.72</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w:t>
            </w:r>
            <w:r>
              <w:rPr>
                <w:rFonts w:hint="eastAsia" w:ascii="宋体" w:hAnsi="宋体" w:cs="宋体"/>
                <w:color w:val="000000"/>
                <w:kern w:val="0"/>
                <w:sz w:val="11"/>
                <w:szCs w:val="11"/>
                <w:highlight w:val="none"/>
              </w:rPr>
              <w:t>47,469,000.72</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2．提取一般风险准备</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14</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100,000,000.00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-100,000,000.00</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3．对所有者（或股东）的分配</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15</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-104,470,240.32</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-104,470,240.32</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16</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0.00</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（四）所有者权益内部结转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17</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1．资本公积转增资本（或股本）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18</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2．盈余公积转增资本（或股本）</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19</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3．盈余公积弥补亏损</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4．一般风险准备弥补亏损</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21</w:t>
            </w:r>
          </w:p>
        </w:tc>
        <w:tc>
          <w:tcPr>
            <w:tcW w:w="1300"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7"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156"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723" w:type="dxa"/>
            <w:tcBorders>
              <w:top w:val="nil"/>
              <w:left w:val="nil"/>
              <w:bottom w:val="single" w:color="auto" w:sz="4" w:space="0"/>
              <w:right w:val="single" w:color="auto" w:sz="4" w:space="0"/>
            </w:tcBorders>
            <w:vAlign w:val="center"/>
          </w:tcPr>
          <w:p>
            <w:pPr>
              <w:jc w:val="center"/>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8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5．其他</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22</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r>
      <w:tr>
        <w:tblPrEx>
          <w:tblLayout w:type="fixed"/>
          <w:tblCellMar>
            <w:top w:w="0" w:type="dxa"/>
            <w:left w:w="108" w:type="dxa"/>
            <w:bottom w:w="0" w:type="dxa"/>
            <w:right w:w="108" w:type="dxa"/>
          </w:tblCellMar>
        </w:tblPrEx>
        <w:trPr>
          <w:trHeight w:val="299" w:hRule="exact"/>
        </w:trPr>
        <w:tc>
          <w:tcPr>
            <w:tcW w:w="2619" w:type="dxa"/>
            <w:tcBorders>
              <w:top w:val="nil"/>
              <w:left w:val="single" w:color="auto" w:sz="4" w:space="0"/>
              <w:bottom w:val="single" w:color="auto" w:sz="4" w:space="0"/>
              <w:right w:val="single" w:color="auto" w:sz="4" w:space="0"/>
            </w:tcBorders>
            <w:shd w:val="clear" w:color="FFFFFF" w:fill="C0C0C0"/>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四、本年年末余额</w:t>
            </w:r>
          </w:p>
        </w:tc>
        <w:tc>
          <w:tcPr>
            <w:tcW w:w="723" w:type="dxa"/>
            <w:tcBorders>
              <w:top w:val="nil"/>
              <w:left w:val="nil"/>
              <w:bottom w:val="single" w:color="auto" w:sz="4" w:space="0"/>
              <w:right w:val="single" w:color="auto" w:sz="4" w:space="0"/>
            </w:tcBorders>
            <w:shd w:val="clear" w:color="FFFFFF" w:fill="C0C0C0"/>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23</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870,585,336.00</w:t>
            </w:r>
          </w:p>
        </w:tc>
        <w:tc>
          <w:tcPr>
            <w:tcW w:w="115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 xml:space="preserve">0.00 </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105,695,167.97</w:t>
            </w:r>
          </w:p>
        </w:tc>
        <w:tc>
          <w:tcPr>
            <w:tcW w:w="101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xml:space="preserve">0.00 </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33,972,110.01</w:t>
            </w:r>
          </w:p>
        </w:tc>
        <w:tc>
          <w:tcPr>
            <w:tcW w:w="1156"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363,104,849.64</w:t>
            </w:r>
          </w:p>
        </w:tc>
        <w:tc>
          <w:tcPr>
            <w:tcW w:w="1300"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1,588,983,086.38</w:t>
            </w:r>
          </w:p>
        </w:tc>
        <w:tc>
          <w:tcPr>
            <w:tcW w:w="1157"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532,410,455.70</w:t>
            </w:r>
          </w:p>
        </w:tc>
        <w:tc>
          <w:tcPr>
            <w:tcW w:w="723"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rPr>
              <w:t>0.00</w:t>
            </w:r>
          </w:p>
        </w:tc>
        <w:tc>
          <w:tcPr>
            <w:tcW w:w="1301" w:type="dxa"/>
            <w:tcBorders>
              <w:top w:val="nil"/>
              <w:left w:val="nil"/>
              <w:bottom w:val="single" w:color="auto" w:sz="4" w:space="0"/>
              <w:right w:val="single" w:color="auto" w:sz="4" w:space="0"/>
            </w:tcBorders>
            <w:vAlign w:val="center"/>
          </w:tcPr>
          <w:p>
            <w:pPr>
              <w:jc w:val="right"/>
              <w:rPr>
                <w:rFonts w:ascii="宋体" w:hAnsi="宋体" w:cs="Arial"/>
                <w:color w:val="000000"/>
                <w:kern w:val="0"/>
                <w:sz w:val="12"/>
                <w:szCs w:val="12"/>
                <w:highlight w:val="none"/>
              </w:rPr>
            </w:pPr>
            <w:r>
              <w:rPr>
                <w:rFonts w:hint="eastAsia" w:ascii="宋体" w:hAnsi="宋体" w:cs="宋体"/>
                <w:color w:val="000000"/>
                <w:kern w:val="0"/>
                <w:sz w:val="11"/>
                <w:szCs w:val="11"/>
                <w:highlight w:val="none"/>
                <w:lang w:val="en-US" w:eastAsia="zh-CN"/>
              </w:rPr>
              <w:t>3,494,751,005.70</w:t>
            </w:r>
          </w:p>
        </w:tc>
      </w:tr>
    </w:tbl>
    <w:p>
      <w:pPr>
        <w:widowControl/>
        <w:spacing w:line="180" w:lineRule="exact"/>
        <w:rPr>
          <w:rFonts w:ascii="Courier New" w:hAnsi="Courier New" w:cs="Courier New"/>
          <w:b/>
          <w:bCs/>
          <w:color w:val="000000"/>
          <w:kern w:val="0"/>
          <w:sz w:val="10"/>
          <w:szCs w:val="10"/>
          <w:highlight w:val="none"/>
        </w:rPr>
        <w:sectPr>
          <w:pgSz w:w="16838" w:h="11906" w:orient="landscape"/>
          <w:pgMar w:top="720" w:right="720" w:bottom="720" w:left="720" w:header="851" w:footer="992" w:gutter="0"/>
          <w:pgNumType w:fmt="numberInDash"/>
          <w:cols w:space="720" w:num="1"/>
          <w:docGrid w:type="lines" w:linePitch="312" w:charSpace="0"/>
        </w:sectPr>
      </w:pPr>
    </w:p>
    <w:tbl>
      <w:tblPr>
        <w:tblStyle w:val="8"/>
        <w:tblpPr w:leftFromText="180" w:rightFromText="180" w:vertAnchor="text" w:horzAnchor="page" w:tblpXSpec="center" w:tblpY="160"/>
        <w:tblOverlap w:val="never"/>
        <w:tblW w:w="13940" w:type="dxa"/>
        <w:jc w:val="center"/>
        <w:tblInd w:w="0" w:type="dxa"/>
        <w:tblLayout w:type="fixed"/>
        <w:tblCellMar>
          <w:top w:w="0" w:type="dxa"/>
          <w:left w:w="108" w:type="dxa"/>
          <w:bottom w:w="0" w:type="dxa"/>
          <w:right w:w="108" w:type="dxa"/>
        </w:tblCellMar>
      </w:tblPr>
      <w:tblGrid>
        <w:gridCol w:w="2492"/>
        <w:gridCol w:w="558"/>
        <w:gridCol w:w="1625"/>
        <w:gridCol w:w="1626"/>
        <w:gridCol w:w="1872"/>
        <w:gridCol w:w="728"/>
        <w:gridCol w:w="2601"/>
        <w:gridCol w:w="2438"/>
      </w:tblGrid>
      <w:tr>
        <w:tblPrEx>
          <w:tblLayout w:type="fixed"/>
          <w:tblCellMar>
            <w:top w:w="0" w:type="dxa"/>
            <w:left w:w="108" w:type="dxa"/>
            <w:bottom w:w="0" w:type="dxa"/>
            <w:right w:w="108" w:type="dxa"/>
          </w:tblCellMar>
        </w:tblPrEx>
        <w:trPr>
          <w:trHeight w:val="222" w:hRule="exact"/>
          <w:jc w:val="center"/>
        </w:trPr>
        <w:tc>
          <w:tcPr>
            <w:tcW w:w="13940" w:type="dxa"/>
            <w:gridSpan w:val="8"/>
            <w:tcBorders>
              <w:top w:val="nil"/>
              <w:left w:val="nil"/>
              <w:bottom w:val="nil"/>
              <w:right w:val="nil"/>
            </w:tcBorders>
            <w:vAlign w:val="center"/>
          </w:tcPr>
          <w:p>
            <w:pPr>
              <w:widowControl/>
              <w:jc w:val="center"/>
              <w:textAlignment w:val="center"/>
              <w:rPr>
                <w:rFonts w:ascii="方正大标宋简体" w:hAnsi="Courier New" w:eastAsia="方正大标宋简体" w:cs="Courier New"/>
                <w:b/>
                <w:bCs/>
                <w:color w:val="000000"/>
                <w:kern w:val="0"/>
                <w:sz w:val="10"/>
                <w:szCs w:val="10"/>
                <w:highlight w:val="none"/>
              </w:rPr>
            </w:pPr>
            <w:r>
              <w:rPr>
                <w:rFonts w:hint="eastAsia" w:ascii="方正大标宋简体" w:hAnsi="宋体" w:eastAsia="方正大标宋简体" w:cs="楷体_GB2312"/>
                <w:b/>
                <w:color w:val="000000"/>
                <w:kern w:val="0"/>
                <w:sz w:val="16"/>
                <w:szCs w:val="10"/>
                <w:highlight w:val="none"/>
              </w:rPr>
              <w:t>江  西  省  农  村  信  用  社  资  产  负  债  表</w:t>
            </w:r>
          </w:p>
        </w:tc>
      </w:tr>
      <w:tr>
        <w:tblPrEx>
          <w:tblLayout w:type="fixed"/>
          <w:tblCellMar>
            <w:top w:w="0" w:type="dxa"/>
            <w:left w:w="108" w:type="dxa"/>
            <w:bottom w:w="0" w:type="dxa"/>
            <w:right w:w="108" w:type="dxa"/>
          </w:tblCellMar>
        </w:tblPrEx>
        <w:trPr>
          <w:trHeight w:val="222" w:hRule="exact"/>
          <w:jc w:val="center"/>
        </w:trPr>
        <w:tc>
          <w:tcPr>
            <w:tcW w:w="8901" w:type="dxa"/>
            <w:gridSpan w:val="6"/>
            <w:tcBorders>
              <w:top w:val="nil"/>
              <w:left w:val="nil"/>
              <w:bottom w:val="single" w:color="auto" w:sz="4" w:space="0"/>
              <w:right w:val="nil"/>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编制单位：赣州农村商业银行股份有限公司       本外币合并报表　年报  202</w:t>
            </w:r>
            <w:r>
              <w:rPr>
                <w:rFonts w:hint="eastAsia" w:ascii="宋体" w:hAnsi="宋体" w:cs="宋体"/>
                <w:color w:val="000000"/>
                <w:kern w:val="0"/>
                <w:sz w:val="12"/>
                <w:szCs w:val="12"/>
                <w:highlight w:val="none"/>
                <w:lang w:val="en-US" w:eastAsia="zh-CN"/>
              </w:rPr>
              <w:t>3</w:t>
            </w:r>
            <w:r>
              <w:rPr>
                <w:rFonts w:hint="eastAsia" w:ascii="宋体" w:hAnsi="宋体" w:cs="宋体"/>
                <w:color w:val="000000"/>
                <w:kern w:val="0"/>
                <w:sz w:val="12"/>
                <w:szCs w:val="12"/>
                <w:highlight w:val="none"/>
              </w:rPr>
              <w:t>年</w:t>
            </w:r>
          </w:p>
        </w:tc>
        <w:tc>
          <w:tcPr>
            <w:tcW w:w="2601"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单位：元     币种：人民币</w:t>
            </w:r>
          </w:p>
        </w:tc>
        <w:tc>
          <w:tcPr>
            <w:tcW w:w="2438"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第1页 共1页</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项      目</w:t>
            </w:r>
          </w:p>
        </w:tc>
        <w:tc>
          <w:tcPr>
            <w:tcW w:w="558"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行次</w:t>
            </w:r>
          </w:p>
        </w:tc>
        <w:tc>
          <w:tcPr>
            <w:tcW w:w="1625"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年初余额</w:t>
            </w:r>
          </w:p>
        </w:tc>
        <w:tc>
          <w:tcPr>
            <w:tcW w:w="1626"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年末余额</w:t>
            </w:r>
          </w:p>
        </w:tc>
        <w:tc>
          <w:tcPr>
            <w:tcW w:w="1872"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项      目</w:t>
            </w:r>
          </w:p>
        </w:tc>
        <w:tc>
          <w:tcPr>
            <w:tcW w:w="728"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行次</w:t>
            </w:r>
          </w:p>
        </w:tc>
        <w:tc>
          <w:tcPr>
            <w:tcW w:w="2601"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年初余额</w:t>
            </w:r>
          </w:p>
        </w:tc>
        <w:tc>
          <w:tcPr>
            <w:tcW w:w="2438"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年末余额</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  产：</w:t>
            </w:r>
          </w:p>
        </w:tc>
        <w:tc>
          <w:tcPr>
            <w:tcW w:w="558" w:type="dxa"/>
            <w:tcBorders>
              <w:top w:val="nil"/>
              <w:left w:val="nil"/>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1626"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  债：</w:t>
            </w:r>
          </w:p>
        </w:tc>
        <w:tc>
          <w:tcPr>
            <w:tcW w:w="72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2601"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2438"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现金及存放中央银行款项</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w:t>
            </w:r>
          </w:p>
        </w:tc>
        <w:tc>
          <w:tcPr>
            <w:tcW w:w="1625" w:type="dxa"/>
            <w:tcBorders>
              <w:top w:val="nil"/>
              <w:left w:val="nil"/>
              <w:bottom w:val="single" w:color="auto" w:sz="4" w:space="0"/>
              <w:right w:val="single" w:color="auto" w:sz="4" w:space="0"/>
            </w:tcBorders>
            <w:vAlign w:val="center"/>
          </w:tcPr>
          <w:p>
            <w:pPr>
              <w:jc w:val="right"/>
              <w:rPr>
                <w:rFonts w:hint="default" w:ascii="宋体" w:hAnsi="宋体" w:cs="宋体"/>
                <w:bCs/>
                <w:color w:val="000000"/>
                <w:kern w:val="0"/>
                <w:sz w:val="12"/>
                <w:szCs w:val="12"/>
                <w:highlight w:val="none"/>
                <w:lang w:val="en-US" w:eastAsia="zh-CN"/>
              </w:rPr>
            </w:pPr>
            <w:r>
              <w:rPr>
                <w:rFonts w:hint="default" w:ascii="宋体" w:hAnsi="宋体" w:cs="宋体"/>
                <w:bCs/>
                <w:color w:val="000000"/>
                <w:kern w:val="0"/>
                <w:sz w:val="12"/>
                <w:szCs w:val="12"/>
                <w:highlight w:val="none"/>
                <w:lang w:val="en-US" w:eastAsia="zh-CN"/>
              </w:rPr>
              <w:t>2,163,737,745.11</w:t>
            </w:r>
          </w:p>
        </w:tc>
        <w:tc>
          <w:tcPr>
            <w:tcW w:w="1626" w:type="dxa"/>
            <w:tcBorders>
              <w:top w:val="nil"/>
              <w:left w:val="nil"/>
              <w:bottom w:val="single" w:color="auto" w:sz="4" w:space="0"/>
              <w:right w:val="single" w:color="auto" w:sz="4" w:space="0"/>
            </w:tcBorders>
            <w:vAlign w:val="center"/>
          </w:tcPr>
          <w:p>
            <w:pPr>
              <w:jc w:val="right"/>
              <w:rPr>
                <w:rFonts w:hint="default" w:ascii="宋体" w:hAnsi="宋体" w:cs="宋体"/>
                <w:bCs/>
                <w:color w:val="000000"/>
                <w:kern w:val="0"/>
                <w:sz w:val="12"/>
                <w:szCs w:val="12"/>
                <w:highlight w:val="none"/>
                <w:lang w:val="en-US" w:eastAsia="zh-CN"/>
              </w:rPr>
            </w:pPr>
            <w:r>
              <w:rPr>
                <w:rFonts w:hint="default" w:ascii="宋体" w:hAnsi="宋体" w:cs="宋体"/>
                <w:bCs/>
                <w:color w:val="000000"/>
                <w:kern w:val="0"/>
                <w:sz w:val="12"/>
                <w:szCs w:val="12"/>
                <w:highlight w:val="none"/>
                <w:lang w:val="en-US" w:eastAsia="zh-CN"/>
              </w:rPr>
              <w:t>2,064,072,630.86</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向中央银行借款</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23</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2,583,504,000.00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2,850,000,000.00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存放联行款项</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10,911.83</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联行存放款项</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24</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存放同业款项</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1,381,259,768.41</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1,390,999,162.74</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同业及其他金融机构存放款项</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25</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10,000,000.00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贵金属</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拆入资金</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26</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拆出资金</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798,721,366.03</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1,436,333,934.60</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交易性金融负债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27</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562,253,161.26</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61,281,922.79</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衍生金融资产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6</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0.01</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衍生金融负债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28</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买入返售金融资产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7</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1,054,475,778.06</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946,074,500.84</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卖出回购金融资产款</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29</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862,262,054.78</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1,480,197,260.24</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发放贷款和垫款</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8</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26,219,076,245.25</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27,867,611,283.84</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吸收存款</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30</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35,667,983,584.66</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37,735,039,529.17</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金融投资：</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9</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应付职工薪酬</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31</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29,338,230.29</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68,330,709.86</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交易性金融资产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10</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159,992,960.53</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134,417,718.48</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应交税费</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32</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70,980,036.44</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25,923,612.10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债权投资</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11</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8,493,901,366.73</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10,067,884,258.71</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租赁负债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33</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10,055,338.05</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7,467,832.61</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其他债权投资</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12</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2,623,427,570.00</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1,721,692,070.00</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预计负债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34</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1,595,792.47</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1,282,023.39</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其他权益工具投资</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13</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应付债券</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35</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长期股权投资</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14</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188,784,721.07</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188,784,721.07</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递延所得税负债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36</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投资性房地产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15</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其他负债</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37</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95,067,899.91</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101,419,437.94</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固定资产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16</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270,781,848.81</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249,316,552.52</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负债总计</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38</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39,893,040,097.86</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42,330,942,328.10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在建工程</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17</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10,466,903.59</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14,216,176.61</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所有者权益：</w:t>
            </w:r>
          </w:p>
        </w:tc>
        <w:tc>
          <w:tcPr>
            <w:tcW w:w="72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使用权资产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18</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8,751,957.84</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5,842,936.85</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实收资本（股本）</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39</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870,585,336.00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870,585,336.00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无形资产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19</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16,206,630.61</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14,953,288.56</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其中：法人股本</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40</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285,006,445.00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286,453,092.00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递延所得税资产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20</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自然人股本</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41</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585,578,891.00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584,132,244.00</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其他资产</w:t>
            </w:r>
          </w:p>
        </w:tc>
        <w:tc>
          <w:tcPr>
            <w:tcW w:w="5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21</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-1,793,758.48</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20,484,829.32</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其他权益工具</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42</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资本公积</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43</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105,695,167.97</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105,695,167.97</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减：库存股</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44</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其他综合收益</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45</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33,972,110.01</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66,204,641.75</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盈余公积</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46</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363,104,849.64</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401,091,790.19</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一般风险准备</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47</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1,588,983,086.38</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1,639,067,432.57</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未分配利润</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48</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532,410,455.70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709,108,280.26</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归属于母公司所有者权益合计</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49</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3,494,751,005.70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3,791,752,648.74</w:t>
            </w:r>
          </w:p>
        </w:tc>
      </w:tr>
      <w:tr>
        <w:tblPrEx>
          <w:tblLayout w:type="fixed"/>
          <w:tblCellMar>
            <w:top w:w="0" w:type="dxa"/>
            <w:left w:w="108" w:type="dxa"/>
            <w:bottom w:w="0" w:type="dxa"/>
            <w:right w:w="108" w:type="dxa"/>
          </w:tblCellMar>
        </w:tblPrEx>
        <w:trPr>
          <w:trHeight w:val="222"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少数股东权益</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50</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199"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所有者权益合计</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51</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3,494,751,005.70</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3,791,752,648.74</w:t>
            </w:r>
          </w:p>
        </w:tc>
      </w:tr>
      <w:tr>
        <w:tblPrEx>
          <w:tblLayout w:type="fixed"/>
          <w:tblCellMar>
            <w:top w:w="0" w:type="dxa"/>
            <w:left w:w="108" w:type="dxa"/>
            <w:bottom w:w="0" w:type="dxa"/>
            <w:right w:w="108" w:type="dxa"/>
          </w:tblCellMar>
        </w:tblPrEx>
        <w:trPr>
          <w:trHeight w:val="488" w:hRule="exact"/>
          <w:jc w:val="center"/>
        </w:trPr>
        <w:tc>
          <w:tcPr>
            <w:tcW w:w="2492"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资产总计</w:t>
            </w:r>
          </w:p>
        </w:tc>
        <w:tc>
          <w:tcPr>
            <w:tcW w:w="558"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22</w:t>
            </w:r>
          </w:p>
        </w:tc>
        <w:tc>
          <w:tcPr>
            <w:tcW w:w="1625"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43,387,791,103.56</w:t>
            </w:r>
          </w:p>
        </w:tc>
        <w:tc>
          <w:tcPr>
            <w:tcW w:w="1626"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46,122,694,976.84</w:t>
            </w:r>
          </w:p>
        </w:tc>
        <w:tc>
          <w:tcPr>
            <w:tcW w:w="18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负债及所有者权益总计</w:t>
            </w:r>
          </w:p>
        </w:tc>
        <w:tc>
          <w:tcPr>
            <w:tcW w:w="7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52</w:t>
            </w:r>
          </w:p>
        </w:tc>
        <w:tc>
          <w:tcPr>
            <w:tcW w:w="2601"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43,387,791,103.56</w:t>
            </w:r>
          </w:p>
        </w:tc>
        <w:tc>
          <w:tcPr>
            <w:tcW w:w="243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46,122,694,976.84</w:t>
            </w:r>
          </w:p>
        </w:tc>
      </w:tr>
    </w:tbl>
    <w:p>
      <w:pPr>
        <w:spacing w:line="600" w:lineRule="exact"/>
        <w:rPr>
          <w:rFonts w:ascii="宋体" w:hAnsi="宋体" w:cs="宋体"/>
          <w:bCs/>
          <w:color w:val="000000"/>
          <w:sz w:val="12"/>
          <w:szCs w:val="12"/>
          <w:highlight w:val="none"/>
        </w:rPr>
        <w:sectPr>
          <w:headerReference r:id="rId6" w:type="default"/>
          <w:footerReference r:id="rId8" w:type="default"/>
          <w:headerReference r:id="rId7" w:type="even"/>
          <w:footerReference r:id="rId9" w:type="even"/>
          <w:pgSz w:w="16838" w:h="11906" w:orient="landscape"/>
          <w:pgMar w:top="1800" w:right="1440" w:bottom="1800" w:left="1440" w:header="851" w:footer="992" w:gutter="0"/>
          <w:pgNumType w:fmt="numberInDash"/>
          <w:cols w:space="720" w:num="1"/>
          <w:docGrid w:type="lines" w:linePitch="312" w:charSpace="0"/>
        </w:sectPr>
      </w:pPr>
    </w:p>
    <w:tbl>
      <w:tblPr>
        <w:tblStyle w:val="8"/>
        <w:tblpPr w:leftFromText="180" w:rightFromText="180" w:horzAnchor="margin" w:tblpXSpec="center" w:tblpY="-1320"/>
        <w:tblW w:w="14420" w:type="dxa"/>
        <w:jc w:val="center"/>
        <w:tblInd w:w="0" w:type="dxa"/>
        <w:tblLayout w:type="fixed"/>
        <w:tblCellMar>
          <w:top w:w="0" w:type="dxa"/>
          <w:left w:w="108" w:type="dxa"/>
          <w:bottom w:w="0" w:type="dxa"/>
          <w:right w:w="108" w:type="dxa"/>
        </w:tblCellMar>
      </w:tblPr>
      <w:tblGrid>
        <w:gridCol w:w="14420"/>
      </w:tblGrid>
      <w:tr>
        <w:tblPrEx>
          <w:tblLayout w:type="fixed"/>
          <w:tblCellMar>
            <w:top w:w="0" w:type="dxa"/>
            <w:left w:w="108" w:type="dxa"/>
            <w:bottom w:w="0" w:type="dxa"/>
            <w:right w:w="108" w:type="dxa"/>
          </w:tblCellMar>
        </w:tblPrEx>
        <w:trPr>
          <w:trHeight w:val="8737" w:hRule="atLeast"/>
          <w:jc w:val="center"/>
        </w:trPr>
        <w:tc>
          <w:tcPr>
            <w:tcW w:w="14420" w:type="dxa"/>
            <w:tcBorders>
              <w:top w:val="nil"/>
              <w:left w:val="nil"/>
              <w:bottom w:val="nil"/>
              <w:right w:val="nil"/>
            </w:tcBorders>
            <w:vAlign w:val="center"/>
          </w:tcPr>
          <w:p>
            <w:pPr>
              <w:widowControl/>
              <w:spacing w:line="180" w:lineRule="exact"/>
              <w:rPr>
                <w:rFonts w:ascii="宋体" w:hAnsi="宋体" w:cs="宋体"/>
                <w:b/>
                <w:bCs/>
                <w:color w:val="000000"/>
                <w:kern w:val="0"/>
                <w:sz w:val="10"/>
                <w:szCs w:val="10"/>
                <w:highlight w:val="none"/>
              </w:rPr>
            </w:pPr>
          </w:p>
          <w:p>
            <w:pPr>
              <w:widowControl/>
              <w:spacing w:line="180" w:lineRule="exact"/>
              <w:rPr>
                <w:rFonts w:ascii="宋体" w:hAnsi="宋体" w:cs="宋体"/>
                <w:b/>
                <w:bCs/>
                <w:color w:val="000000"/>
                <w:kern w:val="0"/>
                <w:sz w:val="10"/>
                <w:szCs w:val="10"/>
                <w:highlight w:val="none"/>
              </w:rPr>
            </w:pPr>
          </w:p>
          <w:p>
            <w:pPr>
              <w:widowControl/>
              <w:spacing w:line="180" w:lineRule="exact"/>
              <w:jc w:val="center"/>
              <w:rPr>
                <w:rFonts w:ascii="方正大标宋简体" w:hAnsi="Courier New" w:eastAsia="方正大标宋简体" w:cs="Courier New"/>
                <w:b/>
                <w:color w:val="000000"/>
                <w:kern w:val="0"/>
                <w:sz w:val="18"/>
                <w:szCs w:val="18"/>
                <w:highlight w:val="none"/>
              </w:rPr>
            </w:pPr>
          </w:p>
          <w:p>
            <w:pPr>
              <w:widowControl/>
              <w:spacing w:line="180" w:lineRule="exact"/>
              <w:jc w:val="center"/>
              <w:rPr>
                <w:rFonts w:ascii="方正大标宋简体" w:hAnsi="Courier New" w:eastAsia="方正大标宋简体" w:cs="Courier New"/>
                <w:b/>
                <w:color w:val="000000"/>
                <w:kern w:val="0"/>
                <w:sz w:val="18"/>
                <w:szCs w:val="18"/>
                <w:highlight w:val="none"/>
              </w:rPr>
            </w:pPr>
            <w:r>
              <w:rPr>
                <w:rFonts w:hint="eastAsia" w:ascii="方正大标宋简体" w:hAnsi="Courier New" w:eastAsia="方正大标宋简体" w:cs="Courier New"/>
                <w:b/>
                <w:color w:val="000000"/>
                <w:kern w:val="0"/>
                <w:sz w:val="18"/>
                <w:szCs w:val="18"/>
                <w:highlight w:val="none"/>
              </w:rPr>
              <w:t>江  西  省  农  村  信  用  社  利  润  表</w:t>
            </w:r>
          </w:p>
          <w:p>
            <w:pPr>
              <w:widowControl/>
              <w:spacing w:line="180" w:lineRule="exact"/>
              <w:rPr>
                <w:rFonts w:ascii="Courier New" w:hAnsi="Courier New" w:cs="Courier New"/>
                <w:b/>
                <w:color w:val="000000"/>
                <w:kern w:val="0"/>
                <w:sz w:val="18"/>
                <w:szCs w:val="18"/>
                <w:highlight w:val="none"/>
              </w:rPr>
            </w:pPr>
          </w:p>
          <w:tbl>
            <w:tblPr>
              <w:tblStyle w:val="8"/>
              <w:tblW w:w="14260" w:type="dxa"/>
              <w:tblInd w:w="0" w:type="dxa"/>
              <w:tblLayout w:type="fixed"/>
              <w:tblCellMar>
                <w:top w:w="0" w:type="dxa"/>
                <w:left w:w="108" w:type="dxa"/>
                <w:bottom w:w="0" w:type="dxa"/>
                <w:right w:w="108" w:type="dxa"/>
              </w:tblCellMar>
            </w:tblPr>
            <w:tblGrid>
              <w:gridCol w:w="5"/>
              <w:gridCol w:w="3791"/>
              <w:gridCol w:w="5"/>
              <w:gridCol w:w="670"/>
              <w:gridCol w:w="5"/>
              <w:gridCol w:w="1458"/>
              <w:gridCol w:w="5"/>
              <w:gridCol w:w="1606"/>
              <w:gridCol w:w="3252"/>
              <w:gridCol w:w="5"/>
              <w:gridCol w:w="676"/>
              <w:gridCol w:w="1319"/>
              <w:gridCol w:w="5"/>
              <w:gridCol w:w="1453"/>
              <w:gridCol w:w="5"/>
            </w:tblGrid>
            <w:tr>
              <w:tblPrEx>
                <w:tblLayout w:type="fixed"/>
                <w:tblCellMar>
                  <w:top w:w="0" w:type="dxa"/>
                  <w:left w:w="108" w:type="dxa"/>
                  <w:bottom w:w="0" w:type="dxa"/>
                  <w:right w:w="108" w:type="dxa"/>
                </w:tblCellMar>
              </w:tblPrEx>
              <w:trPr>
                <w:gridAfter w:val="1"/>
                <w:wAfter w:w="5" w:type="dxa"/>
                <w:trHeight w:val="500" w:hRule="atLeast"/>
              </w:trPr>
              <w:tc>
                <w:tcPr>
                  <w:tcW w:w="3796" w:type="dxa"/>
                  <w:gridSpan w:val="2"/>
                  <w:tcBorders>
                    <w:top w:val="nil"/>
                    <w:left w:val="nil"/>
                    <w:bottom w:val="nil"/>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编制单位:赣州农村商业银行股份有限公司</w:t>
                  </w:r>
                </w:p>
              </w:tc>
              <w:tc>
                <w:tcPr>
                  <w:tcW w:w="675" w:type="dxa"/>
                  <w:gridSpan w:val="2"/>
                  <w:tcBorders>
                    <w:top w:val="nil"/>
                    <w:left w:val="nil"/>
                    <w:bottom w:val="nil"/>
                    <w:right w:val="nil"/>
                  </w:tcBorders>
                  <w:vAlign w:val="center"/>
                </w:tcPr>
                <w:p>
                  <w:pPr>
                    <w:widowControl/>
                    <w:spacing w:line="180" w:lineRule="exact"/>
                    <w:jc w:val="left"/>
                    <w:rPr>
                      <w:rFonts w:ascii="宋体" w:hAnsi="宋体" w:cs="宋体"/>
                      <w:color w:val="000000"/>
                      <w:kern w:val="0"/>
                      <w:sz w:val="12"/>
                      <w:szCs w:val="12"/>
                      <w:highlight w:val="none"/>
                    </w:rPr>
                  </w:pPr>
                </w:p>
                <w:p>
                  <w:pPr>
                    <w:widowControl/>
                    <w:spacing w:line="180" w:lineRule="exact"/>
                    <w:jc w:val="left"/>
                    <w:rPr>
                      <w:rFonts w:ascii="宋体" w:hAnsi="宋体" w:cs="宋体"/>
                      <w:color w:val="000000"/>
                      <w:kern w:val="0"/>
                      <w:sz w:val="12"/>
                      <w:szCs w:val="12"/>
                      <w:highlight w:val="none"/>
                    </w:rPr>
                  </w:pPr>
                </w:p>
              </w:tc>
              <w:tc>
                <w:tcPr>
                  <w:tcW w:w="1463" w:type="dxa"/>
                  <w:gridSpan w:val="2"/>
                  <w:tcBorders>
                    <w:top w:val="nil"/>
                    <w:left w:val="nil"/>
                    <w:bottom w:val="nil"/>
                    <w:right w:val="nil"/>
                  </w:tcBorders>
                  <w:vAlign w:val="center"/>
                </w:tcPr>
                <w:p>
                  <w:pPr>
                    <w:widowControl/>
                    <w:jc w:val="right"/>
                    <w:textAlignment w:val="center"/>
                    <w:rPr>
                      <w:rFonts w:ascii="宋体" w:hAnsi="宋体" w:cs="宋体"/>
                      <w:color w:val="000000"/>
                      <w:kern w:val="0"/>
                      <w:sz w:val="12"/>
                      <w:szCs w:val="12"/>
                      <w:highlight w:val="none"/>
                    </w:rPr>
                  </w:pPr>
                </w:p>
              </w:tc>
              <w:tc>
                <w:tcPr>
                  <w:tcW w:w="4863" w:type="dxa"/>
                  <w:gridSpan w:val="3"/>
                  <w:tcBorders>
                    <w:top w:val="nil"/>
                    <w:left w:val="nil"/>
                    <w:bottom w:val="single" w:color="auto" w:sz="4" w:space="0"/>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本外币合并报表 年报:202</w:t>
                  </w:r>
                  <w:r>
                    <w:rPr>
                      <w:rFonts w:hint="eastAsia" w:ascii="宋体" w:hAnsi="宋体" w:cs="宋体"/>
                      <w:color w:val="000000"/>
                      <w:kern w:val="0"/>
                      <w:sz w:val="12"/>
                      <w:szCs w:val="12"/>
                      <w:highlight w:val="none"/>
                      <w:lang w:val="en-US" w:eastAsia="zh-CN"/>
                    </w:rPr>
                    <w:t>3</w:t>
                  </w:r>
                  <w:r>
                    <w:rPr>
                      <w:rFonts w:hint="eastAsia" w:ascii="宋体" w:hAnsi="宋体" w:cs="宋体"/>
                      <w:color w:val="000000"/>
                      <w:kern w:val="0"/>
                      <w:sz w:val="12"/>
                      <w:szCs w:val="12"/>
                      <w:highlight w:val="none"/>
                    </w:rPr>
                    <w:t>年01月-202</w:t>
                  </w:r>
                  <w:r>
                    <w:rPr>
                      <w:rFonts w:hint="eastAsia" w:ascii="宋体" w:hAnsi="宋体" w:cs="宋体"/>
                      <w:color w:val="000000"/>
                      <w:kern w:val="0"/>
                      <w:sz w:val="12"/>
                      <w:szCs w:val="12"/>
                      <w:highlight w:val="none"/>
                      <w:lang w:val="en-US" w:eastAsia="zh-CN"/>
                    </w:rPr>
                    <w:t>3</w:t>
                  </w:r>
                  <w:r>
                    <w:rPr>
                      <w:rFonts w:hint="eastAsia" w:ascii="宋体" w:hAnsi="宋体" w:cs="宋体"/>
                      <w:color w:val="000000"/>
                      <w:kern w:val="0"/>
                      <w:sz w:val="12"/>
                      <w:szCs w:val="12"/>
                      <w:highlight w:val="none"/>
                    </w:rPr>
                    <w:t>年12月</w:t>
                  </w:r>
                </w:p>
              </w:tc>
              <w:tc>
                <w:tcPr>
                  <w:tcW w:w="2000" w:type="dxa"/>
                  <w:gridSpan w:val="3"/>
                  <w:tcBorders>
                    <w:top w:val="nil"/>
                    <w:left w:val="nil"/>
                    <w:bottom w:val="nil"/>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单位：元币种：人民币</w:t>
                  </w:r>
                </w:p>
              </w:tc>
              <w:tc>
                <w:tcPr>
                  <w:tcW w:w="1458" w:type="dxa"/>
                  <w:gridSpan w:val="2"/>
                  <w:tcBorders>
                    <w:top w:val="nil"/>
                    <w:left w:val="nil"/>
                    <w:bottom w:val="nil"/>
                    <w:right w:val="nil"/>
                  </w:tcBorders>
                  <w:vAlign w:val="bottom"/>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第1页, 共1页</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项目名称</w:t>
                  </w:r>
                </w:p>
              </w:tc>
              <w:tc>
                <w:tcPr>
                  <w:tcW w:w="67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行次</w:t>
                  </w:r>
                </w:p>
              </w:tc>
              <w:tc>
                <w:tcPr>
                  <w:tcW w:w="1463"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上年同期数</w:t>
                  </w:r>
                </w:p>
              </w:tc>
              <w:tc>
                <w:tcPr>
                  <w:tcW w:w="1606" w:type="dxa"/>
                  <w:tcBorders>
                    <w:top w:val="nil"/>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本期累计数</w:t>
                  </w:r>
                </w:p>
              </w:tc>
              <w:tc>
                <w:tcPr>
                  <w:tcW w:w="3257"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项目名称</w:t>
                  </w:r>
                </w:p>
              </w:tc>
              <w:tc>
                <w:tcPr>
                  <w:tcW w:w="6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行次</w:t>
                  </w:r>
                </w:p>
              </w:tc>
              <w:tc>
                <w:tcPr>
                  <w:tcW w:w="132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上年同期数</w:t>
                  </w:r>
                </w:p>
              </w:tc>
              <w:tc>
                <w:tcPr>
                  <w:tcW w:w="145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本期累计数</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一、营业收入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1,162,650,162.95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1,223,527,140.09</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五、净利润（亏损以“-”号填列）</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28</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411,882,157.73</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343,036,180.88</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（一）利息净收入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2</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1,109,409,430.36</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1,131,311,132.28</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（一）按经营持续性分类：</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29</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利息收入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3</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1,843,473,928.85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1,877,721,804.32</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1.持续经营净利润（净亏损以“-”号填列）</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30</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411,882,157.73</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343,036,180.88</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利息支出</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4</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734,064,498.49</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746,410,672.04</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2.终止经营净利润（净亏损以“-”号填列）</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31</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（二）手续费及佣金净收入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5</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4,726,106.58</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7,399,892.60</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（二）按所有权归属分类：</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32</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手续费及佣金收入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6</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34,077,403.23</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33,243,044.07</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1.归属于母公司所有者的净利润（净亏损以“-”号填列）</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33</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411,882,157.73</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343,036,180.88</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手续费及佣金支出</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7</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29,351,296.65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25,843,151.47</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2.少数股东损益（净亏损以“-”号填列）</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34</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（三）投资收益（损失以“-”号填列）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8</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75,135,691.93</w:t>
                  </w:r>
                </w:p>
              </w:tc>
              <w:tc>
                <w:tcPr>
                  <w:tcW w:w="1606"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74,010,936.25</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六、其他综合收益的税后净额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35</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-27,804,787.26</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其中：对联营企业和合营企业的投资收益</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9</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归属母公司所有者的其他综合收益的税后净额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36</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-27,804,787.26</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以摊余成本计量的金融资产终止确认产生的收益（损失以“-”号填列）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10</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31,059,936.76</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69,127,514.78</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（一）不能重分类进损益的其他综合收益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37</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（四）净敞口套期收益（损失以“-”号填列）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11</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 重新计量设定受益计划变动额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38</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（五）其他收益</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12</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100,000.00</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1,988,532.09</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 权益法下不能转损益的其他综合收益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39</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（六）公允价值变动收益（损失以“-”号填列）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13</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-31,035,048.18</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6,331,079.30</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 其他权益工具投资公允价值变动</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40</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（七）汇兑收益（损失以“-”号填列）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14</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2,349,837.94</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582,131.63</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 企业自身信用风险公允价值变动</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41</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（八）其他业务收入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15</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1,969,667.04</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1,900,093.01</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（二）将重分类进损益的其他综合收益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42</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-27,804,787.26</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（九）资产处置收益（损失以“-”号填列）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16</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-5,522.72</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3,342.93</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 权益法下可转损益的其他综合收益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43</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二、营业支出</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17</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610,713,754.62</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765,473,339.58</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 其他债权投资公允价值变动</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44</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-14,918,794.97</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21,965,508.66</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（一）税金及附加</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18</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13,287,515.08</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14,953,725.15</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 金融资产重分类计入其他综合收益的金额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45</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（二）业务及管理费</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19</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391,850,468.25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408,169,059.09</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 其他债权投资信用损失准备</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46</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-12,885,992.29</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10,267,023.08</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（三）信用减值损失</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20</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205,002,405.06</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341,757,779.61</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 现金流量套期储备</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47</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（四）其他资产减值损失</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21</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6. 外币财务报表折算差额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48</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（五）其他业务成本</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22</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573,366.23</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592,775.73</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归属于少数股东的其他综合收益的税后净额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49</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三、营业利润（亏损以“-”号填列）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23</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551,936,408.33</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458,053,800.51</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七、综合收益总额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50</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384,077,370.47</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375,268,712.62</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加：营业外收入</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24</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3,635,580.10</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2,325,853.11</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归属于母公司所有者的综合收益总额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51</w:t>
                  </w:r>
                </w:p>
              </w:tc>
              <w:tc>
                <w:tcPr>
                  <w:tcW w:w="1324"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384,077,370.47</w:t>
                  </w:r>
                </w:p>
              </w:tc>
              <w:tc>
                <w:tcPr>
                  <w:tcW w:w="145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375,268,712.62</w:t>
                  </w: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减：营业外支出</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25</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22,476,039.85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7,349,850.25</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归属于少数股东的综合收益总额</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52</w:t>
                  </w:r>
                </w:p>
              </w:tc>
              <w:tc>
                <w:tcPr>
                  <w:tcW w:w="1324"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c>
                <w:tcPr>
                  <w:tcW w:w="1458"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四、利润总额（亏损以“-”号填列）</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26</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533,095,948.58</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453,029,803.37</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八、每股收益：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53</w:t>
                  </w:r>
                </w:p>
              </w:tc>
              <w:tc>
                <w:tcPr>
                  <w:tcW w:w="1324"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458"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r>
              <w:tblPrEx>
                <w:tblLayout w:type="fixed"/>
                <w:tblCellMar>
                  <w:top w:w="0" w:type="dxa"/>
                  <w:left w:w="108" w:type="dxa"/>
                  <w:bottom w:w="0" w:type="dxa"/>
                  <w:right w:w="108" w:type="dxa"/>
                </w:tblCellMar>
              </w:tblPrEx>
              <w:trPr>
                <w:gridBefore w:val="1"/>
                <w:wBefore w:w="5" w:type="dxa"/>
                <w:trHeight w:val="235" w:hRule="exact"/>
              </w:trPr>
              <w:tc>
                <w:tcPr>
                  <w:tcW w:w="3796"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减：所得税费用</w:t>
                  </w:r>
                </w:p>
              </w:tc>
              <w:tc>
                <w:tcPr>
                  <w:tcW w:w="675"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27</w:t>
                  </w:r>
                </w:p>
              </w:tc>
              <w:tc>
                <w:tcPr>
                  <w:tcW w:w="1463"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121,213,790.85</w:t>
                  </w:r>
                </w:p>
              </w:tc>
              <w:tc>
                <w:tcPr>
                  <w:tcW w:w="1606"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109,993,622.49</w:t>
                  </w: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（一）基本每股收益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54</w:t>
                  </w:r>
                </w:p>
              </w:tc>
              <w:tc>
                <w:tcPr>
                  <w:tcW w:w="1324"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458"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r>
              <w:tblPrEx>
                <w:tblLayout w:type="fixed"/>
                <w:tblCellMar>
                  <w:top w:w="0" w:type="dxa"/>
                  <w:left w:w="108" w:type="dxa"/>
                  <w:bottom w:w="0" w:type="dxa"/>
                  <w:right w:w="108" w:type="dxa"/>
                </w:tblCellMar>
              </w:tblPrEx>
              <w:trPr>
                <w:gridBefore w:val="1"/>
                <w:wBefore w:w="5" w:type="dxa"/>
                <w:trHeight w:val="255" w:hRule="exact"/>
              </w:trPr>
              <w:tc>
                <w:tcPr>
                  <w:tcW w:w="3796" w:type="dxa"/>
                  <w:gridSpan w:val="2"/>
                  <w:tcBorders>
                    <w:top w:val="nil"/>
                    <w:left w:val="single" w:color="auto" w:sz="4" w:space="0"/>
                    <w:bottom w:val="single" w:color="auto" w:sz="4" w:space="0"/>
                    <w:right w:val="single" w:color="auto" w:sz="4" w:space="0"/>
                  </w:tcBorders>
                  <w:vAlign w:val="bottom"/>
                </w:tcPr>
                <w:p>
                  <w:pPr>
                    <w:rPr>
                      <w:rFonts w:ascii="宋体" w:hAnsi="宋体" w:cs="宋体"/>
                      <w:color w:val="000000"/>
                      <w:sz w:val="12"/>
                      <w:szCs w:val="12"/>
                      <w:highlight w:val="none"/>
                    </w:rPr>
                  </w:pPr>
                </w:p>
              </w:tc>
              <w:tc>
                <w:tcPr>
                  <w:tcW w:w="675" w:type="dxa"/>
                  <w:gridSpan w:val="2"/>
                  <w:tcBorders>
                    <w:top w:val="nil"/>
                    <w:left w:val="nil"/>
                    <w:bottom w:val="single" w:color="auto" w:sz="4" w:space="0"/>
                    <w:right w:val="single" w:color="auto" w:sz="4" w:space="0"/>
                  </w:tcBorders>
                  <w:vAlign w:val="bottom"/>
                </w:tcPr>
                <w:p>
                  <w:pPr>
                    <w:rPr>
                      <w:rFonts w:ascii="宋体" w:hAnsi="宋体" w:cs="宋体"/>
                      <w:color w:val="000000"/>
                      <w:sz w:val="12"/>
                      <w:szCs w:val="12"/>
                      <w:highlight w:val="none"/>
                    </w:rPr>
                  </w:pPr>
                </w:p>
              </w:tc>
              <w:tc>
                <w:tcPr>
                  <w:tcW w:w="1463"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c>
                <w:tcPr>
                  <w:tcW w:w="1606" w:type="dxa"/>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c>
                <w:tcPr>
                  <w:tcW w:w="3257"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（二）稀释每股收益</w:t>
                  </w:r>
                </w:p>
              </w:tc>
              <w:tc>
                <w:tcPr>
                  <w:tcW w:w="67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55</w:t>
                  </w:r>
                </w:p>
              </w:tc>
              <w:tc>
                <w:tcPr>
                  <w:tcW w:w="1324"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458"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bl>
          <w:p>
            <w:pPr>
              <w:widowControl/>
              <w:spacing w:line="180" w:lineRule="exact"/>
              <w:rPr>
                <w:rFonts w:ascii="宋体" w:cs="宋体"/>
                <w:b/>
                <w:bCs/>
                <w:color w:val="000000"/>
                <w:kern w:val="0"/>
                <w:sz w:val="32"/>
                <w:szCs w:val="32"/>
                <w:highlight w:val="none"/>
              </w:rPr>
            </w:pPr>
          </w:p>
        </w:tc>
      </w:tr>
    </w:tbl>
    <w:p>
      <w:pPr>
        <w:rPr>
          <w:color w:val="000000"/>
          <w:highlight w:val="none"/>
        </w:rPr>
      </w:pPr>
    </w:p>
    <w:p>
      <w:pPr>
        <w:rPr>
          <w:color w:val="000000"/>
          <w:highlight w:val="none"/>
        </w:rPr>
      </w:pPr>
    </w:p>
    <w:p>
      <w:pPr>
        <w:rPr>
          <w:color w:val="000000"/>
          <w:highlight w:val="none"/>
        </w:rPr>
      </w:pPr>
    </w:p>
    <w:p>
      <w:pPr>
        <w:rPr>
          <w:color w:val="000000"/>
          <w:highlight w:val="none"/>
        </w:rPr>
      </w:pPr>
    </w:p>
    <w:tbl>
      <w:tblPr>
        <w:tblStyle w:val="8"/>
        <w:tblW w:w="13962" w:type="dxa"/>
        <w:tblInd w:w="94" w:type="dxa"/>
        <w:tblLayout w:type="fixed"/>
        <w:tblCellMar>
          <w:top w:w="0" w:type="dxa"/>
          <w:left w:w="108" w:type="dxa"/>
          <w:bottom w:w="0" w:type="dxa"/>
          <w:right w:w="108" w:type="dxa"/>
        </w:tblCellMar>
      </w:tblPr>
      <w:tblGrid>
        <w:gridCol w:w="3487"/>
        <w:gridCol w:w="587"/>
        <w:gridCol w:w="1488"/>
        <w:gridCol w:w="1400"/>
        <w:gridCol w:w="3400"/>
        <w:gridCol w:w="775"/>
        <w:gridCol w:w="1450"/>
        <w:gridCol w:w="713"/>
        <w:gridCol w:w="662"/>
      </w:tblGrid>
      <w:tr>
        <w:tblPrEx>
          <w:tblLayout w:type="fixed"/>
          <w:tblCellMar>
            <w:top w:w="0" w:type="dxa"/>
            <w:left w:w="108" w:type="dxa"/>
            <w:bottom w:w="0" w:type="dxa"/>
            <w:right w:w="108" w:type="dxa"/>
          </w:tblCellMar>
        </w:tblPrEx>
        <w:trPr>
          <w:gridAfter w:val="1"/>
          <w:wAfter w:w="662" w:type="dxa"/>
          <w:trHeight w:val="74" w:hRule="atLeast"/>
        </w:trPr>
        <w:tc>
          <w:tcPr>
            <w:tcW w:w="13300" w:type="dxa"/>
            <w:gridSpan w:val="8"/>
            <w:tcBorders>
              <w:top w:val="nil"/>
              <w:left w:val="nil"/>
              <w:bottom w:val="nil"/>
              <w:right w:val="nil"/>
            </w:tcBorders>
            <w:vAlign w:val="bottom"/>
          </w:tcPr>
          <w:p>
            <w:pPr>
              <w:widowControl/>
              <w:jc w:val="center"/>
              <w:rPr>
                <w:rFonts w:ascii="宋体" w:hAnsi="宋体" w:cs="宋体"/>
                <w:color w:val="000000"/>
                <w:kern w:val="0"/>
                <w:sz w:val="12"/>
                <w:szCs w:val="12"/>
                <w:highlight w:val="none"/>
              </w:rPr>
            </w:pPr>
            <w:r>
              <w:rPr>
                <w:rFonts w:hint="eastAsia" w:ascii="宋体" w:hAnsi="宋体" w:cs="宋体"/>
                <w:b/>
                <w:bCs/>
                <w:color w:val="000000"/>
                <w:kern w:val="0"/>
                <w:sz w:val="18"/>
                <w:szCs w:val="18"/>
                <w:highlight w:val="none"/>
              </w:rPr>
              <w:t>现金流量表</w:t>
            </w:r>
          </w:p>
        </w:tc>
      </w:tr>
      <w:tr>
        <w:tblPrEx>
          <w:tblLayout w:type="fixed"/>
          <w:tblCellMar>
            <w:top w:w="0" w:type="dxa"/>
            <w:left w:w="108" w:type="dxa"/>
            <w:bottom w:w="0" w:type="dxa"/>
            <w:right w:w="108" w:type="dxa"/>
          </w:tblCellMar>
        </w:tblPrEx>
        <w:trPr>
          <w:trHeight w:val="162" w:hRule="atLeast"/>
        </w:trPr>
        <w:tc>
          <w:tcPr>
            <w:tcW w:w="3487" w:type="dxa"/>
            <w:tcBorders>
              <w:top w:val="nil"/>
              <w:left w:val="nil"/>
              <w:bottom w:val="nil"/>
              <w:right w:val="nil"/>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编制单位：赣州农村商业银行股份有限公司</w:t>
            </w:r>
          </w:p>
        </w:tc>
        <w:tc>
          <w:tcPr>
            <w:tcW w:w="587"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488"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400" w:type="dxa"/>
            <w:tcBorders>
              <w:top w:val="nil"/>
              <w:left w:val="nil"/>
              <w:bottom w:val="nil"/>
              <w:right w:val="nil"/>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202</w:t>
            </w:r>
            <w:r>
              <w:rPr>
                <w:rFonts w:hint="eastAsia" w:ascii="宋体" w:hAnsi="宋体" w:cs="宋体"/>
                <w:color w:val="000000"/>
                <w:kern w:val="0"/>
                <w:sz w:val="10"/>
                <w:szCs w:val="10"/>
                <w:highlight w:val="none"/>
                <w:lang w:val="en-US" w:eastAsia="zh-CN"/>
              </w:rPr>
              <w:t>3</w:t>
            </w:r>
            <w:r>
              <w:rPr>
                <w:rFonts w:hint="eastAsia" w:ascii="宋体" w:hAnsi="宋体" w:cs="宋体"/>
                <w:color w:val="000000"/>
                <w:kern w:val="0"/>
                <w:sz w:val="10"/>
                <w:szCs w:val="10"/>
                <w:highlight w:val="none"/>
              </w:rPr>
              <w:t>年01月到12月</w:t>
            </w:r>
          </w:p>
        </w:tc>
        <w:tc>
          <w:tcPr>
            <w:tcW w:w="3400"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775"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450"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r>
              <w:rPr>
                <w:rFonts w:hint="eastAsia" w:ascii="Arial" w:hAnsi="Arial" w:cs="Arial"/>
                <w:color w:val="000000"/>
                <w:kern w:val="0"/>
                <w:sz w:val="10"/>
                <w:szCs w:val="10"/>
                <w:highlight w:val="none"/>
              </w:rPr>
              <w:t>本外币合并报表</w:t>
            </w:r>
          </w:p>
        </w:tc>
        <w:tc>
          <w:tcPr>
            <w:tcW w:w="1375" w:type="dxa"/>
            <w:gridSpan w:val="2"/>
            <w:tcBorders>
              <w:top w:val="nil"/>
              <w:left w:val="nil"/>
              <w:bottom w:val="nil"/>
              <w:right w:val="nil"/>
            </w:tcBorders>
            <w:vAlign w:val="center"/>
          </w:tcPr>
          <w:p>
            <w:pPr>
              <w:widowControl/>
              <w:ind w:right="200"/>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单位：元</w:t>
            </w:r>
          </w:p>
        </w:tc>
      </w:tr>
      <w:tr>
        <w:tblPrEx>
          <w:tblLayout w:type="fixed"/>
          <w:tblCellMar>
            <w:top w:w="0" w:type="dxa"/>
            <w:left w:w="108" w:type="dxa"/>
            <w:bottom w:w="0" w:type="dxa"/>
            <w:right w:w="108" w:type="dxa"/>
          </w:tblCellMar>
        </w:tblPrEx>
        <w:trPr>
          <w:trHeight w:val="284" w:hRule="exact"/>
        </w:trPr>
        <w:tc>
          <w:tcPr>
            <w:tcW w:w="3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项目</w:t>
            </w:r>
          </w:p>
        </w:tc>
        <w:tc>
          <w:tcPr>
            <w:tcW w:w="5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行次</w:t>
            </w: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上年数</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本年数</w:t>
            </w:r>
          </w:p>
        </w:tc>
        <w:tc>
          <w:tcPr>
            <w:tcW w:w="34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项目</w:t>
            </w:r>
          </w:p>
        </w:tc>
        <w:tc>
          <w:tcPr>
            <w:tcW w:w="7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行次</w:t>
            </w:r>
          </w:p>
        </w:tc>
        <w:tc>
          <w:tcPr>
            <w:tcW w:w="1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上年数</w:t>
            </w:r>
          </w:p>
        </w:tc>
        <w:tc>
          <w:tcPr>
            <w:tcW w:w="13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本年数</w:t>
            </w:r>
          </w:p>
        </w:tc>
      </w:tr>
      <w:tr>
        <w:tblPrEx>
          <w:tblLayout w:type="fixed"/>
          <w:tblCellMar>
            <w:top w:w="0" w:type="dxa"/>
            <w:left w:w="108" w:type="dxa"/>
            <w:bottom w:w="0" w:type="dxa"/>
            <w:right w:w="108" w:type="dxa"/>
          </w:tblCellMar>
        </w:tblPrEx>
        <w:trPr>
          <w:trHeight w:val="237"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一、经营活动产生的现金流量：</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w:t>
            </w:r>
          </w:p>
        </w:tc>
        <w:tc>
          <w:tcPr>
            <w:tcW w:w="148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4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投资支付的现金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26</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46,116,465,148.14</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35,001,250,085.16</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客户存款和同业存放款项净增加额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2,931,951,769.05</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1,989,672,740.38</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购建固定资产、无形资产和其他长期资产支付的现金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27</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16,966,475.13</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9,429,224.06</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向中央银行借款净增加额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-533,832,000.00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266,496,000.00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支付其他与投资活动有关的现金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28</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向其他金融机构拆入资金净增加额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投资活动现金流出小计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29</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46,133,431,623.27</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35,010,679,309.22</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收取利息、手续费及佣金的现金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5</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1,548,160,831.79</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1,571,901,499.32</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投资活动产生的现金流量净额</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30</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-949,305,552.41</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-263,546,954.02</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回购业务资金净增加额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6</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862,100,000.00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617,900,000.00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三、筹资活动产生的现金流量：</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31</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收到其他与经营活动有关的现金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7</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95,596,688.25</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-849,057,174.58</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吸收投资收到的现金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32</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17,677.00</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经营活动现金流入小计</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8</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4,903,977,289.09</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3,596,913,065.12</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其中：子公司吸收少数股东投资收到的现金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33</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客户贷款及垫款净增加额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9</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1,846,424,730.66</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1,645,746,792.98</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取得借款收到的现金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34</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存放中央银行和同业款项净增加额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10</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-131,147,035.35</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-240,918,773.70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发行债券收到的现金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35</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为交易目的而持有的金融资产净增加额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11</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-227,000,000.00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-62,710,329.78</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收到其他与筹资活动有关的现金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36</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拆出资金净增加额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12</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800,000,000.00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640,000,000.00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筹资活动现金流入小计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37</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17,677.00</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返售业务资金净增加额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13</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261,374,000.00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-103,640,000.00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偿还债务支付的现金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38</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113,347,976.93</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3,824,708.56</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支付利息、手续费及佣金的现金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14</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641,333,860.85</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708,368,569.24</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分配股利、利润或偿付利息支付的现金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39</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110,206,625.22</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78,557,835.80</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支付给职工以及为职工支付的现金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15</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257,935,998.39</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243,325,926.77</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其中：子公司支付给少数股东的股利、利润</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40</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支付的各项税费</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16</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118,366,637.02</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182,275,925.89</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支付其他与筹资活动有关的现金</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41</w:t>
            </w:r>
          </w:p>
        </w:tc>
        <w:tc>
          <w:tcPr>
            <w:tcW w:w="145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375"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支付其他与经营活动有关的现金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17</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142,576,372.13</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89,143,674.93</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筹资活动现金流出小计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42</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223,554,602.15</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82,382,544.36</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经营活动现金流出小计</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18</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3,709,864,563.70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3,101,591,786.33</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筹资活动产生的现金流量净额</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43</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-223,536,925.15</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-82,382,544.36</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经营活动产生的现金流量净额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19</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1,194,112,725.39</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495,321,278.79</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四、汇率变动对现金及现金等价物的影响</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44</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-2,349,837.94</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-582,131.63</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二、投资活动产生的现金流量：</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20</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五、现金及现金等价物净增加额</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45</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18,920,409.89</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148,809,648.78</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收回投资收到的现金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21</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44,808,409,194.80</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34,337,530,507.33</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加：期初现金及现金等价物余额</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46</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527,042,954.73</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545,963,364.62</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取得投资收益收到的现金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22</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369,626,494.54</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401,548,093.92</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六、期末现金及现金等价物余额</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47</w:t>
            </w:r>
          </w:p>
        </w:tc>
        <w:tc>
          <w:tcPr>
            <w:tcW w:w="14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545,963,364.62</w:t>
            </w:r>
          </w:p>
        </w:tc>
        <w:tc>
          <w:tcPr>
            <w:tcW w:w="1375"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694,773,013.40</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处置固定资产、无形资产和其他长期资产收回的现金净额</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23</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6,090,381.52</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8,053,753.95</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4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37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收到其他与投资活动有关的现金</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24</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4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37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r>
        <w:tblPrEx>
          <w:tblLayout w:type="fixed"/>
          <w:tblCellMar>
            <w:top w:w="0" w:type="dxa"/>
            <w:left w:w="108" w:type="dxa"/>
            <w:bottom w:w="0" w:type="dxa"/>
            <w:right w:w="108" w:type="dxa"/>
          </w:tblCellMar>
        </w:tblPrEx>
        <w:trPr>
          <w:trHeight w:val="284" w:hRule="exact"/>
        </w:trPr>
        <w:tc>
          <w:tcPr>
            <w:tcW w:w="34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投资活动现金流入小计</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25</w:t>
            </w:r>
          </w:p>
        </w:tc>
        <w:tc>
          <w:tcPr>
            <w:tcW w:w="14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45,184,126,070.86</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rPr>
            </w:pPr>
            <w:r>
              <w:rPr>
                <w:rFonts w:hint="eastAsia" w:ascii="宋体" w:hAnsi="宋体" w:cs="宋体"/>
                <w:color w:val="000000"/>
                <w:kern w:val="0"/>
                <w:sz w:val="10"/>
                <w:szCs w:val="10"/>
                <w:highlight w:val="none"/>
                <w:lang w:val="en-US" w:eastAsia="zh-CN"/>
              </w:rPr>
              <w:t>34,747,132,355.20</w:t>
            </w:r>
          </w:p>
        </w:tc>
        <w:tc>
          <w:tcPr>
            <w:tcW w:w="3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4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37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bl>
    <w:p>
      <w:pPr>
        <w:pStyle w:val="3"/>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ind w:firstLine="632" w:firstLineChars="200"/>
        <w:rPr>
          <w:rFonts w:hint="eastAsia" w:ascii="黑体" w:hAnsi="黑体" w:eastAsia="黑体" w:cs="黑体"/>
          <w:color w:val="auto"/>
          <w:spacing w:val="-2"/>
          <w:sz w:val="32"/>
          <w:szCs w:val="32"/>
          <w:highlight w:val="none"/>
        </w:rPr>
      </w:pPr>
      <w:r>
        <w:rPr>
          <w:rFonts w:hint="eastAsia" w:ascii="黑体" w:hAnsi="黑体" w:eastAsia="黑体" w:cs="黑体"/>
          <w:color w:val="auto"/>
          <w:spacing w:val="-2"/>
          <w:sz w:val="32"/>
          <w:szCs w:val="32"/>
          <w:highlight w:val="none"/>
        </w:rPr>
        <w:t>二、会计报表附注</w:t>
      </w:r>
    </w:p>
    <w:p>
      <w:pPr>
        <w:pStyle w:val="4"/>
        <w:spacing w:line="560" w:lineRule="exact"/>
        <w:ind w:firstLine="626" w:firstLineChars="195"/>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（一）财务报表的编制基础说明</w:t>
      </w:r>
    </w:p>
    <w:p>
      <w:pPr>
        <w:pStyle w:val="4"/>
        <w:spacing w:line="560" w:lineRule="exact"/>
        <w:ind w:firstLine="632" w:firstLineChars="200"/>
        <w:rPr>
          <w:rFonts w:hint="eastAsia" w:ascii="仿宋_GB2312" w:hAnsi="仿宋_GB2312" w:eastAsia="仿宋_GB2312" w:cs="仿宋_GB2312"/>
          <w:b w:val="0"/>
          <w:color w:val="auto"/>
          <w:spacing w:val="-2"/>
          <w:kern w:val="2"/>
          <w:sz w:val="32"/>
          <w:szCs w:val="32"/>
          <w:highlight w:val="none"/>
        </w:rPr>
      </w:pPr>
      <w:r>
        <w:rPr>
          <w:rFonts w:hint="eastAsia" w:ascii="仿宋_GB2312" w:hAnsi="仿宋_GB2312" w:eastAsia="仿宋_GB2312" w:cs="仿宋_GB2312"/>
          <w:b w:val="0"/>
          <w:color w:val="auto"/>
          <w:spacing w:val="-2"/>
          <w:kern w:val="2"/>
          <w:sz w:val="32"/>
          <w:szCs w:val="32"/>
          <w:highlight w:val="none"/>
        </w:rPr>
        <w:t>1</w:t>
      </w:r>
      <w:r>
        <w:rPr>
          <w:rFonts w:hint="eastAsia" w:ascii="仿宋_GB2312" w:hAnsi="仿宋_GB2312" w:eastAsia="仿宋_GB2312" w:cs="仿宋_GB2312"/>
          <w:b w:val="0"/>
          <w:color w:val="auto"/>
          <w:spacing w:val="-2"/>
          <w:kern w:val="2"/>
          <w:sz w:val="32"/>
          <w:szCs w:val="32"/>
          <w:highlight w:val="none"/>
          <w:lang w:val="en-US" w:eastAsia="zh-CN"/>
        </w:rPr>
        <w:t>.</w:t>
      </w:r>
      <w:r>
        <w:rPr>
          <w:rFonts w:hint="eastAsia" w:ascii="仿宋_GB2312" w:hAnsi="仿宋_GB2312" w:eastAsia="仿宋_GB2312" w:cs="仿宋_GB2312"/>
          <w:b w:val="0"/>
          <w:color w:val="auto"/>
          <w:spacing w:val="-2"/>
          <w:kern w:val="2"/>
          <w:sz w:val="32"/>
          <w:szCs w:val="32"/>
          <w:highlight w:val="none"/>
        </w:rPr>
        <w:t>编制基础：</w:t>
      </w:r>
      <w:r>
        <w:rPr>
          <w:rFonts w:hint="eastAsia" w:ascii="仿宋_GB2312" w:hAnsi="仿宋_GB2312" w:eastAsia="仿宋_GB2312" w:cs="仿宋_GB2312"/>
          <w:b w:val="0"/>
          <w:color w:val="auto"/>
          <w:spacing w:val="-2"/>
          <w:kern w:val="2"/>
          <w:sz w:val="32"/>
          <w:szCs w:val="32"/>
          <w:highlight w:val="none"/>
          <w:lang w:eastAsia="zh-CN"/>
        </w:rPr>
        <w:t>本公司</w:t>
      </w:r>
      <w:r>
        <w:rPr>
          <w:rFonts w:hint="eastAsia" w:ascii="仿宋_GB2312" w:hAnsi="仿宋_GB2312" w:eastAsia="仿宋_GB2312" w:cs="仿宋_GB2312"/>
          <w:b w:val="0"/>
          <w:color w:val="auto"/>
          <w:spacing w:val="-2"/>
          <w:kern w:val="2"/>
          <w:sz w:val="32"/>
          <w:szCs w:val="32"/>
          <w:highlight w:val="none"/>
        </w:rPr>
        <w:t>财务报表以持续经营为基础，根据实际发生的交易和事项，按照财政部颁布的《企业会计准则-基本准则》和具体会计准则等规定（以下合称“企业会计准则”），并基于以下所述重要会计政策、会计估计进行编制。</w:t>
      </w:r>
    </w:p>
    <w:p>
      <w:pPr>
        <w:pStyle w:val="4"/>
        <w:spacing w:line="560" w:lineRule="exact"/>
        <w:ind w:firstLine="632" w:firstLineChars="200"/>
        <w:rPr>
          <w:rFonts w:hint="eastAsia" w:ascii="仿宋_GB2312" w:hAnsi="仿宋_GB2312" w:eastAsia="仿宋_GB2312" w:cs="仿宋_GB2312"/>
          <w:b w:val="0"/>
          <w:color w:val="auto"/>
          <w:spacing w:val="-2"/>
          <w:kern w:val="2"/>
          <w:sz w:val="32"/>
          <w:szCs w:val="32"/>
          <w:highlight w:val="none"/>
        </w:rPr>
      </w:pPr>
      <w:r>
        <w:rPr>
          <w:rFonts w:hint="eastAsia" w:ascii="仿宋_GB2312" w:hAnsi="仿宋_GB2312" w:eastAsia="仿宋_GB2312" w:cs="仿宋_GB2312"/>
          <w:b w:val="0"/>
          <w:color w:val="auto"/>
          <w:spacing w:val="-2"/>
          <w:kern w:val="2"/>
          <w:sz w:val="32"/>
          <w:szCs w:val="32"/>
          <w:highlight w:val="none"/>
        </w:rPr>
        <w:t>2</w:t>
      </w:r>
      <w:r>
        <w:rPr>
          <w:rFonts w:hint="eastAsia" w:ascii="仿宋_GB2312" w:hAnsi="仿宋_GB2312" w:eastAsia="仿宋_GB2312" w:cs="仿宋_GB2312"/>
          <w:b w:val="0"/>
          <w:color w:val="auto"/>
          <w:spacing w:val="-2"/>
          <w:kern w:val="2"/>
          <w:sz w:val="32"/>
          <w:szCs w:val="32"/>
          <w:highlight w:val="none"/>
          <w:lang w:val="en-US" w:eastAsia="zh-CN"/>
        </w:rPr>
        <w:t>.</w:t>
      </w:r>
      <w:r>
        <w:rPr>
          <w:rFonts w:hint="eastAsia" w:ascii="仿宋_GB2312" w:hAnsi="仿宋_GB2312" w:eastAsia="仿宋_GB2312" w:cs="仿宋_GB2312"/>
          <w:b w:val="0"/>
          <w:color w:val="auto"/>
          <w:spacing w:val="-2"/>
          <w:kern w:val="2"/>
          <w:sz w:val="32"/>
          <w:szCs w:val="32"/>
          <w:highlight w:val="none"/>
        </w:rPr>
        <w:t>持续经营：</w:t>
      </w:r>
      <w:r>
        <w:rPr>
          <w:rFonts w:hint="eastAsia" w:ascii="仿宋_GB2312" w:hAnsi="仿宋_GB2312" w:eastAsia="仿宋_GB2312" w:cs="仿宋_GB2312"/>
          <w:b w:val="0"/>
          <w:color w:val="auto"/>
          <w:spacing w:val="-2"/>
          <w:kern w:val="2"/>
          <w:sz w:val="32"/>
          <w:szCs w:val="32"/>
          <w:highlight w:val="none"/>
          <w:lang w:eastAsia="zh-CN"/>
        </w:rPr>
        <w:t>本公司</w:t>
      </w:r>
      <w:r>
        <w:rPr>
          <w:rFonts w:hint="eastAsia" w:ascii="仿宋_GB2312" w:hAnsi="仿宋_GB2312" w:eastAsia="仿宋_GB2312" w:cs="仿宋_GB2312"/>
          <w:b w:val="0"/>
          <w:color w:val="auto"/>
          <w:spacing w:val="-2"/>
          <w:kern w:val="2"/>
          <w:sz w:val="32"/>
          <w:szCs w:val="32"/>
          <w:highlight w:val="none"/>
        </w:rPr>
        <w:t>自本报告期末至少12个月内具备持续经营能力，无影响持续经营能力的重大事项。</w:t>
      </w:r>
    </w:p>
    <w:p>
      <w:pPr>
        <w:pStyle w:val="4"/>
        <w:spacing w:line="560" w:lineRule="exact"/>
        <w:ind w:firstLine="626" w:firstLineChars="195"/>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（二）重要会计政策和会计估计</w:t>
      </w:r>
    </w:p>
    <w:p>
      <w:pPr>
        <w:pStyle w:val="4"/>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遵循企业会计准则的声明</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编制的财务报表符合《企业会计准则》的要求，真实、完整地反映了</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202</w:t>
      </w:r>
      <w:r>
        <w:rPr>
          <w:rFonts w:hint="eastAsia" w:ascii="仿宋_GB2312" w:hAnsi="仿宋_GB2312" w:eastAsia="仿宋_GB2312" w:cs="仿宋_GB2312"/>
          <w:color w:val="auto"/>
          <w:spacing w:val="-2"/>
          <w:sz w:val="32"/>
          <w:szCs w:val="32"/>
          <w:highlight w:val="none"/>
          <w:lang w:val="en-US" w:eastAsia="zh-CN"/>
        </w:rPr>
        <w:t>3</w:t>
      </w:r>
      <w:r>
        <w:rPr>
          <w:rFonts w:hint="eastAsia" w:ascii="仿宋_GB2312" w:hAnsi="仿宋_GB2312" w:eastAsia="仿宋_GB2312" w:cs="仿宋_GB2312"/>
          <w:color w:val="auto"/>
          <w:spacing w:val="-2"/>
          <w:sz w:val="32"/>
          <w:szCs w:val="32"/>
          <w:highlight w:val="none"/>
        </w:rPr>
        <w:t>年12月31日的财务状况、202</w:t>
      </w:r>
      <w:r>
        <w:rPr>
          <w:rFonts w:hint="eastAsia" w:ascii="仿宋_GB2312" w:hAnsi="仿宋_GB2312" w:eastAsia="仿宋_GB2312" w:cs="仿宋_GB2312"/>
          <w:color w:val="auto"/>
          <w:spacing w:val="-2"/>
          <w:sz w:val="32"/>
          <w:szCs w:val="32"/>
          <w:highlight w:val="none"/>
          <w:lang w:val="en-US" w:eastAsia="zh-CN"/>
        </w:rPr>
        <w:t>3</w:t>
      </w:r>
      <w:r>
        <w:rPr>
          <w:rFonts w:hint="eastAsia" w:ascii="仿宋_GB2312" w:hAnsi="仿宋_GB2312" w:eastAsia="仿宋_GB2312" w:cs="仿宋_GB2312"/>
          <w:color w:val="auto"/>
          <w:spacing w:val="-2"/>
          <w:sz w:val="32"/>
          <w:szCs w:val="32"/>
          <w:highlight w:val="none"/>
        </w:rPr>
        <w:t>年度的经营成果和现金流量等相关信息。</w:t>
      </w:r>
    </w:p>
    <w:p>
      <w:pPr>
        <w:spacing w:line="56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2.会计期间</w:t>
      </w:r>
    </w:p>
    <w:p>
      <w:pPr>
        <w:spacing w:line="5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会计年度为公历年度，即每年1月1日起至12月31日止。</w:t>
      </w:r>
    </w:p>
    <w:p>
      <w:pPr>
        <w:spacing w:line="56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3.营业周期</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以一年12个月作为正常营业周期。</w:t>
      </w:r>
    </w:p>
    <w:p>
      <w:pPr>
        <w:spacing w:line="56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4.记账本位币</w:t>
      </w:r>
    </w:p>
    <w:p>
      <w:pPr>
        <w:spacing w:line="5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以人民币为记账本位币。</w:t>
      </w:r>
    </w:p>
    <w:p>
      <w:pPr>
        <w:spacing w:line="56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5.现金及现金等价物的确定标准</w:t>
      </w:r>
    </w:p>
    <w:p>
      <w:pPr>
        <w:spacing w:line="5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在编制现金流量表时所确定的现金，是指</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库存现金以及可以随时用于支付的存款。在编制现金流量表时所确定的现金等价物，是指持有的期限短、流动性强、易于转换为已知金额现金、价值变动风险很小的投资。</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6.外币业务折算</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或确认为其他综合收益。</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.贷款的种类和范围</w:t>
      </w:r>
    </w:p>
    <w:p>
      <w:pPr>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本公司信贷资产包括各项贷款、信用卡透支、贴现资产、贸易融资、垫款，</w:t>
      </w:r>
      <w:r>
        <w:rPr>
          <w:rFonts w:hint="eastAsia" w:ascii="仿宋_GB2312" w:hAnsi="仿宋_GB2312" w:eastAsia="仿宋_GB2312" w:cs="仿宋_GB2312"/>
          <w:color w:val="auto"/>
          <w:sz w:val="32"/>
          <w:szCs w:val="32"/>
          <w:highlight w:val="none"/>
        </w:rPr>
        <w:t>各项</w:t>
      </w:r>
      <w:r>
        <w:rPr>
          <w:rFonts w:hint="eastAsia" w:ascii="仿宋_GB2312" w:hAnsi="仿宋_GB2312" w:eastAsia="仿宋_GB2312" w:cs="仿宋_GB2312"/>
          <w:bCs/>
          <w:color w:val="auto"/>
          <w:sz w:val="32"/>
          <w:szCs w:val="32"/>
          <w:highlight w:val="none"/>
        </w:rPr>
        <w:t>贷款包括农户贷款、农村经济组织贷款、农村企业贷款和非农贷款。</w:t>
      </w:r>
    </w:p>
    <w:p>
      <w:pPr>
        <w:spacing w:line="56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lang w:val="en-US" w:eastAsia="zh-CN"/>
        </w:rPr>
        <w:t>8</w:t>
      </w:r>
      <w:r>
        <w:rPr>
          <w:rFonts w:hint="eastAsia" w:ascii="仿宋_GB2312" w:hAnsi="仿宋_GB2312" w:eastAsia="仿宋_GB2312" w:cs="仿宋_GB2312"/>
          <w:b/>
          <w:color w:val="auto"/>
          <w:spacing w:val="-2"/>
          <w:sz w:val="32"/>
          <w:szCs w:val="32"/>
          <w:highlight w:val="none"/>
        </w:rPr>
        <w:t>.金融工具</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1</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金融工具的分类及重分类</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金融工具，是指形成一方的金融资产并形成其他方的金融负债或权益工具的合同。</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将同时符合下列条件的金融资产分类为以摊余成本计量的金融资产：①</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管理金融资产的业务模式是以收取合同现金流量为目标；②该金融资产的合同条款规定，在特定日期产生的现金流量仅为对本金和以未偿付本金金额为基础的利息的支付。</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将同时符合下列条件的金融资产分类为以公允价值计量且其变动计入其他综合收益的金融资产：①</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管理金融资产的业务模式既以收取合同现金流量又以出售该金融资产为目标；②该金融资产的合同条款规定，在特定日期产生的现金流量，仅为对本金和以未偿付本金金额为基础的利息的支付。</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对于非交易性权益工具投资，</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可在初始确认时将其不可撤销地指定为以公允价值计量且其变动计入其他综合收益的金融资产。该指定在单项投资的基础上作出，且相关投资从发行者的角度符合权益工具的定义。</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除分类为以摊余成本计量的金融资产和以公允价值计量且其变动计入其他综合收益的金融资产之外的金融资产，</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将其分类为以公允价值计量且其变动计入当期损益的金融资产。在初始确认时，如果能消除或减少会计错配，</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可以将金融资产不可撤销地指定为以公允价值计量且其变动计入当期损益的金融资产。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负债于初始确认时分类为：以公允价值计量且其变动计入当期损益的金融负债；金融资产转移不符合终止确认条件或继续涉入被转移金融资产所形成的金融负债；不属于前两种情形的财务担保合同，以及不属于第一种情形的以低于市场利率贷款的贷款承诺；以摊余成本计量的金融负债。所有的金融负债不进行重分类。</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金融工具的计量</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按照预期有权收取的对价金额作为初始确认金额。金融工具的后续计量取决于其分类。</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②以公允价值计量且其变动计入当期损益的金融资产。初始确认后，对于该类金融资产（除属于套期关系的一部分金融资产外），以公允价值进行后续计量，产生的利得或损失（包括利息和股利收入）计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③</w:t>
      </w:r>
      <w:r>
        <w:rPr>
          <w:rFonts w:hint="eastAsia" w:ascii="仿宋_GB2312" w:hAnsi="仿宋_GB2312" w:eastAsia="仿宋_GB2312" w:cs="仿宋_GB2312"/>
          <w:b w:val="0"/>
          <w:bCs w:val="0"/>
          <w:color w:val="auto"/>
          <w:spacing w:val="-2"/>
          <w:sz w:val="32"/>
          <w:szCs w:val="32"/>
          <w:highlight w:val="none"/>
        </w:rPr>
        <w:t>以</w:t>
      </w:r>
      <w:r>
        <w:rPr>
          <w:rFonts w:hint="eastAsia" w:ascii="仿宋_GB2312" w:hAnsi="仿宋_GB2312" w:eastAsia="仿宋_GB2312" w:cs="仿宋_GB2312"/>
          <w:color w:val="auto"/>
          <w:spacing w:val="-2"/>
          <w:sz w:val="32"/>
          <w:szCs w:val="32"/>
          <w:highlight w:val="none"/>
        </w:rPr>
        <w:t>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①以公允价值计量且其变动计入当期损益的金融负债。该类金融负债包括交易性金融负债(含属于金融负债的衍生工具)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综合收益会造成或扩大损益中的会计错配的，</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将该金融负债的全部利得或损失计入当期损益。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②财务担保合同和以低于市场利率贷款的贷款承诺。</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发行或订立的财务担保合同包括开出信用证、开出保函及开出承兑汇票等。当被担保的一方违反债务工具、贷款或其他义务的原始条款或修订条款时，这些财务担保合同为合同持有人遭受的损失提供特定金额的补偿。</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并未承诺以任何低于市场利率的价格发放贷款，也不以支付现金或发行其他金融工具作为贷款承诺的净结算。</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在初始确认时以公允价值计量，后续以按照依据金融工具的减值原则所确定的损失准备金额以及初始确认金额扣除《企业会计准则第14号——收入》相关规定所确定的累计摊销额后的余额孰高进行后续计量。</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将财务担保合同和贷款承诺的减值准备列报在预计负债中。但如果一项工具同时包含贷款和未使用的承诺，且</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不能把贷款部分与未使用的承诺部分产生的预期信用损失区分开，那么两者的损失准备一并列报在贷款的损失准备中，除非两者的损失准备合计超过了贷款账面余额，则将损失准备列报在预计负债中。</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③以摊余成本计量的金融负债。初始确认后，对此类金融负债采用实际利率法以摊余成本计量。</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3</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对金融工具的公允价值的确认方法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公允价值是指市场参与者在计量日发生的有序交易中，出售一项资产所能收到或者转移一项负债所需支付的价格。金融工具存在活跃市场的，</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以活跃市场中的报价确定其公允价值；活跃市场中的报价是指易于定期从交易所、行业协会、定价服务机构等获得的价格，且代表了在有序交易中实际发生的市场交易的价格。如不能满足上述条件，则被视为非活跃市场。金融工具不存在活跃市场的，采用估值技术确定其公允价值。估值技术包括参考市场参与者最近进行的有序交易中使用的价格、参照实质上相同的其他金融工具当前的公允价值、现金流量折现法、期权定价模型及其他市场参与者常用的估值技术等。在估值时，</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采用在当前情况下适用并且有足够可利用数据和其他信息支持的估值技术，选择与市场参与者在相关资产或负债的交易中所考虑的资产或负债特征相一致的输入值。这些估值技术包括使用可观察输入值和/或不可观察输入值，并尽可能优先使用相关可观察输入值。</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4</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金融资产和金融负债转移的确认依据和计量方法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金融资产满足下列条件之一的，予以终止确认：①收取该金融资产现金流量的合同权利终止；②该金融资产已转移，且</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转移了金融资产所有权上几乎所有的风险和报酬；③该金融资产已转移，虽然</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既没有转移也没有保留金融资产所有权上几乎所有报酬的，但未保留对该金融资产的控制。</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既没有转移也没有保留金融资产所有权上几乎所有报酬的，且保留了对该金融资产控制的，按照继续涉入被转移金融资产的程度确认有关金融资产，并相应确认相关负债。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针对</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指定为公允价值计量且其变动计入其他综合收益的非交易性权益工具投资终止确认时，将之前计入其他综合收益的累计利得或损失从其他综合收益中转出，计入留存收益。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金融负债（或其一部分）的现时义务已经解除的，</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终止确认该金融负债（或该部分金融负债）。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金融负债（或其一部分）终止确认的，</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将其账面价值与支付的对价（包括转出的非现金资产或承担的负债）之间的差额，计入当期损益。</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5</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衍生金融工具</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使用衍生金融工具，例如远期外汇合同和利率互换等。衍生金融工具初始以衍生交易合同签订当日的公允价值进行计量，并以其公允价值进行后续计量。公允价值为正数的衍生金融工具确认为一项资产，公允价值为负数的确认为一项负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对嵌入衍生金融工具的会计核算有两种模式，从混合合同中分拆或不分拆。对于主合同是金融资产的混合合同，</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对其整体进行分类和计量。对于主合同并非金融资产的混合合同，在符合以下条件时，</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将嵌入衍生工具拆分为独立的衍生工具处理：①嵌入衍生工具与主合同的经济特征和风险不紧密相关；②与嵌入衍生工具具有相同条款的单独工具符合衍生工具的定义；且③混合工具不是以公允价值计量且其变动计入当期损益进行会计处理。</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可以选择将被拆分的嵌入式衍生工具以公允价值计量且其变动计入损益，或者选择将混合合同指定为以公允价值计量且其变动计入损益。</w:t>
      </w:r>
    </w:p>
    <w:p>
      <w:pPr>
        <w:spacing w:line="460" w:lineRule="exact"/>
        <w:ind w:left="634"/>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b/>
          <w:bCs w:val="0"/>
          <w:color w:val="auto"/>
          <w:spacing w:val="-2"/>
          <w:sz w:val="32"/>
          <w:szCs w:val="32"/>
          <w:highlight w:val="none"/>
          <w:lang w:val="en-US" w:eastAsia="zh-CN"/>
        </w:rPr>
        <w:t>9</w:t>
      </w:r>
      <w:r>
        <w:rPr>
          <w:rFonts w:hint="eastAsia" w:ascii="仿宋_GB2312" w:hAnsi="仿宋_GB2312" w:eastAsia="仿宋_GB2312" w:cs="仿宋_GB2312"/>
          <w:b/>
          <w:bCs w:val="0"/>
          <w:color w:val="auto"/>
          <w:spacing w:val="-2"/>
          <w:sz w:val="32"/>
          <w:szCs w:val="32"/>
          <w:highlight w:val="none"/>
        </w:rPr>
        <w:t>.预期信用损失的确定方法及会计处理方法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（1）预期信用损失的确定方法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以预期信用损失为基础，对以摊余成本计量的金融资产、分类为以公允价值计量且其变动计入其他综合收益的金融资产、</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做出的除分类为以公允价值计量且变动计入当期损益的金融负债以外的贷款承诺、非以公允价值计量且其变动计入当期损益的财务担保合同进行减值会计处理并确认损失准备。</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当触发以下一个或多个定量、定性标准或上限指标时，</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认为金融工具的信用风险已发生显著增加：</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定性标准：债务人经营或财务情况出现不利变化，五级分类为关注级别。</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正常类贷款、关注类贷款、次级类贷款、可疑类贷款、损失类贷款分别按1.5%、3%、30%、60%、100%比例计提减值损失。</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对于在资产负债表日具有较低信用风险的金融工具，</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可以不用与其初始确认时的信用风险进行比较，而直接做出该工具的信用风险自初始确认后未显著增加的假定。</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如果金融工具的违约风险较低，债务人在短期内履行其合同现金流量义务的能力很强，并且即便较长时期内经济形势和经营环境存在不利变化但未必一定降低借款人履行其合同现金流量义务的能力，该金融工具被视为具有较低的信用风险。</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在企业会计准则—新金融工具准则下为确定是否发生信用减值时，</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所采用的界定标准，与内部针对相关金融工具的信用风险管理目标保持一致，同时考虑定量、定性指标。</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评估债务人是否发生信用减值时，主要考虑以下因素：</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①发行方或债务人发生重大财务困难；</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②债权人出于与债务人财务困难有关的经济或合同考虑，给予债务人在任何其他情况下都不会做出的让步；</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③债务人很可能破产或进行其他财务重组；</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④以大幅折扣购买或源生一项金融资产，该折扣反映了发生信用损失的事实。</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金融资产发生信用减值，有可能是多个事件的共同作用所致，未必是可单独识别的事件所致。</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（2）预期信用损失的会计处理方法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为反映金融工具的信用风险自初始确认后的变化，</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每个资产负债表日重新计量预期信用损失，由此形成的损失准备的增加或转回金额，应当作为减值损失或利得计入当期损益，并根据金融工具的种类，抵减该金融资产在资产负债表中列示的账面价值或计入预计负债（贷款承诺或财务担保合同）或计入其他综合收益（以公允价值计量且其变动计入其他综合收益的债权投资）。对于购买或源生的已发生信用减值的金融资产，</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在资产负债表日仅将自初始确认后整个存续期内预期信用损失的累计变动确认为损失准备，并按其摊余成本和经信用调整的实际利率计算利息收入。</w:t>
      </w:r>
    </w:p>
    <w:p>
      <w:pPr>
        <w:spacing w:line="460" w:lineRule="exact"/>
        <w:ind w:firstLine="635" w:firstLineChars="200"/>
        <w:rPr>
          <w:rFonts w:hint="eastAsia" w:ascii="仿宋_GB2312" w:hAnsi="仿宋_GB2312" w:eastAsia="仿宋_GB2312" w:cs="仿宋_GB2312"/>
          <w:b/>
          <w:bCs/>
          <w:color w:val="auto"/>
          <w:spacing w:val="-2"/>
          <w:sz w:val="32"/>
          <w:szCs w:val="32"/>
          <w:highlight w:val="none"/>
        </w:rPr>
      </w:pPr>
      <w:r>
        <w:rPr>
          <w:rFonts w:hint="eastAsia" w:ascii="仿宋_GB2312" w:hAnsi="仿宋_GB2312" w:eastAsia="仿宋_GB2312" w:cs="仿宋_GB2312"/>
          <w:b/>
          <w:bCs/>
          <w:color w:val="auto"/>
          <w:spacing w:val="-2"/>
          <w:sz w:val="32"/>
          <w:szCs w:val="32"/>
          <w:highlight w:val="none"/>
          <w:lang w:val="en-US" w:eastAsia="zh-CN"/>
        </w:rPr>
        <w:t>10.</w:t>
      </w:r>
      <w:r>
        <w:rPr>
          <w:rFonts w:hint="eastAsia" w:ascii="仿宋_GB2312" w:hAnsi="仿宋_GB2312" w:eastAsia="仿宋_GB2312" w:cs="仿宋_GB2312"/>
          <w:b/>
          <w:bCs/>
          <w:color w:val="auto"/>
          <w:spacing w:val="-2"/>
          <w:sz w:val="32"/>
          <w:szCs w:val="32"/>
          <w:highlight w:val="none"/>
        </w:rPr>
        <w:t>资产减值</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长期股权投资、采用成本模式计量的投资性房地产、固定资产、在建工程、无形资产、等长期资产于资产负债表日存在减值迹象的，进行减值测试。减值测试结果表明资产的可收回金额低于其账面价值的，按其差额计提减值准备并计入减值损失。</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上述资产减值损失一经确认，以后期间不予转回价值得以恢复的部分。</w:t>
      </w:r>
    </w:p>
    <w:p>
      <w:pPr>
        <w:spacing w:line="560" w:lineRule="exact"/>
        <w:ind w:firstLine="635" w:firstLineChars="200"/>
        <w:rPr>
          <w:rFonts w:hint="eastAsia" w:ascii="仿宋_GB2312" w:hAnsi="仿宋_GB2312" w:eastAsia="仿宋_GB2312" w:cs="仿宋_GB2312"/>
          <w:b/>
          <w:bCs w:val="0"/>
          <w:color w:val="auto"/>
          <w:spacing w:val="-2"/>
          <w:sz w:val="32"/>
          <w:szCs w:val="32"/>
          <w:highlight w:val="none"/>
        </w:rPr>
      </w:pPr>
      <w:r>
        <w:rPr>
          <w:rFonts w:hint="eastAsia" w:ascii="仿宋_GB2312" w:hAnsi="仿宋_GB2312" w:eastAsia="仿宋_GB2312" w:cs="仿宋_GB2312"/>
          <w:b/>
          <w:bCs w:val="0"/>
          <w:color w:val="auto"/>
          <w:spacing w:val="-2"/>
          <w:sz w:val="32"/>
          <w:szCs w:val="32"/>
          <w:highlight w:val="none"/>
          <w:lang w:val="en-US" w:eastAsia="zh-CN"/>
        </w:rPr>
        <w:t>11</w:t>
      </w:r>
      <w:r>
        <w:rPr>
          <w:rFonts w:hint="eastAsia" w:ascii="仿宋_GB2312" w:hAnsi="仿宋_GB2312" w:eastAsia="仿宋_GB2312" w:cs="仿宋_GB2312"/>
          <w:b/>
          <w:bCs w:val="0"/>
          <w:color w:val="auto"/>
          <w:spacing w:val="-2"/>
          <w:sz w:val="32"/>
          <w:szCs w:val="32"/>
          <w:highlight w:val="none"/>
        </w:rPr>
        <w:t>.收入及支出确认原则和方法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收入是在相关的经济利益很可能流入</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，且有关收入的金额可以可靠地计量时，按以下基准确认：</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（1）利息收入和利息支出</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的利息收入和利息支出为按实际利率法确认的以摊余成本计量及以公允价值计量且其变动计入其他综合收益的金融资产和以摊余成本计量的金融负债产生的利息收入与支出。利息收入根据金融资产账面余额乘以实际利率计算确定，但下列情况除外：1）对于购入或源生的已发生信用减值的金融资产，</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自初始确认起，按照该金融资产的摊余成本和经信用调整的实际利率计算确定其利息收入。2）对于购入或源生发生的未发生信用减值、但在后续期间成为已发生信用减值的金融资产，</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在后续期间，按照该金融资产的摊余成本和实际利率计算确定其利息收入。</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rPr>
        <w:t>）手续费及佣金收入</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通过在一定期间内持续向客户提供服务收取的手续费及佣金在相应期间内按照履约进度确认收入，其他手续费及佣金于相关交易完成时确认收入。</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.固定资产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（1）固定资产确认条件</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rPr>
        <w:t>）固定资产分类和折旧方法</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固定资产主要分为：房屋及建筑物、机器设备、电子设备、运输设备等；折旧方法采用年限平均法。根据各类固定资产的性质和使用情况，确定固定资产的使用寿命和预计净残值。并在年度终了，对固定资产的使用寿命、预计净残值和折旧方法进行复核，如与原先估计数存在差异的，进行相应的调整。除已提足折旧仍继续使用的固定资产和单独计价入账的土地之外，</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对所有固定资产计提折旧。</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612"/>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类别</w:t>
            </w:r>
          </w:p>
        </w:tc>
        <w:tc>
          <w:tcPr>
            <w:tcW w:w="1612" w:type="dxa"/>
            <w:vAlign w:val="center"/>
          </w:tcPr>
          <w:p>
            <w:pPr>
              <w:pStyle w:val="3"/>
              <w:ind w:left="0" w:leftChars="0" w:firstLine="0" w:firstLineChars="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类别</w:t>
            </w:r>
          </w:p>
        </w:tc>
        <w:tc>
          <w:tcPr>
            <w:tcW w:w="2180" w:type="dxa"/>
            <w:vAlign w:val="center"/>
          </w:tcPr>
          <w:p>
            <w:pPr>
              <w:pStyle w:val="3"/>
              <w:ind w:left="0" w:leftChars="0" w:firstLine="0" w:firstLineChars="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残值率（%）</w:t>
            </w:r>
          </w:p>
        </w:tc>
        <w:tc>
          <w:tcPr>
            <w:tcW w:w="2180" w:type="dxa"/>
            <w:vAlign w:val="center"/>
          </w:tcPr>
          <w:p>
            <w:pPr>
              <w:pStyle w:val="3"/>
              <w:ind w:left="0" w:leftChars="0" w:firstLine="0" w:firstLineChars="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年折旧率（%）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房屋及建筑物</w:t>
            </w:r>
          </w:p>
        </w:tc>
        <w:tc>
          <w:tcPr>
            <w:tcW w:w="1612"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机器设备</w:t>
            </w:r>
          </w:p>
        </w:tc>
        <w:tc>
          <w:tcPr>
            <w:tcW w:w="1612"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运输工具</w:t>
            </w:r>
          </w:p>
        </w:tc>
        <w:tc>
          <w:tcPr>
            <w:tcW w:w="1612"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电子设备</w:t>
            </w:r>
          </w:p>
        </w:tc>
        <w:tc>
          <w:tcPr>
            <w:tcW w:w="1612"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748" w:type="dxa"/>
            <w:vAlign w:val="center"/>
          </w:tcPr>
          <w:p>
            <w:pPr>
              <w:pStyle w:val="3"/>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其他设备</w:t>
            </w:r>
          </w:p>
        </w:tc>
        <w:tc>
          <w:tcPr>
            <w:tcW w:w="1612"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180" w:type="dxa"/>
            <w:vAlign w:val="center"/>
          </w:tcPr>
          <w:p>
            <w:pPr>
              <w:pStyle w:val="3"/>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19.2</w:t>
            </w:r>
          </w:p>
        </w:tc>
      </w:tr>
    </w:tbl>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3）</w:t>
      </w:r>
      <w:r>
        <w:rPr>
          <w:rFonts w:hint="eastAsia" w:ascii="仿宋_GB2312" w:hAnsi="仿宋_GB2312" w:eastAsia="仿宋_GB2312" w:cs="仿宋_GB2312"/>
          <w:color w:val="auto"/>
          <w:spacing w:val="-2"/>
          <w:sz w:val="32"/>
          <w:szCs w:val="32"/>
          <w:highlight w:val="none"/>
        </w:rPr>
        <w:t>融资租入固定资产的认定依据、计价方法</w:t>
      </w:r>
    </w:p>
    <w:p>
      <w:pPr>
        <w:spacing w:line="460" w:lineRule="exact"/>
        <w:ind w:firstLine="632"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color w:val="auto"/>
          <w:spacing w:val="-2"/>
          <w:sz w:val="32"/>
          <w:szCs w:val="32"/>
          <w:highlight w:val="none"/>
        </w:rPr>
        <w:t>融资租入固定资产为实质上转移了与资产所有权有关的全部风险和报酬的租赁。融资租入固定资产初始计价为租赁期开始日租赁资产公允价值与最低租赁付款额现值较低者作为入账价值；融资租入固定资产后续计价采用与自有固定资产相一致的折旧政策计提折旧及减值准备。</w:t>
      </w:r>
    </w:p>
    <w:p>
      <w:pPr>
        <w:spacing w:line="60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1</w:t>
      </w:r>
      <w:r>
        <w:rPr>
          <w:rFonts w:hint="eastAsia" w:ascii="仿宋_GB2312" w:hAnsi="仿宋_GB2312" w:eastAsia="仿宋_GB2312" w:cs="仿宋_GB2312"/>
          <w:b/>
          <w:color w:val="auto"/>
          <w:spacing w:val="-2"/>
          <w:sz w:val="32"/>
          <w:szCs w:val="32"/>
          <w:highlight w:val="none"/>
          <w:lang w:val="en-US" w:eastAsia="zh-CN"/>
        </w:rPr>
        <w:t>3</w:t>
      </w:r>
      <w:r>
        <w:rPr>
          <w:rFonts w:hint="eastAsia" w:ascii="仿宋_GB2312" w:hAnsi="仿宋_GB2312" w:eastAsia="仿宋_GB2312" w:cs="仿宋_GB2312"/>
          <w:b/>
          <w:color w:val="auto"/>
          <w:spacing w:val="-2"/>
          <w:sz w:val="32"/>
          <w:szCs w:val="32"/>
          <w:highlight w:val="none"/>
        </w:rPr>
        <w:t>.无形资产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无形资产是指</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拥有或者控制的没有实物形态的可辨认非货币性资产，包括土地使用权、专利权、非专利技术等。</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在取得无形资产时分析判断其使用寿命，划分为使用寿命有限和使用寿命不确定的无形资产。</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使用寿命有限的无形资产，在使用寿命内采用直线法摊销，并在年度终了，对无形资产的使用寿命和摊销方法进行复核，如与原先估计数存在差异的，进行相应的调整。</w:t>
      </w:r>
    </w:p>
    <w:p>
      <w:pPr>
        <w:spacing w:line="460" w:lineRule="exact"/>
        <w:ind w:firstLine="632" w:firstLineChars="200"/>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使用寿命不确定的无形资产不予摊销。</w:t>
      </w: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在每个会计期间对使用寿命不确定的无形资产的使用寿命进行复核，当有确凿证据表明其使用寿命是有限的，则估计其使用寿命，按直线法进行摊销。</w:t>
      </w:r>
    </w:p>
    <w:p>
      <w:pPr>
        <w:spacing w:line="600" w:lineRule="exact"/>
        <w:ind w:firstLine="635" w:firstLineChars="200"/>
        <w:rPr>
          <w:rFonts w:hint="eastAsia" w:ascii="仿宋_GB2312" w:hAnsi="仿宋_GB2312" w:eastAsia="仿宋_GB2312" w:cs="仿宋_GB2312"/>
          <w:b/>
          <w:color w:val="auto"/>
          <w:spacing w:val="-2"/>
          <w:sz w:val="32"/>
          <w:szCs w:val="32"/>
          <w:highlight w:val="none"/>
        </w:rPr>
      </w:pPr>
      <w:r>
        <w:rPr>
          <w:rFonts w:hint="eastAsia" w:ascii="仿宋_GB2312" w:hAnsi="仿宋_GB2312" w:eastAsia="仿宋_GB2312" w:cs="仿宋_GB2312"/>
          <w:b/>
          <w:color w:val="auto"/>
          <w:spacing w:val="-2"/>
          <w:sz w:val="32"/>
          <w:szCs w:val="32"/>
          <w:highlight w:val="none"/>
        </w:rPr>
        <w:t>1</w:t>
      </w:r>
      <w:r>
        <w:rPr>
          <w:rFonts w:hint="eastAsia" w:ascii="仿宋_GB2312" w:hAnsi="仿宋_GB2312" w:eastAsia="仿宋_GB2312" w:cs="仿宋_GB2312"/>
          <w:b/>
          <w:color w:val="auto"/>
          <w:spacing w:val="-2"/>
          <w:sz w:val="32"/>
          <w:szCs w:val="32"/>
          <w:highlight w:val="none"/>
          <w:lang w:val="en-US" w:eastAsia="zh-CN"/>
        </w:rPr>
        <w:t>4</w:t>
      </w:r>
      <w:r>
        <w:rPr>
          <w:rFonts w:hint="eastAsia" w:ascii="仿宋_GB2312" w:hAnsi="仿宋_GB2312" w:eastAsia="仿宋_GB2312" w:cs="仿宋_GB2312"/>
          <w:b/>
          <w:color w:val="auto"/>
          <w:spacing w:val="-2"/>
          <w:sz w:val="32"/>
          <w:szCs w:val="32"/>
          <w:highlight w:val="none"/>
        </w:rPr>
        <w:t>.长期待摊费用</w:t>
      </w:r>
    </w:p>
    <w:p>
      <w:pPr>
        <w:spacing w:line="460" w:lineRule="exact"/>
        <w:ind w:firstLine="632" w:firstLineChars="200"/>
        <w:rPr>
          <w:rFonts w:hint="eastAsia" w:ascii="仿宋_GB2312" w:hAnsi="仿宋_GB2312" w:eastAsia="仿宋_GB2312" w:cs="仿宋_GB2312"/>
          <w:b w:val="0"/>
          <w:bCs w:val="0"/>
          <w:color w:val="auto"/>
          <w:spacing w:val="-2"/>
          <w:sz w:val="32"/>
          <w:szCs w:val="32"/>
          <w:highlight w:val="none"/>
        </w:rPr>
      </w:pPr>
      <w:r>
        <w:rPr>
          <w:rFonts w:hint="eastAsia" w:ascii="仿宋_GB2312" w:hAnsi="仿宋_GB2312" w:eastAsia="仿宋_GB2312" w:cs="仿宋_GB2312"/>
          <w:color w:val="auto"/>
          <w:spacing w:val="-2"/>
          <w:sz w:val="32"/>
          <w:szCs w:val="32"/>
          <w:highlight w:val="none"/>
          <w:lang w:eastAsia="zh-CN"/>
        </w:rPr>
        <w:t>本公司</w:t>
      </w:r>
      <w:r>
        <w:rPr>
          <w:rFonts w:hint="eastAsia" w:ascii="仿宋_GB2312" w:hAnsi="仿宋_GB2312" w:eastAsia="仿宋_GB2312" w:cs="仿宋_GB2312"/>
          <w:color w:val="auto"/>
          <w:spacing w:val="-2"/>
          <w:sz w:val="32"/>
          <w:szCs w:val="32"/>
          <w:highlight w:val="none"/>
        </w:rPr>
        <w:t>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.税项</w:t>
      </w:r>
    </w:p>
    <w:tbl>
      <w:tblPr>
        <w:tblStyle w:val="8"/>
        <w:tblpPr w:leftFromText="180" w:rightFromText="180" w:vertAnchor="text" w:horzAnchor="page" w:tblpX="1822" w:tblpY="230"/>
        <w:tblOverlap w:val="never"/>
        <w:tblW w:w="873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96"/>
        <w:gridCol w:w="3231"/>
        <w:gridCol w:w="2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8" w:hRule="atLeast"/>
        </w:trPr>
        <w:tc>
          <w:tcPr>
            <w:tcW w:w="2596" w:type="dxa"/>
            <w:tcBorders>
              <w:top w:val="single" w:color="auto" w:sz="4" w:space="0"/>
              <w:left w:val="single" w:color="auto" w:sz="4" w:space="0"/>
              <w:bottom w:val="single" w:color="000000" w:sz="4" w:space="0"/>
              <w:right w:val="single" w:color="000000" w:sz="4" w:space="0"/>
            </w:tcBorders>
            <w:vAlign w:val="top"/>
          </w:tcPr>
          <w:p>
            <w:pPr>
              <w:pStyle w:val="11"/>
              <w:spacing w:before="38"/>
              <w:ind w:left="1090" w:right="955"/>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税种</w:t>
            </w:r>
          </w:p>
        </w:tc>
        <w:tc>
          <w:tcPr>
            <w:tcW w:w="3231" w:type="dxa"/>
            <w:tcBorders>
              <w:top w:val="single" w:color="auto" w:sz="4" w:space="0"/>
              <w:left w:val="single" w:color="000000" w:sz="4" w:space="0"/>
              <w:bottom w:val="single" w:color="000000" w:sz="4" w:space="0"/>
              <w:right w:val="single" w:color="000000" w:sz="4" w:space="0"/>
            </w:tcBorders>
            <w:vAlign w:val="top"/>
          </w:tcPr>
          <w:p>
            <w:pPr>
              <w:pStyle w:val="11"/>
              <w:spacing w:before="38"/>
              <w:ind w:left="495"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计税依据</w:t>
            </w:r>
          </w:p>
        </w:tc>
        <w:tc>
          <w:tcPr>
            <w:tcW w:w="2906" w:type="dxa"/>
            <w:tcBorders>
              <w:top w:val="single" w:color="auto" w:sz="4" w:space="0"/>
              <w:left w:val="single" w:color="000000" w:sz="4" w:space="0"/>
              <w:bottom w:val="single" w:color="000000" w:sz="4" w:space="0"/>
              <w:right w:val="single" w:color="auto" w:sz="4" w:space="0"/>
            </w:tcBorders>
            <w:vAlign w:val="top"/>
          </w:tcPr>
          <w:p>
            <w:pPr>
              <w:pStyle w:val="11"/>
              <w:spacing w:before="38"/>
              <w:ind w:left="1098" w:right="984"/>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税率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0" w:hRule="atLeast"/>
        </w:trPr>
        <w:tc>
          <w:tcPr>
            <w:tcW w:w="2596" w:type="dxa"/>
            <w:tcBorders>
              <w:top w:val="single" w:color="000000" w:sz="4" w:space="0"/>
              <w:left w:val="single" w:color="auto" w:sz="4" w:space="0"/>
              <w:bottom w:val="single" w:color="000000" w:sz="4" w:space="0"/>
              <w:right w:val="single" w:color="000000" w:sz="4" w:space="0"/>
            </w:tcBorders>
            <w:vAlign w:val="top"/>
          </w:tcPr>
          <w:p>
            <w:pPr>
              <w:pStyle w:val="11"/>
              <w:spacing w:before="50"/>
              <w:ind w:left="13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增值税</w:t>
            </w:r>
          </w:p>
        </w:tc>
        <w:tc>
          <w:tcPr>
            <w:tcW w:w="3231" w:type="dxa"/>
            <w:tcBorders>
              <w:top w:val="single" w:color="000000" w:sz="4" w:space="0"/>
              <w:left w:val="single" w:color="000000" w:sz="4" w:space="0"/>
              <w:bottom w:val="single" w:color="000000" w:sz="4" w:space="0"/>
              <w:right w:val="single" w:color="000000" w:sz="4" w:space="0"/>
            </w:tcBorders>
            <w:vAlign w:val="top"/>
          </w:tcPr>
          <w:p>
            <w:pPr>
              <w:pStyle w:val="11"/>
              <w:spacing w:before="50"/>
              <w:ind w:left="498"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销售货物或提供应税劳务</w:t>
            </w:r>
          </w:p>
        </w:tc>
        <w:tc>
          <w:tcPr>
            <w:tcW w:w="2906" w:type="dxa"/>
            <w:tcBorders>
              <w:top w:val="single" w:color="000000" w:sz="4" w:space="0"/>
              <w:left w:val="single" w:color="000000" w:sz="4" w:space="0"/>
              <w:bottom w:val="single" w:color="000000" w:sz="4" w:space="0"/>
              <w:right w:val="single" w:color="auto" w:sz="4" w:space="0"/>
            </w:tcBorders>
            <w:vAlign w:val="top"/>
          </w:tcPr>
          <w:p>
            <w:pPr>
              <w:pStyle w:val="11"/>
              <w:spacing w:before="50"/>
              <w:ind w:left="1098" w:right="98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0" w:hRule="atLeast"/>
        </w:trPr>
        <w:tc>
          <w:tcPr>
            <w:tcW w:w="2596" w:type="dxa"/>
            <w:tcBorders>
              <w:top w:val="single" w:color="000000" w:sz="4" w:space="0"/>
              <w:left w:val="single" w:color="auto" w:sz="4" w:space="0"/>
              <w:bottom w:val="single" w:color="000000" w:sz="4" w:space="0"/>
              <w:right w:val="single" w:color="000000" w:sz="4" w:space="0"/>
            </w:tcBorders>
            <w:vAlign w:val="top"/>
          </w:tcPr>
          <w:p>
            <w:pPr>
              <w:pStyle w:val="11"/>
              <w:spacing w:before="47"/>
              <w:ind w:left="13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城市维护建设税</w:t>
            </w:r>
          </w:p>
        </w:tc>
        <w:tc>
          <w:tcPr>
            <w:tcW w:w="3231" w:type="dxa"/>
            <w:tcBorders>
              <w:top w:val="single" w:color="000000" w:sz="4" w:space="0"/>
              <w:left w:val="single" w:color="000000" w:sz="4" w:space="0"/>
              <w:bottom w:val="single" w:color="000000" w:sz="4" w:space="0"/>
              <w:right w:val="single" w:color="000000" w:sz="4" w:space="0"/>
            </w:tcBorders>
            <w:vAlign w:val="top"/>
          </w:tcPr>
          <w:p>
            <w:pPr>
              <w:pStyle w:val="11"/>
              <w:spacing w:before="47"/>
              <w:ind w:left="497"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应缴流转税税额</w:t>
            </w:r>
          </w:p>
        </w:tc>
        <w:tc>
          <w:tcPr>
            <w:tcW w:w="2906" w:type="dxa"/>
            <w:tcBorders>
              <w:top w:val="single" w:color="000000" w:sz="4" w:space="0"/>
              <w:left w:val="single" w:color="000000" w:sz="4" w:space="0"/>
              <w:bottom w:val="single" w:color="000000" w:sz="4" w:space="0"/>
              <w:right w:val="single" w:color="auto" w:sz="4" w:space="0"/>
            </w:tcBorders>
            <w:vAlign w:val="top"/>
          </w:tcPr>
          <w:p>
            <w:pPr>
              <w:pStyle w:val="11"/>
              <w:spacing w:before="47"/>
              <w:ind w:left="1098" w:right="98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9" w:hRule="atLeast"/>
        </w:trPr>
        <w:tc>
          <w:tcPr>
            <w:tcW w:w="2596" w:type="dxa"/>
            <w:tcBorders>
              <w:top w:val="single" w:color="000000" w:sz="4" w:space="0"/>
              <w:left w:val="single" w:color="auto" w:sz="4" w:space="0"/>
              <w:bottom w:val="single" w:color="000000" w:sz="4" w:space="0"/>
              <w:right w:val="single" w:color="000000" w:sz="4" w:space="0"/>
            </w:tcBorders>
            <w:vAlign w:val="top"/>
          </w:tcPr>
          <w:p>
            <w:pPr>
              <w:pStyle w:val="11"/>
              <w:spacing w:before="48"/>
              <w:ind w:left="13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教育费附加</w:t>
            </w:r>
          </w:p>
        </w:tc>
        <w:tc>
          <w:tcPr>
            <w:tcW w:w="3231" w:type="dxa"/>
            <w:tcBorders>
              <w:top w:val="single" w:color="000000" w:sz="4" w:space="0"/>
              <w:left w:val="single" w:color="000000" w:sz="4" w:space="0"/>
              <w:bottom w:val="single" w:color="000000" w:sz="4" w:space="0"/>
              <w:right w:val="single" w:color="000000" w:sz="4" w:space="0"/>
            </w:tcBorders>
            <w:vAlign w:val="top"/>
          </w:tcPr>
          <w:p>
            <w:pPr>
              <w:pStyle w:val="11"/>
              <w:spacing w:before="48"/>
              <w:ind w:left="497"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应缴流转税税额</w:t>
            </w:r>
          </w:p>
        </w:tc>
        <w:tc>
          <w:tcPr>
            <w:tcW w:w="2906" w:type="dxa"/>
            <w:tcBorders>
              <w:top w:val="single" w:color="000000" w:sz="4" w:space="0"/>
              <w:left w:val="single" w:color="000000" w:sz="4" w:space="0"/>
              <w:bottom w:val="single" w:color="000000" w:sz="4" w:space="0"/>
              <w:right w:val="single" w:color="auto" w:sz="4" w:space="0"/>
            </w:tcBorders>
            <w:vAlign w:val="top"/>
          </w:tcPr>
          <w:p>
            <w:pPr>
              <w:pStyle w:val="11"/>
              <w:spacing w:before="48"/>
              <w:ind w:left="1098" w:right="98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trPr>
        <w:tc>
          <w:tcPr>
            <w:tcW w:w="2596" w:type="dxa"/>
            <w:tcBorders>
              <w:top w:val="single" w:color="000000" w:sz="4" w:space="0"/>
              <w:left w:val="single" w:color="auto" w:sz="4" w:space="0"/>
              <w:bottom w:val="single" w:color="000000" w:sz="4" w:space="0"/>
              <w:right w:val="single" w:color="000000" w:sz="4" w:space="0"/>
            </w:tcBorders>
            <w:vAlign w:val="top"/>
          </w:tcPr>
          <w:p>
            <w:pPr>
              <w:pStyle w:val="11"/>
              <w:spacing w:before="50"/>
              <w:ind w:left="13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地方教育费附加</w:t>
            </w:r>
          </w:p>
        </w:tc>
        <w:tc>
          <w:tcPr>
            <w:tcW w:w="3231" w:type="dxa"/>
            <w:tcBorders>
              <w:top w:val="single" w:color="000000" w:sz="4" w:space="0"/>
              <w:left w:val="single" w:color="000000" w:sz="4" w:space="0"/>
              <w:bottom w:val="single" w:color="000000" w:sz="4" w:space="0"/>
              <w:right w:val="single" w:color="000000" w:sz="4" w:space="0"/>
            </w:tcBorders>
            <w:vAlign w:val="top"/>
          </w:tcPr>
          <w:p>
            <w:pPr>
              <w:pStyle w:val="11"/>
              <w:spacing w:before="50"/>
              <w:ind w:left="495"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应缴流转税税额</w:t>
            </w:r>
          </w:p>
        </w:tc>
        <w:tc>
          <w:tcPr>
            <w:tcW w:w="2906" w:type="dxa"/>
            <w:tcBorders>
              <w:top w:val="single" w:color="000000" w:sz="4" w:space="0"/>
              <w:left w:val="single" w:color="000000" w:sz="4" w:space="0"/>
              <w:bottom w:val="single" w:color="000000" w:sz="4" w:space="0"/>
              <w:right w:val="single" w:color="auto" w:sz="4" w:space="0"/>
            </w:tcBorders>
            <w:vAlign w:val="top"/>
          </w:tcPr>
          <w:p>
            <w:pPr>
              <w:pStyle w:val="11"/>
              <w:spacing w:before="50"/>
              <w:ind w:left="1098" w:right="98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trPr>
        <w:tc>
          <w:tcPr>
            <w:tcW w:w="2596" w:type="dxa"/>
            <w:tcBorders>
              <w:top w:val="single" w:color="000000" w:sz="4" w:space="0"/>
              <w:left w:val="single" w:color="auto" w:sz="4" w:space="0"/>
              <w:bottom w:val="single" w:color="auto" w:sz="4" w:space="0"/>
              <w:right w:val="single" w:color="000000" w:sz="4" w:space="0"/>
            </w:tcBorders>
            <w:vAlign w:val="top"/>
          </w:tcPr>
          <w:p>
            <w:pPr>
              <w:pStyle w:val="11"/>
              <w:spacing w:before="50"/>
              <w:ind w:left="13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企业所得税</w:t>
            </w:r>
          </w:p>
        </w:tc>
        <w:tc>
          <w:tcPr>
            <w:tcW w:w="3231" w:type="dxa"/>
            <w:tcBorders>
              <w:top w:val="single" w:color="000000" w:sz="4" w:space="0"/>
              <w:left w:val="single" w:color="000000" w:sz="4" w:space="0"/>
              <w:bottom w:val="single" w:color="auto" w:sz="4" w:space="0"/>
              <w:right w:val="single" w:color="000000" w:sz="4" w:space="0"/>
            </w:tcBorders>
            <w:vAlign w:val="top"/>
          </w:tcPr>
          <w:p>
            <w:pPr>
              <w:pStyle w:val="11"/>
              <w:spacing w:before="50"/>
              <w:ind w:left="495" w:right="378"/>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应纳税所得额</w:t>
            </w:r>
          </w:p>
        </w:tc>
        <w:tc>
          <w:tcPr>
            <w:tcW w:w="2906" w:type="dxa"/>
            <w:tcBorders>
              <w:top w:val="single" w:color="000000" w:sz="4" w:space="0"/>
              <w:left w:val="single" w:color="000000" w:sz="4" w:space="0"/>
              <w:bottom w:val="single" w:color="auto" w:sz="4" w:space="0"/>
              <w:right w:val="single" w:color="auto" w:sz="4" w:space="0"/>
            </w:tcBorders>
            <w:vAlign w:val="top"/>
          </w:tcPr>
          <w:p>
            <w:pPr>
              <w:pStyle w:val="11"/>
              <w:spacing w:before="50"/>
              <w:ind w:left="1098" w:right="98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25%、15%</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其他税项依据税法有关规定计缴。</w:t>
      </w:r>
    </w:p>
    <w:p>
      <w:pPr>
        <w:pStyle w:val="4"/>
        <w:keepNext w:val="0"/>
        <w:keepLines w:val="0"/>
        <w:pageBreakBefore w:val="0"/>
        <w:widowControl w:val="0"/>
        <w:kinsoku/>
        <w:wordWrap/>
        <w:overflowPunct/>
        <w:topLinePunct w:val="0"/>
        <w:autoSpaceDE/>
        <w:autoSpaceDN/>
        <w:bidi w:val="0"/>
        <w:adjustRightInd/>
        <w:snapToGrid/>
        <w:spacing w:line="560" w:lineRule="exact"/>
        <w:ind w:firstLine="619" w:firstLineChars="196"/>
        <w:textAlignment w:val="auto"/>
        <w:rPr>
          <w:rFonts w:hint="eastAsia" w:ascii="仿宋_GB2312" w:hAnsi="仿宋_GB2312" w:eastAsia="仿宋_GB2312" w:cs="仿宋_GB2312"/>
          <w:b w:val="0"/>
          <w:color w:val="auto"/>
          <w:spacing w:val="-2"/>
          <w:kern w:val="2"/>
          <w:sz w:val="32"/>
          <w:szCs w:val="32"/>
          <w:highlight w:val="none"/>
        </w:rPr>
      </w:pPr>
      <w:r>
        <w:rPr>
          <w:rFonts w:hint="eastAsia" w:ascii="仿宋_GB2312" w:hAnsi="仿宋_GB2312" w:eastAsia="仿宋_GB2312" w:cs="仿宋_GB2312"/>
          <w:b w:val="0"/>
          <w:color w:val="auto"/>
          <w:spacing w:val="-2"/>
          <w:kern w:val="2"/>
          <w:sz w:val="32"/>
          <w:szCs w:val="32"/>
          <w:highlight w:val="none"/>
        </w:rPr>
        <w:t>根据《财政部国家税务总局&lt;关于全面推开营业税改征增值税试点的通知&gt;》[财税〔2016〕36号],</w:t>
      </w:r>
      <w:r>
        <w:rPr>
          <w:rFonts w:hint="eastAsia" w:ascii="仿宋_GB2312" w:hAnsi="仿宋_GB2312" w:eastAsia="仿宋_GB2312" w:cs="仿宋_GB2312"/>
          <w:b w:val="0"/>
          <w:color w:val="auto"/>
          <w:spacing w:val="-2"/>
          <w:kern w:val="2"/>
          <w:sz w:val="32"/>
          <w:szCs w:val="32"/>
          <w:highlight w:val="none"/>
          <w:lang w:eastAsia="zh-CN"/>
        </w:rPr>
        <w:t>本公司</w:t>
      </w:r>
      <w:r>
        <w:rPr>
          <w:rFonts w:hint="eastAsia" w:ascii="仿宋_GB2312" w:hAnsi="仿宋_GB2312" w:eastAsia="仿宋_GB2312" w:cs="仿宋_GB2312"/>
          <w:b w:val="0"/>
          <w:color w:val="auto"/>
          <w:spacing w:val="-2"/>
          <w:kern w:val="2"/>
          <w:sz w:val="32"/>
          <w:szCs w:val="32"/>
          <w:highlight w:val="none"/>
        </w:rPr>
        <w:t>从2016年5月1日起由征收营业税改为征收增值税，作为一般纳税人，增值税率为6%。</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
          <w:bCs/>
          <w:color w:val="auto"/>
          <w:kern w:val="0"/>
          <w:sz w:val="32"/>
          <w:szCs w:val="32"/>
          <w:highlight w:val="none"/>
          <w:lang w:val="en-US" w:eastAsia="zh-CN"/>
        </w:rPr>
        <w:t>6</w:t>
      </w:r>
      <w:r>
        <w:rPr>
          <w:rFonts w:hint="eastAsia" w:ascii="仿宋_GB2312" w:hAnsi="仿宋_GB2312" w:eastAsia="仿宋_GB2312" w:cs="仿宋_GB2312"/>
          <w:b/>
          <w:bCs/>
          <w:color w:val="auto"/>
          <w:kern w:val="0"/>
          <w:sz w:val="32"/>
          <w:szCs w:val="32"/>
          <w:highlight w:val="none"/>
        </w:rPr>
        <w:t>.或有事项的说明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年12月31日止，</w:t>
      </w:r>
      <w:r>
        <w:rPr>
          <w:rFonts w:hint="eastAsia" w:ascii="仿宋_GB2312" w:hAnsi="仿宋_GB2312" w:eastAsia="仿宋_GB2312" w:cs="仿宋_GB2312"/>
          <w:color w:val="auto"/>
          <w:sz w:val="32"/>
          <w:szCs w:val="32"/>
          <w:highlight w:val="none"/>
          <w:lang w:eastAsia="zh-CN"/>
        </w:rPr>
        <w:t>本公司</w:t>
      </w:r>
      <w:r>
        <w:rPr>
          <w:rFonts w:hint="eastAsia" w:ascii="仿宋_GB2312" w:hAnsi="仿宋_GB2312" w:eastAsia="仿宋_GB2312" w:cs="仿宋_GB2312"/>
          <w:color w:val="auto"/>
          <w:sz w:val="32"/>
          <w:szCs w:val="32"/>
          <w:highlight w:val="none"/>
        </w:rPr>
        <w:t>无需披露的或有事项。</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.资产负债表日后事项的说明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本公司</w:t>
      </w:r>
      <w:r>
        <w:rPr>
          <w:rFonts w:hint="eastAsia" w:ascii="仿宋_GB2312" w:hAnsi="仿宋_GB2312" w:eastAsia="仿宋_GB2312" w:cs="仿宋_GB2312"/>
          <w:color w:val="auto"/>
          <w:sz w:val="32"/>
          <w:szCs w:val="32"/>
          <w:highlight w:val="none"/>
        </w:rPr>
        <w:t>无需披露的资产负债表日后事项。</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.重要资产转让及出售的说明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年12月31日止，</w:t>
      </w:r>
      <w:r>
        <w:rPr>
          <w:rFonts w:hint="eastAsia" w:ascii="仿宋_GB2312" w:hAnsi="仿宋_GB2312" w:eastAsia="仿宋_GB2312" w:cs="仿宋_GB2312"/>
          <w:color w:val="auto"/>
          <w:sz w:val="32"/>
          <w:szCs w:val="32"/>
          <w:highlight w:val="none"/>
          <w:lang w:eastAsia="zh-CN"/>
        </w:rPr>
        <w:t>本公司</w:t>
      </w:r>
      <w:r>
        <w:rPr>
          <w:rFonts w:hint="eastAsia" w:ascii="仿宋_GB2312" w:hAnsi="仿宋_GB2312" w:eastAsia="仿宋_GB2312" w:cs="仿宋_GB2312"/>
          <w:color w:val="auto"/>
          <w:sz w:val="32"/>
          <w:szCs w:val="32"/>
          <w:highlight w:val="none"/>
        </w:rPr>
        <w:t>无重要资产转让及出售行为。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.企业合并、分立等重组事项的说明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年12月31日止，</w:t>
      </w:r>
      <w:r>
        <w:rPr>
          <w:rFonts w:hint="eastAsia" w:ascii="仿宋_GB2312" w:hAnsi="仿宋_GB2312" w:eastAsia="仿宋_GB2312" w:cs="仿宋_GB2312"/>
          <w:color w:val="auto"/>
          <w:sz w:val="32"/>
          <w:szCs w:val="32"/>
          <w:highlight w:val="none"/>
          <w:lang w:eastAsia="zh-CN"/>
        </w:rPr>
        <w:t>本公司</w:t>
      </w:r>
      <w:r>
        <w:rPr>
          <w:rFonts w:hint="eastAsia" w:ascii="仿宋_GB2312" w:hAnsi="仿宋_GB2312" w:eastAsia="仿宋_GB2312" w:cs="仿宋_GB2312"/>
          <w:color w:val="auto"/>
          <w:sz w:val="32"/>
          <w:szCs w:val="32"/>
          <w:highlight w:val="none"/>
        </w:rPr>
        <w:t>本年度无合并、分立等重组事项。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rPr>
        <w:t>.会计报表主要项目注释</w:t>
      </w:r>
    </w:p>
    <w:tbl>
      <w:tblPr>
        <w:tblStyle w:val="8"/>
        <w:tblW w:w="9100" w:type="dxa"/>
        <w:tblInd w:w="0" w:type="dxa"/>
        <w:tblLayout w:type="fixed"/>
        <w:tblCellMar>
          <w:top w:w="0" w:type="dxa"/>
          <w:left w:w="108" w:type="dxa"/>
          <w:bottom w:w="0" w:type="dxa"/>
          <w:right w:w="108" w:type="dxa"/>
        </w:tblCellMar>
      </w:tblPr>
      <w:tblGrid>
        <w:gridCol w:w="9100"/>
      </w:tblGrid>
      <w:tr>
        <w:tblPrEx>
          <w:tblLayout w:type="fixed"/>
          <w:tblCellMar>
            <w:top w:w="0" w:type="dxa"/>
            <w:left w:w="108" w:type="dxa"/>
            <w:bottom w:w="0" w:type="dxa"/>
            <w:right w:w="108" w:type="dxa"/>
          </w:tblCellMar>
        </w:tblPrEx>
        <w:trPr>
          <w:trHeight w:val="4777" w:hRule="atLeast"/>
        </w:trPr>
        <w:tc>
          <w:tcPr>
            <w:tcW w:w="9100" w:type="dxa"/>
            <w:tcBorders>
              <w:top w:val="nil"/>
              <w:left w:val="nil"/>
              <w:bottom w:val="nil"/>
              <w:right w:val="nil"/>
            </w:tcBorders>
            <w:shd w:val="clear" w:color="auto" w:fill="FFFFFF"/>
            <w:vAlign w:val="bottom"/>
          </w:tcPr>
          <w:p>
            <w:pPr>
              <w:autoSpaceDE w:val="0"/>
              <w:autoSpaceDN w:val="0"/>
              <w:adjustRightInd w:val="0"/>
              <w:jc w:val="lef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1</w:t>
            </w:r>
            <w:r>
              <w:rPr>
                <w:rFonts w:hint="eastAsia" w:ascii="仿宋_GB2312" w:hAnsi="仿宋_GB2312" w:eastAsia="仿宋_GB2312" w:cs="仿宋_GB2312"/>
                <w:b/>
                <w:bCs/>
                <w:color w:val="000000"/>
                <w:kern w:val="0"/>
                <w:szCs w:val="21"/>
                <w:highlight w:val="none"/>
              </w:rPr>
              <w:t>)存放同业款项情况</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309" w:type="dxa"/>
              <w:tblInd w:w="-24" w:type="dxa"/>
              <w:tblLayout w:type="fixed"/>
              <w:tblCellMar>
                <w:top w:w="0" w:type="dxa"/>
                <w:left w:w="108" w:type="dxa"/>
                <w:bottom w:w="0" w:type="dxa"/>
                <w:right w:w="108" w:type="dxa"/>
              </w:tblCellMar>
            </w:tblPr>
            <w:tblGrid>
              <w:gridCol w:w="2268"/>
              <w:gridCol w:w="1985"/>
              <w:gridCol w:w="1276"/>
              <w:gridCol w:w="1417"/>
              <w:gridCol w:w="2363"/>
            </w:tblGrid>
            <w:tr>
              <w:tblPrEx>
                <w:tblLayout w:type="fixed"/>
                <w:tblCellMar>
                  <w:top w:w="0" w:type="dxa"/>
                  <w:left w:w="108" w:type="dxa"/>
                  <w:bottom w:w="0" w:type="dxa"/>
                  <w:right w:w="108" w:type="dxa"/>
                </w:tblCellMar>
              </w:tblPrEx>
              <w:trPr>
                <w:trHeight w:val="280" w:hRule="atLeast"/>
              </w:trPr>
              <w:tc>
                <w:tcPr>
                  <w:tcW w:w="2268" w:type="dxa"/>
                  <w:vMerge w:val="restart"/>
                  <w:tcBorders>
                    <w:top w:val="single" w:color="auto" w:sz="4" w:space="0"/>
                    <w:left w:val="single" w:color="auto" w:sz="0"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项目</w:t>
                  </w:r>
                </w:p>
              </w:tc>
              <w:tc>
                <w:tcPr>
                  <w:tcW w:w="3261" w:type="dxa"/>
                  <w:gridSpan w:val="2"/>
                  <w:tcBorders>
                    <w:top w:val="single" w:color="auto"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年初余额</w:t>
                  </w:r>
                </w:p>
              </w:tc>
              <w:tc>
                <w:tcPr>
                  <w:tcW w:w="3780" w:type="dxa"/>
                  <w:gridSpan w:val="2"/>
                  <w:tcBorders>
                    <w:top w:val="single" w:color="auto" w:sz="4" w:space="0"/>
                    <w:left w:val="dotted" w:color="000000" w:sz="4" w:space="0"/>
                    <w:bottom w:val="dotted" w:color="000000" w:sz="4" w:space="0"/>
                    <w:right w:val="single" w:color="auto" w:sz="4" w:space="0"/>
                  </w:tcBorders>
                  <w:vAlign w:val="top"/>
                </w:tcPr>
                <w:p>
                  <w:pPr>
                    <w:widowControl/>
                    <w:jc w:val="center"/>
                    <w:textAlignment w:val="top"/>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年末余额</w:t>
                  </w:r>
                </w:p>
              </w:tc>
            </w:tr>
            <w:tr>
              <w:tblPrEx>
                <w:tblLayout w:type="fixed"/>
                <w:tblCellMar>
                  <w:top w:w="0" w:type="dxa"/>
                  <w:left w:w="108" w:type="dxa"/>
                  <w:bottom w:w="0" w:type="dxa"/>
                  <w:right w:w="108" w:type="dxa"/>
                </w:tblCellMar>
              </w:tblPrEx>
              <w:trPr>
                <w:trHeight w:val="280" w:hRule="atLeast"/>
              </w:trPr>
              <w:tc>
                <w:tcPr>
                  <w:tcW w:w="2268" w:type="dxa"/>
                  <w:vMerge w:val="continue"/>
                  <w:tcBorders>
                    <w:top w:val="single" w:color="000000" w:sz="12" w:space="0"/>
                    <w:left w:val="single" w:color="auto" w:sz="4" w:space="0"/>
                    <w:bottom w:val="dotted" w:color="000000" w:sz="4" w:space="0"/>
                    <w:right w:val="dotted" w:color="000000" w:sz="4" w:space="0"/>
                  </w:tcBorders>
                  <w:vAlign w:val="center"/>
                </w:tcPr>
                <w:p>
                  <w:pPr>
                    <w:jc w:val="center"/>
                    <w:rPr>
                      <w:rFonts w:hint="eastAsia" w:ascii="仿宋_GB2312" w:hAnsi="仿宋_GB2312" w:eastAsia="仿宋_GB2312" w:cs="仿宋_GB2312"/>
                      <w:b/>
                      <w:bCs/>
                      <w:color w:val="000000"/>
                      <w:sz w:val="13"/>
                      <w:szCs w:val="13"/>
                      <w:highlight w:val="none"/>
                    </w:rPr>
                  </w:pPr>
                </w:p>
              </w:tc>
              <w:tc>
                <w:tcPr>
                  <w:tcW w:w="1985"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账面余额</w:t>
                  </w:r>
                </w:p>
              </w:tc>
              <w:tc>
                <w:tcPr>
                  <w:tcW w:w="1276"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减值准备</w:t>
                  </w:r>
                </w:p>
              </w:tc>
              <w:tc>
                <w:tcPr>
                  <w:tcW w:w="1417"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账面余额</w:t>
                  </w:r>
                </w:p>
              </w:tc>
              <w:tc>
                <w:tcPr>
                  <w:tcW w:w="2363" w:type="dxa"/>
                  <w:tcBorders>
                    <w:top w:val="dotted" w:color="000000" w:sz="4" w:space="0"/>
                    <w:left w:val="dotted" w:color="000000" w:sz="4" w:space="0"/>
                    <w:bottom w:val="dotted" w:color="000000" w:sz="4" w:space="0"/>
                    <w:right w:val="single" w:color="auto" w:sz="4" w:space="0"/>
                  </w:tcBorders>
                  <w:vAlign w:val="center"/>
                </w:tcPr>
                <w:p>
                  <w:pPr>
                    <w:widowControl/>
                    <w:ind w:firstLine="392" w:firstLineChars="300"/>
                    <w:jc w:val="left"/>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减值准备</w:t>
                  </w:r>
                </w:p>
              </w:tc>
            </w:tr>
            <w:tr>
              <w:tblPrEx>
                <w:tblLayout w:type="fixed"/>
                <w:tblCellMar>
                  <w:top w:w="0" w:type="dxa"/>
                  <w:left w:w="108" w:type="dxa"/>
                  <w:bottom w:w="0" w:type="dxa"/>
                  <w:right w:w="108" w:type="dxa"/>
                </w:tblCellMar>
              </w:tblPrEx>
              <w:trPr>
                <w:trHeight w:val="280" w:hRule="atLeast"/>
              </w:trPr>
              <w:tc>
                <w:tcPr>
                  <w:tcW w:w="2268" w:type="dxa"/>
                  <w:tcBorders>
                    <w:top w:val="dotted" w:color="000000"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存放国有商业银行款项</w:t>
                  </w:r>
                </w:p>
              </w:tc>
              <w:tc>
                <w:tcPr>
                  <w:tcW w:w="1985"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29,083,787.55</w:t>
                  </w:r>
                </w:p>
              </w:tc>
              <w:tc>
                <w:tcPr>
                  <w:tcW w:w="1276" w:type="dxa"/>
                  <w:tcBorders>
                    <w:top w:val="dotted" w:color="000000" w:sz="4" w:space="0"/>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30,356,788.00</w:t>
                  </w:r>
                </w:p>
              </w:tc>
              <w:tc>
                <w:tcPr>
                  <w:tcW w:w="2363" w:type="dxa"/>
                  <w:tcBorders>
                    <w:top w:val="dotted" w:color="000000" w:sz="4" w:space="0"/>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存放其他商业银行款项</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550,000,000.00</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550,000,000.00</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存放境外同业款项</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30,489.25</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31,358.04</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存放省联社清算款项</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408,902,670.75</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360,988,818.44</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存放省联社活期约期款项</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330,805.85</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204,526,778.25</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存放省联社一年期约期款项</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400,000,000.00</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250,000,000.00</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存放其他商业银行款项应计利息</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44,000.00</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76,000.00</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存放省联社清算款项应计利息</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29,018.09</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30,880.62</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存放省联社活期约期款项应计利息</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274,497.13</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71,992.19</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nil"/>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kern w:val="0"/>
                      <w:sz w:val="13"/>
                      <w:szCs w:val="13"/>
                      <w:highlight w:val="none"/>
                    </w:rPr>
                    <w:t>存放省联社一年期约期款应计利息</w:t>
                  </w:r>
                </w:p>
              </w:tc>
              <w:tc>
                <w:tcPr>
                  <w:tcW w:w="1985"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4,615,342.47</w:t>
                  </w:r>
                </w:p>
              </w:tc>
              <w:tc>
                <w:tcPr>
                  <w:tcW w:w="1276" w:type="dxa"/>
                  <w:tcBorders>
                    <w:top w:val="nil"/>
                    <w:left w:val="dotted" w:color="000000" w:sz="4" w:space="0"/>
                    <w:bottom w:val="dotted" w:color="000000" w:sz="4" w:space="0"/>
                    <w:right w:val="dotted" w:color="000000"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c>
                <w:tcPr>
                  <w:tcW w:w="1417" w:type="dxa"/>
                  <w:tcBorders>
                    <w:top w:val="nil"/>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color w:val="000000"/>
                      <w:kern w:val="0"/>
                      <w:sz w:val="13"/>
                      <w:szCs w:val="13"/>
                      <w:highlight w:val="none"/>
                    </w:rPr>
                  </w:pPr>
                  <w:r>
                    <w:rPr>
                      <w:rFonts w:hint="default" w:ascii="仿宋_GB2312" w:hAnsi="仿宋_GB2312" w:eastAsia="仿宋_GB2312" w:cs="仿宋_GB2312"/>
                      <w:color w:val="000000"/>
                      <w:kern w:val="0"/>
                      <w:sz w:val="13"/>
                      <w:szCs w:val="13"/>
                      <w:highlight w:val="none"/>
                      <w:lang w:val="en-US" w:eastAsia="zh-CN"/>
                    </w:rPr>
                    <w:t>2,434,931.51</w:t>
                  </w:r>
                </w:p>
              </w:tc>
              <w:tc>
                <w:tcPr>
                  <w:tcW w:w="2363" w:type="dxa"/>
                  <w:tcBorders>
                    <w:top w:val="nil"/>
                    <w:left w:val="dotted" w:color="000000" w:sz="4" w:space="0"/>
                    <w:bottom w:val="dotted" w:color="000000" w:sz="4" w:space="0"/>
                    <w:right w:val="single" w:color="auto" w:sz="4" w:space="0"/>
                  </w:tcBorders>
                  <w:vAlign w:val="top"/>
                </w:tcPr>
                <w:p>
                  <w:pPr>
                    <w:widowControl/>
                    <w:jc w:val="center"/>
                    <w:textAlignment w:val="center"/>
                    <w:rPr>
                      <w:rFonts w:hint="eastAsia" w:ascii="仿宋_GB2312" w:hAnsi="仿宋_GB2312" w:eastAsia="仿宋_GB2312" w:cs="仿宋_GB2312"/>
                      <w:color w:val="000000"/>
                      <w:kern w:val="0"/>
                      <w:sz w:val="13"/>
                      <w:szCs w:val="13"/>
                      <w:highlight w:val="none"/>
                    </w:rPr>
                  </w:pPr>
                </w:p>
              </w:tc>
            </w:tr>
            <w:tr>
              <w:tblPrEx>
                <w:tblLayout w:type="fixed"/>
                <w:tblCellMar>
                  <w:top w:w="0" w:type="dxa"/>
                  <w:left w:w="108" w:type="dxa"/>
                  <w:bottom w:w="0" w:type="dxa"/>
                  <w:right w:w="108" w:type="dxa"/>
                </w:tblCellMar>
              </w:tblPrEx>
              <w:trPr>
                <w:trHeight w:val="280" w:hRule="atLeast"/>
              </w:trPr>
              <w:tc>
                <w:tcPr>
                  <w:tcW w:w="2268" w:type="dxa"/>
                  <w:tcBorders>
                    <w:top w:val="dotted" w:color="000000"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合计</w:t>
                  </w:r>
                </w:p>
              </w:tc>
              <w:tc>
                <w:tcPr>
                  <w:tcW w:w="1985"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1,393,310,611.09</w:t>
                  </w:r>
                </w:p>
              </w:tc>
              <w:tc>
                <w:tcPr>
                  <w:tcW w:w="1276"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12,050,842.68</w:t>
                  </w:r>
                </w:p>
              </w:tc>
              <w:tc>
                <w:tcPr>
                  <w:tcW w:w="1417" w:type="dxa"/>
                  <w:tcBorders>
                    <w:top w:val="dotted" w:color="000000"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1,398,517,547.05</w:t>
                  </w:r>
                </w:p>
              </w:tc>
              <w:tc>
                <w:tcPr>
                  <w:tcW w:w="2363" w:type="dxa"/>
                  <w:tcBorders>
                    <w:top w:val="dotted" w:color="000000" w:sz="4" w:space="0"/>
                    <w:left w:val="dotted" w:color="000000" w:sz="4" w:space="0"/>
                    <w:bottom w:val="dotted" w:color="000000" w:sz="4" w:space="0"/>
                    <w:right w:val="single" w:color="auto" w:sz="4" w:space="0"/>
                  </w:tcBorders>
                  <w:vAlign w:val="center"/>
                </w:tcPr>
                <w:p>
                  <w:pPr>
                    <w:widowControl/>
                    <w:ind w:firstLine="261" w:firstLineChars="200"/>
                    <w:jc w:val="both"/>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7,518,384.31</w:t>
                  </w:r>
                </w:p>
              </w:tc>
            </w:tr>
            <w:tr>
              <w:tblPrEx>
                <w:tblLayout w:type="fixed"/>
                <w:tblCellMar>
                  <w:top w:w="0" w:type="dxa"/>
                  <w:left w:w="108" w:type="dxa"/>
                  <w:bottom w:w="0" w:type="dxa"/>
                  <w:right w:w="108" w:type="dxa"/>
                </w:tblCellMar>
              </w:tblPrEx>
              <w:trPr>
                <w:trHeight w:val="280" w:hRule="atLeast"/>
              </w:trPr>
              <w:tc>
                <w:tcPr>
                  <w:tcW w:w="2268" w:type="dxa"/>
                  <w:tcBorders>
                    <w:top w:val="dotted" w:color="000000" w:sz="4" w:space="0"/>
                    <w:left w:val="single" w:color="auto" w:sz="4" w:space="0"/>
                    <w:bottom w:val="single" w:color="auto"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存放同业款项净值</w:t>
                  </w:r>
                </w:p>
              </w:tc>
              <w:tc>
                <w:tcPr>
                  <w:tcW w:w="1985" w:type="dxa"/>
                  <w:tcBorders>
                    <w:top w:val="dotted" w:color="000000" w:sz="4" w:space="0"/>
                    <w:left w:val="dotted" w:color="000000" w:sz="4" w:space="0"/>
                    <w:bottom w:val="single" w:color="auto"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1,381,259,768.41</w:t>
                  </w:r>
                </w:p>
              </w:tc>
              <w:tc>
                <w:tcPr>
                  <w:tcW w:w="1276" w:type="dxa"/>
                  <w:tcBorders>
                    <w:top w:val="dotted" w:color="000000" w:sz="4" w:space="0"/>
                    <w:left w:val="dotted" w:color="000000" w:sz="4" w:space="0"/>
                    <w:bottom w:val="single" w:color="auto"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p>
              </w:tc>
              <w:tc>
                <w:tcPr>
                  <w:tcW w:w="1417" w:type="dxa"/>
                  <w:tcBorders>
                    <w:top w:val="dotted" w:color="000000" w:sz="4" w:space="0"/>
                    <w:left w:val="dotted" w:color="000000" w:sz="4" w:space="0"/>
                    <w:bottom w:val="single" w:color="auto"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r>
                    <w:rPr>
                      <w:rFonts w:hint="default" w:ascii="仿宋_GB2312" w:hAnsi="仿宋_GB2312" w:eastAsia="仿宋_GB2312" w:cs="仿宋_GB2312"/>
                      <w:b/>
                      <w:bCs/>
                      <w:color w:val="000000"/>
                      <w:kern w:val="0"/>
                      <w:sz w:val="13"/>
                      <w:szCs w:val="13"/>
                      <w:highlight w:val="none"/>
                      <w:lang w:val="en-US" w:eastAsia="zh-CN"/>
                    </w:rPr>
                    <w:t>1,390,999,162.74</w:t>
                  </w:r>
                </w:p>
              </w:tc>
              <w:tc>
                <w:tcPr>
                  <w:tcW w:w="2363" w:type="dxa"/>
                  <w:tcBorders>
                    <w:top w:val="dotted" w:color="000000" w:sz="4" w:space="0"/>
                    <w:left w:val="dotted" w:color="000000"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b/>
                      <w:bCs/>
                      <w:color w:val="000000"/>
                      <w:kern w:val="0"/>
                      <w:sz w:val="13"/>
                      <w:szCs w:val="13"/>
                      <w:highlight w:val="none"/>
                    </w:rPr>
                  </w:pPr>
                </w:p>
              </w:tc>
            </w:tr>
          </w:tbl>
          <w:p>
            <w:pPr>
              <w:widowControl/>
              <w:spacing w:line="520" w:lineRule="exact"/>
              <w:jc w:val="center"/>
              <w:rPr>
                <w:rFonts w:ascii="仿宋" w:hAnsi="仿宋" w:eastAsia="仿宋" w:cs="仿宋"/>
                <w:color w:val="000000"/>
                <w:kern w:val="0"/>
                <w:sz w:val="13"/>
                <w:szCs w:val="13"/>
                <w:highlight w:val="none"/>
              </w:rPr>
            </w:pPr>
          </w:p>
        </w:tc>
      </w:tr>
      <w:tr>
        <w:tblPrEx>
          <w:tblLayout w:type="fixed"/>
          <w:tblCellMar>
            <w:top w:w="0" w:type="dxa"/>
            <w:left w:w="108" w:type="dxa"/>
            <w:bottom w:w="0" w:type="dxa"/>
            <w:right w:w="108" w:type="dxa"/>
          </w:tblCellMar>
        </w:tblPrEx>
        <w:trPr>
          <w:trHeight w:val="3627" w:hRule="atLeast"/>
        </w:trPr>
        <w:tc>
          <w:tcPr>
            <w:tcW w:w="9100" w:type="dxa"/>
            <w:tcBorders>
              <w:top w:val="nil"/>
              <w:left w:val="nil"/>
              <w:bottom w:val="nil"/>
              <w:right w:val="nil"/>
            </w:tcBorders>
            <w:vAlign w:val="center"/>
          </w:tcPr>
          <w:p>
            <w:pPr>
              <w:spacing w:line="480" w:lineRule="exac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2</w:t>
            </w:r>
            <w:r>
              <w:rPr>
                <w:rFonts w:hint="eastAsia" w:ascii="仿宋_GB2312" w:hAnsi="仿宋_GB2312" w:eastAsia="仿宋_GB2312" w:cs="仿宋_GB2312"/>
                <w:b/>
                <w:bCs/>
                <w:color w:val="000000"/>
                <w:kern w:val="0"/>
                <w:szCs w:val="21"/>
                <w:highlight w:val="none"/>
              </w:rPr>
              <w:t>)拆出资金</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452" w:type="dxa"/>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2560"/>
              <w:gridCol w:w="1275"/>
              <w:gridCol w:w="1294"/>
              <w:gridCol w:w="1513"/>
              <w:gridCol w:w="2810"/>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22" w:hRule="atLeast"/>
              </w:trPr>
              <w:tc>
                <w:tcPr>
                  <w:tcW w:w="2560"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项目</w:t>
                  </w:r>
                </w:p>
              </w:tc>
              <w:tc>
                <w:tcPr>
                  <w:tcW w:w="1275"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年初余额</w:t>
                  </w:r>
                </w:p>
              </w:tc>
              <w:tc>
                <w:tcPr>
                  <w:tcW w:w="1294"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本年增加额</w:t>
                  </w:r>
                </w:p>
              </w:tc>
              <w:tc>
                <w:tcPr>
                  <w:tcW w:w="15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本年减少额</w:t>
                  </w:r>
                </w:p>
              </w:tc>
              <w:tc>
                <w:tcPr>
                  <w:tcW w:w="2810" w:type="dxa"/>
                  <w:tcBorders>
                    <w:tl2br w:val="nil"/>
                    <w:tr2bl w:val="nil"/>
                  </w:tcBorders>
                  <w:vAlign w:val="center"/>
                </w:tcPr>
                <w:p>
                  <w:pPr>
                    <w:keepNext w:val="0"/>
                    <w:keepLines w:val="0"/>
                    <w:widowControl/>
                    <w:suppressLineNumbers w:val="0"/>
                    <w:ind w:firstLine="552" w:firstLineChars="500"/>
                    <w:jc w:val="both"/>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年末余额</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拆放境内非银行机构款项</w:t>
                  </w:r>
                </w:p>
              </w:tc>
              <w:tc>
                <w:tcPr>
                  <w:tcW w:w="1275"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800,000,000.00</w:t>
                  </w: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lang w:val="en-US" w:eastAsia="zh-CN"/>
                    </w:rPr>
                  </w:pPr>
                  <w:r>
                    <w:rPr>
                      <w:rFonts w:hint="eastAsia" w:ascii="仿宋" w:hAnsi="仿宋" w:eastAsia="仿宋" w:cs="仿宋"/>
                      <w:i w:val="0"/>
                      <w:iCs w:val="0"/>
                      <w:color w:val="000000"/>
                      <w:sz w:val="11"/>
                      <w:szCs w:val="11"/>
                      <w:highlight w:val="none"/>
                      <w:u w:val="none"/>
                      <w:lang w:val="en-US" w:eastAsia="zh-CN"/>
                    </w:rPr>
                    <w:t>20,520,000,000.00</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20,680,000,000.00</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640,000,000.00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拆放境内银行业非存款类金融机构款项</w:t>
                  </w:r>
                </w:p>
              </w:tc>
              <w:tc>
                <w:tcPr>
                  <w:tcW w:w="1275" w:type="dxa"/>
                  <w:tcBorders>
                    <w:tl2br w:val="nil"/>
                    <w:tr2bl w:val="nil"/>
                  </w:tcBorders>
                  <w:vAlign w:val="center"/>
                </w:tcPr>
                <w:p>
                  <w:pPr>
                    <w:jc w:val="left"/>
                    <w:rPr>
                      <w:rFonts w:hint="eastAsia" w:ascii="仿宋" w:hAnsi="仿宋" w:eastAsia="仿宋" w:cs="仿宋"/>
                      <w:i w:val="0"/>
                      <w:iCs w:val="0"/>
                      <w:color w:val="000000"/>
                      <w:sz w:val="11"/>
                      <w:szCs w:val="11"/>
                      <w:highlight w:val="none"/>
                      <w:u w:val="none"/>
                    </w:rPr>
                  </w:pPr>
                </w:p>
              </w:tc>
              <w:tc>
                <w:tcPr>
                  <w:tcW w:w="1294" w:type="dxa"/>
                  <w:tcBorders>
                    <w:tl2br w:val="nil"/>
                    <w:tr2bl w:val="nil"/>
                  </w:tcBorders>
                  <w:vAlign w:val="center"/>
                </w:tcPr>
                <w:p>
                  <w:pPr>
                    <w:jc w:val="left"/>
                    <w:rPr>
                      <w:rFonts w:hint="eastAsia" w:ascii="仿宋" w:hAnsi="仿宋" w:eastAsia="仿宋" w:cs="仿宋"/>
                      <w:i w:val="0"/>
                      <w:iCs w:val="0"/>
                      <w:color w:val="000000"/>
                      <w:sz w:val="11"/>
                      <w:szCs w:val="11"/>
                      <w:highlight w:val="none"/>
                      <w:u w:val="none"/>
                      <w:lang w:val="en-US" w:eastAsia="zh-CN"/>
                    </w:rPr>
                  </w:pPr>
                  <w:r>
                    <w:rPr>
                      <w:rFonts w:hint="eastAsia" w:ascii="仿宋" w:hAnsi="仿宋" w:eastAsia="仿宋" w:cs="仿宋"/>
                      <w:i w:val="0"/>
                      <w:iCs w:val="0"/>
                      <w:color w:val="000000"/>
                      <w:sz w:val="11"/>
                      <w:szCs w:val="11"/>
                      <w:highlight w:val="none"/>
                      <w:u w:val="none"/>
                      <w:lang w:val="en-US" w:eastAsia="zh-CN"/>
                    </w:rPr>
                    <w:t>6,840,000,000.00</w:t>
                  </w:r>
                </w:p>
              </w:tc>
              <w:tc>
                <w:tcPr>
                  <w:tcW w:w="1513" w:type="dxa"/>
                  <w:tcBorders>
                    <w:tl2br w:val="nil"/>
                    <w:tr2bl w:val="nil"/>
                  </w:tcBorders>
                  <w:vAlign w:val="center"/>
                </w:tcPr>
                <w:p>
                  <w:pPr>
                    <w:jc w:val="left"/>
                    <w:rPr>
                      <w:rFonts w:hint="eastAsia" w:ascii="仿宋" w:hAnsi="仿宋" w:eastAsia="仿宋" w:cs="仿宋"/>
                      <w:i w:val="0"/>
                      <w:iCs w:val="0"/>
                      <w:color w:val="000000"/>
                      <w:sz w:val="11"/>
                      <w:szCs w:val="11"/>
                      <w:highlight w:val="none"/>
                      <w:u w:val="none"/>
                      <w:lang w:val="en-US" w:eastAsia="zh-CN"/>
                    </w:rPr>
                  </w:pPr>
                  <w:r>
                    <w:rPr>
                      <w:rFonts w:hint="eastAsia" w:ascii="仿宋" w:hAnsi="仿宋" w:eastAsia="仿宋" w:cs="仿宋"/>
                      <w:i w:val="0"/>
                      <w:iCs w:val="0"/>
                      <w:color w:val="000000"/>
                      <w:sz w:val="11"/>
                      <w:szCs w:val="11"/>
                      <w:highlight w:val="none"/>
                      <w:u w:val="none"/>
                      <w:lang w:val="en-US" w:eastAsia="zh-CN"/>
                    </w:rPr>
                    <w:t>6,040,000,000.00</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800,000,000.00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拆放境内非银行机构款项应计利息</w:t>
                  </w:r>
                </w:p>
              </w:tc>
              <w:tc>
                <w:tcPr>
                  <w:tcW w:w="1275"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1,484,694.45</w:t>
                  </w: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12,150,654.22</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13,521,526.44</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113,822.23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360"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拆放境内银行业非存款类金融机构款项应计利息</w:t>
                  </w:r>
                </w:p>
              </w:tc>
              <w:tc>
                <w:tcPr>
                  <w:tcW w:w="1275" w:type="dxa"/>
                  <w:tcBorders>
                    <w:tl2br w:val="nil"/>
                    <w:tr2bl w:val="nil"/>
                  </w:tcBorders>
                  <w:vAlign w:val="center"/>
                </w:tcPr>
                <w:p>
                  <w:pPr>
                    <w:jc w:val="left"/>
                    <w:rPr>
                      <w:rFonts w:hint="eastAsia" w:ascii="仿宋" w:hAnsi="仿宋" w:eastAsia="仿宋" w:cs="仿宋"/>
                      <w:b/>
                      <w:bCs/>
                      <w:i w:val="0"/>
                      <w:iCs w:val="0"/>
                      <w:color w:val="000000"/>
                      <w:sz w:val="11"/>
                      <w:szCs w:val="11"/>
                      <w:u w:val="none"/>
                    </w:rPr>
                  </w:pP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14,693,219.38</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10,344,125.01</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4,349,094.37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377"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小计</w:t>
                  </w:r>
                </w:p>
              </w:tc>
              <w:tc>
                <w:tcPr>
                  <w:tcW w:w="1275"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801,484,694.45</w:t>
                  </w: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27,386,843,873.60</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26,743,865,651.45</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1,444,462,916.60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拆放款项坏账准备</w:t>
                  </w:r>
                </w:p>
              </w:tc>
              <w:tc>
                <w:tcPr>
                  <w:tcW w:w="1275"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2,763,328.42</w:t>
                  </w: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73,258,516.70</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67,892,863.12</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u w:val="none"/>
                    </w:rPr>
                  </w:pPr>
                  <w:r>
                    <w:rPr>
                      <w:rFonts w:hint="eastAsia" w:ascii="仿宋" w:hAnsi="仿宋" w:eastAsia="仿宋" w:cs="仿宋"/>
                      <w:i w:val="0"/>
                      <w:iCs w:val="0"/>
                      <w:color w:val="000000"/>
                      <w:kern w:val="0"/>
                      <w:sz w:val="11"/>
                      <w:szCs w:val="11"/>
                      <w:u w:val="none"/>
                      <w:lang w:val="en-US" w:eastAsia="zh-CN" w:bidi="ar"/>
                    </w:rPr>
                    <w:t>8,128,982.00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02" w:hRule="atLeast"/>
              </w:trPr>
              <w:tc>
                <w:tcPr>
                  <w:tcW w:w="256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拆出资金余额</w:t>
                  </w:r>
                </w:p>
              </w:tc>
              <w:tc>
                <w:tcPr>
                  <w:tcW w:w="1275"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798,721,366.03</w:t>
                  </w:r>
                </w:p>
              </w:tc>
              <w:tc>
                <w:tcPr>
                  <w:tcW w:w="1294"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27,313,585,356.90</w:t>
                  </w:r>
                </w:p>
              </w:tc>
              <w:tc>
                <w:tcPr>
                  <w:tcW w:w="151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26,675,972,788.33</w:t>
                  </w:r>
                </w:p>
              </w:tc>
              <w:tc>
                <w:tcPr>
                  <w:tcW w:w="2810"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u w:val="none"/>
                    </w:rPr>
                  </w:pPr>
                  <w:r>
                    <w:rPr>
                      <w:rFonts w:hint="eastAsia" w:ascii="仿宋" w:hAnsi="仿宋" w:eastAsia="仿宋" w:cs="仿宋"/>
                      <w:b/>
                      <w:bCs/>
                      <w:i w:val="0"/>
                      <w:iCs w:val="0"/>
                      <w:color w:val="000000"/>
                      <w:kern w:val="0"/>
                      <w:sz w:val="11"/>
                      <w:szCs w:val="11"/>
                      <w:u w:val="none"/>
                      <w:lang w:val="en-US" w:eastAsia="zh-CN" w:bidi="ar"/>
                    </w:rPr>
                    <w:t>1,436,333,934.60</w:t>
                  </w:r>
                </w:p>
              </w:tc>
            </w:tr>
          </w:tbl>
          <w:p>
            <w:pPr>
              <w:autoSpaceDE w:val="0"/>
              <w:autoSpaceDN w:val="0"/>
              <w:adjustRightInd w:val="0"/>
              <w:jc w:val="left"/>
              <w:rPr>
                <w:rFonts w:ascii="仿宋" w:hAnsi="仿宋" w:eastAsia="仿宋" w:cs="仿宋"/>
                <w:color w:val="000000"/>
                <w:kern w:val="0"/>
                <w:szCs w:val="21"/>
                <w:highlight w:val="none"/>
              </w:rPr>
            </w:pPr>
          </w:p>
        </w:tc>
      </w:tr>
    </w:tbl>
    <w:p>
      <w:pPr>
        <w:spacing w:line="480" w:lineRule="exact"/>
        <w:rPr>
          <w:rFonts w:hint="eastAsia" w:ascii="仿宋_GB2312" w:hAnsi="仿宋_GB2312" w:eastAsia="仿宋_GB2312" w:cs="仿宋_GB2312"/>
          <w:b/>
          <w:bCs/>
          <w:color w:val="000000"/>
          <w:kern w:val="0"/>
          <w:szCs w:val="21"/>
          <w:highlight w:val="none"/>
          <w:lang w:val="en-US" w:eastAsia="zh-CN"/>
        </w:rPr>
      </w:pPr>
      <w:r>
        <w:rPr>
          <w:rFonts w:hint="eastAsia" w:ascii="仿宋_GB2312" w:hAnsi="仿宋_GB2312" w:eastAsia="仿宋_GB2312" w:cs="仿宋_GB2312"/>
          <w:b/>
          <w:bCs/>
          <w:color w:val="000000"/>
          <w:kern w:val="0"/>
          <w:szCs w:val="21"/>
          <w:highlight w:val="none"/>
        </w:rPr>
        <w:t>(3)贷款按担保方式分类</w:t>
      </w:r>
      <w:r>
        <w:rPr>
          <w:rFonts w:hint="eastAsia" w:ascii="仿宋_GB2312" w:hAnsi="仿宋_GB2312" w:eastAsia="仿宋_GB2312" w:cs="仿宋_GB2312"/>
          <w:b/>
          <w:bCs/>
          <w:color w:val="000000"/>
          <w:kern w:val="0"/>
          <w:szCs w:val="21"/>
          <w:highlight w:val="none"/>
          <w:lang w:val="en-US" w:eastAsia="zh-CN"/>
        </w:rPr>
        <w:t xml:space="preserve">                                       </w:t>
      </w:r>
      <w:r>
        <w:rPr>
          <w:rFonts w:hint="eastAsia" w:ascii="仿宋_GB2312" w:hAnsi="仿宋_GB2312" w:eastAsia="仿宋_GB2312" w:cs="仿宋_GB2312"/>
          <w:b/>
          <w:bCs/>
          <w:color w:val="000000"/>
          <w:kern w:val="0"/>
          <w:szCs w:val="21"/>
          <w:highlight w:val="none"/>
        </w:rPr>
        <w:t>金额单位：人民币/元</w:t>
      </w:r>
    </w:p>
    <w:tbl>
      <w:tblPr>
        <w:tblStyle w:val="8"/>
        <w:tblW w:w="9260" w:type="dxa"/>
        <w:tblInd w:w="0" w:type="dxa"/>
        <w:tblLayout w:type="fixed"/>
        <w:tblCellMar>
          <w:top w:w="0" w:type="dxa"/>
          <w:left w:w="108" w:type="dxa"/>
          <w:bottom w:w="0" w:type="dxa"/>
          <w:right w:w="108" w:type="dxa"/>
        </w:tblCellMar>
      </w:tblPr>
      <w:tblGrid>
        <w:gridCol w:w="3025"/>
        <w:gridCol w:w="3318"/>
        <w:gridCol w:w="2917"/>
      </w:tblGrid>
      <w:tr>
        <w:tblPrEx>
          <w:tblLayout w:type="fixed"/>
          <w:tblCellMar>
            <w:top w:w="0" w:type="dxa"/>
            <w:left w:w="108" w:type="dxa"/>
            <w:bottom w:w="0" w:type="dxa"/>
            <w:right w:w="108" w:type="dxa"/>
          </w:tblCellMar>
        </w:tblPrEx>
        <w:trPr>
          <w:trHeight w:val="441" w:hRule="atLeast"/>
        </w:trPr>
        <w:tc>
          <w:tcPr>
            <w:tcW w:w="30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仿宋_GB2312" w:hAnsi="仿宋_GB2312" w:eastAsia="仿宋_GB2312" w:cs="仿宋_GB2312"/>
                <w:b/>
                <w:color w:val="000000"/>
                <w:kern w:val="0"/>
                <w:sz w:val="21"/>
                <w:szCs w:val="21"/>
                <w:highlight w:val="none"/>
              </w:rPr>
            </w:pPr>
            <w:r>
              <w:rPr>
                <w:rFonts w:hint="eastAsia" w:ascii="仿宋_GB2312" w:hAnsi="仿宋_GB2312" w:eastAsia="仿宋_GB2312" w:cs="仿宋_GB2312"/>
                <w:b/>
                <w:color w:val="000000"/>
                <w:kern w:val="0"/>
                <w:sz w:val="21"/>
                <w:szCs w:val="21"/>
                <w:highlight w:val="none"/>
              </w:rPr>
              <w:t>项目</w:t>
            </w:r>
          </w:p>
        </w:tc>
        <w:tc>
          <w:tcPr>
            <w:tcW w:w="331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b/>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期初余额</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b/>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期末余额</w:t>
            </w:r>
          </w:p>
        </w:tc>
      </w:tr>
      <w:tr>
        <w:tblPrEx>
          <w:tblLayout w:type="fixed"/>
          <w:tblCellMar>
            <w:top w:w="0" w:type="dxa"/>
            <w:left w:w="108" w:type="dxa"/>
            <w:bottom w:w="0" w:type="dxa"/>
            <w:right w:w="108" w:type="dxa"/>
          </w:tblCellMar>
        </w:tblPrEx>
        <w:trPr>
          <w:trHeight w:val="435" w:hRule="exact"/>
        </w:trPr>
        <w:tc>
          <w:tcPr>
            <w:tcW w:w="3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信用贷款</w:t>
            </w:r>
          </w:p>
        </w:tc>
        <w:tc>
          <w:tcPr>
            <w:tcW w:w="331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7</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815</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824</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387.77</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9,697,636,443.53</w:t>
            </w:r>
          </w:p>
        </w:tc>
      </w:tr>
      <w:tr>
        <w:tblPrEx>
          <w:tblLayout w:type="fixed"/>
          <w:tblCellMar>
            <w:top w:w="0" w:type="dxa"/>
            <w:left w:w="108" w:type="dxa"/>
            <w:bottom w:w="0" w:type="dxa"/>
            <w:right w:w="108" w:type="dxa"/>
          </w:tblCellMar>
        </w:tblPrEx>
        <w:trPr>
          <w:trHeight w:val="416" w:hRule="exact"/>
        </w:trPr>
        <w:tc>
          <w:tcPr>
            <w:tcW w:w="3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保证贷款</w:t>
            </w:r>
          </w:p>
        </w:tc>
        <w:tc>
          <w:tcPr>
            <w:tcW w:w="331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3</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591</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390</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871.99</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3,590,591,966.15</w:t>
            </w:r>
          </w:p>
        </w:tc>
      </w:tr>
      <w:tr>
        <w:tblPrEx>
          <w:tblLayout w:type="fixed"/>
          <w:tblCellMar>
            <w:top w:w="0" w:type="dxa"/>
            <w:left w:w="108" w:type="dxa"/>
            <w:bottom w:w="0" w:type="dxa"/>
            <w:right w:w="108" w:type="dxa"/>
          </w:tblCellMar>
        </w:tblPrEx>
        <w:trPr>
          <w:trHeight w:val="426" w:hRule="exact"/>
        </w:trPr>
        <w:tc>
          <w:tcPr>
            <w:tcW w:w="302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抵押贷款</w:t>
            </w:r>
          </w:p>
        </w:tc>
        <w:tc>
          <w:tcPr>
            <w:tcW w:w="331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665</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290</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725.53</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10,550,065,348.21</w:t>
            </w:r>
          </w:p>
        </w:tc>
      </w:tr>
      <w:tr>
        <w:tblPrEx>
          <w:tblLayout w:type="fixed"/>
          <w:tblCellMar>
            <w:top w:w="0" w:type="dxa"/>
            <w:left w:w="108" w:type="dxa"/>
            <w:bottom w:w="0" w:type="dxa"/>
            <w:right w:w="108" w:type="dxa"/>
          </w:tblCellMar>
        </w:tblPrEx>
        <w:trPr>
          <w:trHeight w:val="399" w:hRule="exact"/>
        </w:trPr>
        <w:tc>
          <w:tcPr>
            <w:tcW w:w="302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质押贷款</w:t>
            </w:r>
          </w:p>
        </w:tc>
        <w:tc>
          <w:tcPr>
            <w:tcW w:w="331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776</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257</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val="en-US" w:eastAsia="zh-CN"/>
              </w:rPr>
              <w:t>921.62</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539,270,307.32</w:t>
            </w:r>
          </w:p>
        </w:tc>
      </w:tr>
    </w:tbl>
    <w:p>
      <w:pPr>
        <w:spacing w:line="400" w:lineRule="exac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4</w:t>
      </w:r>
      <w:r>
        <w:rPr>
          <w:rFonts w:hint="eastAsia" w:ascii="仿宋_GB2312" w:hAnsi="仿宋_GB2312" w:eastAsia="仿宋_GB2312" w:cs="仿宋_GB2312"/>
          <w:b/>
          <w:bCs/>
          <w:color w:val="000000"/>
          <w:kern w:val="0"/>
          <w:szCs w:val="21"/>
          <w:highlight w:val="none"/>
        </w:rPr>
        <w:t>)贷款</w:t>
      </w:r>
      <w:r>
        <w:rPr>
          <w:rFonts w:hint="eastAsia" w:ascii="仿宋_GB2312" w:hAnsi="仿宋_GB2312" w:eastAsia="仿宋_GB2312" w:cs="仿宋_GB2312"/>
          <w:b/>
          <w:bCs/>
          <w:color w:val="000000"/>
          <w:kern w:val="0"/>
          <w:szCs w:val="21"/>
          <w:highlight w:val="none"/>
          <w:lang w:eastAsia="zh-CN"/>
        </w:rPr>
        <w:t>损失</w:t>
      </w:r>
      <w:r>
        <w:rPr>
          <w:rFonts w:hint="eastAsia" w:ascii="仿宋_GB2312" w:hAnsi="仿宋_GB2312" w:eastAsia="仿宋_GB2312" w:cs="仿宋_GB2312"/>
          <w:b/>
          <w:bCs/>
          <w:color w:val="000000"/>
          <w:kern w:val="0"/>
          <w:szCs w:val="21"/>
          <w:highlight w:val="none"/>
        </w:rPr>
        <w:t>准备</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311" w:type="dxa"/>
        <w:tblInd w:w="0" w:type="dxa"/>
        <w:tblLayout w:type="fixed"/>
        <w:tblCellMar>
          <w:top w:w="0" w:type="dxa"/>
          <w:left w:w="108" w:type="dxa"/>
          <w:bottom w:w="0" w:type="dxa"/>
          <w:right w:w="108" w:type="dxa"/>
        </w:tblCellMar>
      </w:tblPr>
      <w:tblGrid>
        <w:gridCol w:w="1671"/>
        <w:gridCol w:w="1910"/>
        <w:gridCol w:w="1910"/>
        <w:gridCol w:w="1910"/>
        <w:gridCol w:w="1910"/>
      </w:tblGrid>
      <w:tr>
        <w:tblPrEx>
          <w:tblLayout w:type="fixed"/>
          <w:tblCellMar>
            <w:top w:w="0" w:type="dxa"/>
            <w:left w:w="108" w:type="dxa"/>
            <w:bottom w:w="0" w:type="dxa"/>
            <w:right w:w="108" w:type="dxa"/>
          </w:tblCellMar>
        </w:tblPrEx>
        <w:trPr>
          <w:trHeight w:val="285" w:hRule="atLeast"/>
        </w:trPr>
        <w:tc>
          <w:tcPr>
            <w:tcW w:w="1671" w:type="dxa"/>
            <w:tcBorders>
              <w:top w:val="single" w:color="auto" w:sz="4" w:space="0"/>
              <w:left w:val="single" w:color="auto"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项目</w:t>
            </w:r>
          </w:p>
        </w:tc>
        <w:tc>
          <w:tcPr>
            <w:tcW w:w="1910" w:type="dxa"/>
            <w:tcBorders>
              <w:top w:val="single" w:color="auto" w:sz="4" w:space="0"/>
              <w:left w:val="dotted" w:color="000000"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年初余额</w:t>
            </w:r>
          </w:p>
        </w:tc>
        <w:tc>
          <w:tcPr>
            <w:tcW w:w="1910" w:type="dxa"/>
            <w:tcBorders>
              <w:top w:val="single" w:color="auto" w:sz="4" w:space="0"/>
              <w:left w:val="dotted" w:color="000000"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本年增加</w:t>
            </w:r>
          </w:p>
        </w:tc>
        <w:tc>
          <w:tcPr>
            <w:tcW w:w="1910" w:type="dxa"/>
            <w:tcBorders>
              <w:top w:val="single" w:color="auto" w:sz="4" w:space="0"/>
              <w:left w:val="dotted" w:color="000000"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本年减少</w:t>
            </w:r>
          </w:p>
        </w:tc>
        <w:tc>
          <w:tcPr>
            <w:tcW w:w="1910" w:type="dxa"/>
            <w:tcBorders>
              <w:top w:val="single" w:color="auto" w:sz="4" w:space="0"/>
              <w:left w:val="dotted" w:color="000000" w:sz="4" w:space="0"/>
              <w:bottom w:val="dotted" w:color="000000" w:sz="4" w:space="0"/>
              <w:right w:val="single" w:color="auto"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年末余额</w:t>
            </w:r>
          </w:p>
        </w:tc>
      </w:tr>
      <w:tr>
        <w:tblPrEx>
          <w:tblLayout w:type="fixed"/>
          <w:tblCellMar>
            <w:top w:w="0" w:type="dxa"/>
            <w:left w:w="108" w:type="dxa"/>
            <w:bottom w:w="0" w:type="dxa"/>
            <w:right w:w="108" w:type="dxa"/>
          </w:tblCellMar>
        </w:tblPrEx>
        <w:trPr>
          <w:trHeight w:val="270" w:hRule="atLeast"/>
        </w:trPr>
        <w:tc>
          <w:tcPr>
            <w:tcW w:w="1671"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贷款</w:t>
            </w:r>
            <w:r>
              <w:rPr>
                <w:rFonts w:hint="eastAsia" w:ascii="仿宋_GB2312" w:hAnsi="仿宋_GB2312" w:eastAsia="仿宋_GB2312" w:cs="仿宋_GB2312"/>
                <w:color w:val="000000"/>
                <w:kern w:val="0"/>
                <w:sz w:val="21"/>
                <w:szCs w:val="21"/>
                <w:highlight w:val="none"/>
                <w:lang w:eastAsia="zh-CN"/>
              </w:rPr>
              <w:t>损失</w:t>
            </w:r>
            <w:r>
              <w:rPr>
                <w:rFonts w:hint="eastAsia" w:ascii="仿宋_GB2312" w:hAnsi="仿宋_GB2312" w:eastAsia="仿宋_GB2312" w:cs="仿宋_GB2312"/>
                <w:color w:val="000000"/>
                <w:kern w:val="0"/>
                <w:sz w:val="21"/>
                <w:szCs w:val="21"/>
                <w:highlight w:val="none"/>
              </w:rPr>
              <w:t>准备</w:t>
            </w:r>
          </w:p>
        </w:tc>
        <w:tc>
          <w:tcPr>
            <w:tcW w:w="1910" w:type="dxa"/>
            <w:tcBorders>
              <w:top w:val="dotted" w:color="000000" w:sz="4" w:space="0"/>
              <w:left w:val="dotted" w:color="000000" w:sz="4" w:space="0"/>
              <w:bottom w:val="dotted" w:color="000000"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18"/>
                <w:szCs w:val="18"/>
                <w:highlight w:val="none"/>
                <w:u w:val="none"/>
                <w:lang w:val="en-US" w:eastAsia="zh-CN" w:bidi="ar"/>
              </w:rPr>
              <w:t>1,093,265,386.16</w:t>
            </w:r>
          </w:p>
        </w:tc>
        <w:tc>
          <w:tcPr>
            <w:tcW w:w="1910" w:type="dxa"/>
            <w:tcBorders>
              <w:top w:val="dotted" w:color="000000" w:sz="4" w:space="0"/>
              <w:left w:val="dotted" w:color="000000" w:sz="4" w:space="0"/>
              <w:bottom w:val="dotted" w:color="000000"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18"/>
                <w:szCs w:val="18"/>
                <w:highlight w:val="none"/>
                <w:u w:val="none"/>
                <w:lang w:val="en-US" w:eastAsia="zh-CN" w:bidi="ar"/>
              </w:rPr>
              <w:t>2,022,100,348.03</w:t>
            </w:r>
          </w:p>
        </w:tc>
        <w:tc>
          <w:tcPr>
            <w:tcW w:w="1910" w:type="dxa"/>
            <w:tcBorders>
              <w:top w:val="dotted" w:color="000000" w:sz="4" w:space="0"/>
              <w:left w:val="dotted" w:color="000000" w:sz="4" w:space="0"/>
              <w:bottom w:val="dotted" w:color="000000"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18"/>
                <w:szCs w:val="18"/>
                <w:highlight w:val="none"/>
                <w:u w:val="none"/>
                <w:lang w:val="en-US" w:eastAsia="zh-CN" w:bidi="ar"/>
              </w:rPr>
              <w:t>2,025,300,028.30</w:t>
            </w:r>
          </w:p>
        </w:tc>
        <w:tc>
          <w:tcPr>
            <w:tcW w:w="1910"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18"/>
                <w:szCs w:val="18"/>
                <w:highlight w:val="none"/>
                <w:u w:val="none"/>
                <w:lang w:val="en-US" w:eastAsia="zh-CN" w:bidi="ar"/>
              </w:rPr>
              <w:t>1,090,065,705.89</w:t>
            </w:r>
          </w:p>
        </w:tc>
      </w:tr>
      <w:tr>
        <w:tblPrEx>
          <w:tblLayout w:type="fixed"/>
          <w:tblCellMar>
            <w:top w:w="0" w:type="dxa"/>
            <w:left w:w="108" w:type="dxa"/>
            <w:bottom w:w="0" w:type="dxa"/>
            <w:right w:w="108" w:type="dxa"/>
          </w:tblCellMar>
        </w:tblPrEx>
        <w:trPr>
          <w:trHeight w:val="285" w:hRule="atLeast"/>
        </w:trPr>
        <w:tc>
          <w:tcPr>
            <w:tcW w:w="1671" w:type="dxa"/>
            <w:tcBorders>
              <w:top w:val="dotted" w:color="000000" w:sz="4" w:space="0"/>
              <w:left w:val="single" w:color="auto" w:sz="4" w:space="0"/>
              <w:bottom w:val="single" w:color="auto"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kern w:val="0"/>
                <w:sz w:val="21"/>
                <w:szCs w:val="21"/>
                <w:highlight w:val="none"/>
              </w:rPr>
              <w:t>合计</w:t>
            </w:r>
          </w:p>
        </w:tc>
        <w:tc>
          <w:tcPr>
            <w:tcW w:w="1910" w:type="dxa"/>
            <w:tcBorders>
              <w:top w:val="dotted" w:color="000000" w:sz="4" w:space="0"/>
              <w:left w:val="dotted" w:color="000000" w:sz="4" w:space="0"/>
              <w:bottom w:val="single" w:color="auto"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18"/>
                <w:szCs w:val="18"/>
                <w:highlight w:val="none"/>
                <w:u w:val="none"/>
                <w:lang w:val="en-US" w:eastAsia="zh-CN" w:bidi="ar"/>
              </w:rPr>
              <w:t>1,093,265,386.16</w:t>
            </w:r>
          </w:p>
        </w:tc>
        <w:tc>
          <w:tcPr>
            <w:tcW w:w="1910" w:type="dxa"/>
            <w:tcBorders>
              <w:top w:val="dotted" w:color="000000" w:sz="4" w:space="0"/>
              <w:left w:val="dotted" w:color="000000" w:sz="4" w:space="0"/>
              <w:bottom w:val="single" w:color="auto"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18"/>
                <w:szCs w:val="18"/>
                <w:highlight w:val="none"/>
                <w:u w:val="none"/>
                <w:lang w:val="en-US" w:eastAsia="zh-CN" w:bidi="ar"/>
              </w:rPr>
              <w:t>2,022,100,348.03</w:t>
            </w:r>
          </w:p>
        </w:tc>
        <w:tc>
          <w:tcPr>
            <w:tcW w:w="1910" w:type="dxa"/>
            <w:tcBorders>
              <w:top w:val="dotted" w:color="000000" w:sz="4" w:space="0"/>
              <w:left w:val="dotted" w:color="000000" w:sz="4" w:space="0"/>
              <w:bottom w:val="single" w:color="auto" w:sz="4" w:space="0"/>
              <w:right w:val="dotted" w:color="000000"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18"/>
                <w:szCs w:val="18"/>
                <w:highlight w:val="none"/>
                <w:u w:val="none"/>
                <w:lang w:val="en-US" w:eastAsia="zh-CN" w:bidi="ar"/>
              </w:rPr>
              <w:t>2,025,300,028.30</w:t>
            </w:r>
          </w:p>
        </w:tc>
        <w:tc>
          <w:tcPr>
            <w:tcW w:w="1910" w:type="dxa"/>
            <w:tcBorders>
              <w:top w:val="dotted" w:color="000000" w:sz="4" w:space="0"/>
              <w:left w:val="dotted" w:color="000000"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18"/>
                <w:szCs w:val="18"/>
                <w:highlight w:val="none"/>
                <w:u w:val="none"/>
                <w:lang w:val="en-US" w:eastAsia="zh-CN" w:bidi="ar"/>
              </w:rPr>
              <w:t>1,090,065,705.89</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5</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eastAsia="zh-CN"/>
        </w:rPr>
        <w:t>发放</w:t>
      </w:r>
      <w:r>
        <w:rPr>
          <w:rFonts w:hint="eastAsia" w:ascii="仿宋_GB2312" w:hAnsi="仿宋_GB2312" w:eastAsia="仿宋_GB2312" w:cs="仿宋_GB2312"/>
          <w:b/>
          <w:bCs/>
          <w:color w:val="000000"/>
          <w:kern w:val="0"/>
          <w:szCs w:val="21"/>
          <w:highlight w:val="none"/>
        </w:rPr>
        <w:t>贷款和垫款按风险分类</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311" w:type="dxa"/>
        <w:tblInd w:w="0" w:type="dxa"/>
        <w:tblLayout w:type="fixed"/>
        <w:tblCellMar>
          <w:top w:w="0" w:type="dxa"/>
          <w:left w:w="108" w:type="dxa"/>
          <w:bottom w:w="0" w:type="dxa"/>
          <w:right w:w="108" w:type="dxa"/>
        </w:tblCellMar>
      </w:tblPr>
      <w:tblGrid>
        <w:gridCol w:w="3606"/>
        <w:gridCol w:w="3037"/>
        <w:gridCol w:w="2668"/>
      </w:tblGrid>
      <w:tr>
        <w:tblPrEx>
          <w:tblLayout w:type="fixed"/>
          <w:tblCellMar>
            <w:top w:w="0" w:type="dxa"/>
            <w:left w:w="108" w:type="dxa"/>
            <w:bottom w:w="0" w:type="dxa"/>
            <w:right w:w="108" w:type="dxa"/>
          </w:tblCellMar>
        </w:tblPrEx>
        <w:trPr>
          <w:trHeight w:val="312" w:hRule="atLeast"/>
          <w:tblHeader/>
        </w:trPr>
        <w:tc>
          <w:tcPr>
            <w:tcW w:w="3606" w:type="dxa"/>
            <w:tcBorders>
              <w:top w:val="single" w:color="auto" w:sz="4" w:space="0"/>
              <w:left w:val="single" w:color="auto"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项目</w:t>
            </w:r>
          </w:p>
        </w:tc>
        <w:tc>
          <w:tcPr>
            <w:tcW w:w="3037" w:type="dxa"/>
            <w:tcBorders>
              <w:top w:val="single" w:color="auto" w:sz="4" w:space="0"/>
              <w:left w:val="dotted" w:color="000000" w:sz="4" w:space="0"/>
              <w:bottom w:val="dotted" w:color="000000"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年初余额</w:t>
            </w:r>
          </w:p>
        </w:tc>
        <w:tc>
          <w:tcPr>
            <w:tcW w:w="2668" w:type="dxa"/>
            <w:tcBorders>
              <w:top w:val="single" w:color="auto" w:sz="4" w:space="0"/>
              <w:left w:val="dotted" w:color="000000" w:sz="4" w:space="0"/>
              <w:bottom w:val="dotted" w:color="000000" w:sz="4" w:space="0"/>
              <w:right w:val="single" w:color="auto"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年末余额</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正常贷款</w:t>
            </w:r>
          </w:p>
        </w:tc>
        <w:tc>
          <w:tcPr>
            <w:tcW w:w="3037" w:type="dxa"/>
            <w:tcBorders>
              <w:top w:val="nil"/>
              <w:left w:val="nil"/>
              <w:bottom w:val="dotted" w:color="000000" w:sz="4" w:space="0"/>
              <w:right w:val="dotted" w:color="000000" w:sz="4" w:space="0"/>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26,763,793,312.43</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28,411,277,880.29</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其中：正常</w:t>
            </w:r>
          </w:p>
        </w:tc>
        <w:tc>
          <w:tcPr>
            <w:tcW w:w="3037" w:type="dxa"/>
            <w:tcBorders>
              <w:top w:val="nil"/>
              <w:left w:val="nil"/>
              <w:bottom w:val="dotted" w:color="000000" w:sz="4" w:space="0"/>
              <w:right w:val="nil"/>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26,210,830,294.58</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27,706,251,469.86</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关注</w:t>
            </w:r>
          </w:p>
        </w:tc>
        <w:tc>
          <w:tcPr>
            <w:tcW w:w="3037" w:type="dxa"/>
            <w:tcBorders>
              <w:top w:val="nil"/>
              <w:left w:val="nil"/>
              <w:bottom w:val="dotted" w:color="000000" w:sz="4" w:space="0"/>
              <w:right w:val="nil"/>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552,963,017.85</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705,026,410.43</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不良贷款</w:t>
            </w:r>
          </w:p>
        </w:tc>
        <w:tc>
          <w:tcPr>
            <w:tcW w:w="3037" w:type="dxa"/>
            <w:tcBorders>
              <w:top w:val="nil"/>
              <w:left w:val="nil"/>
              <w:bottom w:val="dotted" w:color="000000" w:sz="4" w:space="0"/>
              <w:right w:val="dotted" w:color="000000" w:sz="4" w:space="0"/>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512,259,728.22</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510,521,953.34</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ind w:firstLine="420" w:firstLineChars="200"/>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其中：次级</w:t>
            </w:r>
          </w:p>
        </w:tc>
        <w:tc>
          <w:tcPr>
            <w:tcW w:w="3037" w:type="dxa"/>
            <w:tcBorders>
              <w:top w:val="nil"/>
              <w:left w:val="nil"/>
              <w:bottom w:val="dotted" w:color="000000" w:sz="4" w:space="0"/>
              <w:right w:val="nil"/>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209,407,604.64</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189,272,565.88</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ind w:firstLine="1050" w:firstLineChars="500"/>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可疑</w:t>
            </w:r>
          </w:p>
        </w:tc>
        <w:tc>
          <w:tcPr>
            <w:tcW w:w="3037" w:type="dxa"/>
            <w:tcBorders>
              <w:top w:val="nil"/>
              <w:left w:val="nil"/>
              <w:bottom w:val="dotted" w:color="000000" w:sz="4" w:space="0"/>
              <w:right w:val="nil"/>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294,302,059.23</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306,679,073.99</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dotted" w:color="000000" w:sz="4" w:space="0"/>
              <w:right w:val="dotted" w:color="000000" w:sz="4" w:space="0"/>
            </w:tcBorders>
            <w:shd w:val="clear" w:color="auto" w:fill="FFFFFF"/>
            <w:vAlign w:val="center"/>
          </w:tcPr>
          <w:p>
            <w:pPr>
              <w:widowControl/>
              <w:ind w:firstLine="1050" w:firstLineChars="500"/>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损失</w:t>
            </w:r>
          </w:p>
        </w:tc>
        <w:tc>
          <w:tcPr>
            <w:tcW w:w="3037" w:type="dxa"/>
            <w:tcBorders>
              <w:top w:val="nil"/>
              <w:left w:val="nil"/>
              <w:bottom w:val="dotted" w:color="000000" w:sz="4" w:space="0"/>
              <w:right w:val="nil"/>
            </w:tcBorders>
            <w:shd w:val="clear" w:color="auto" w:fill="FFFFFF"/>
            <w:vAlign w:val="bottom"/>
          </w:tcPr>
          <w:p>
            <w:pPr>
              <w:keepNext w:val="0"/>
              <w:keepLines w:val="0"/>
              <w:widowControl/>
              <w:suppressLineNumbers w:val="0"/>
              <w:jc w:val="right"/>
              <w:textAlignment w:val="bottom"/>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8,550,064.35</w:t>
            </w:r>
          </w:p>
        </w:tc>
        <w:tc>
          <w:tcPr>
            <w:tcW w:w="2668" w:type="dxa"/>
            <w:tcBorders>
              <w:top w:val="dotted" w:color="000000" w:sz="4" w:space="0"/>
              <w:left w:val="dotted" w:color="000000" w:sz="4" w:space="0"/>
              <w:bottom w:val="dotted" w:color="000000"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14,570,313.47</w:t>
            </w:r>
          </w:p>
        </w:tc>
      </w:tr>
      <w:tr>
        <w:tblPrEx>
          <w:tblLayout w:type="fixed"/>
          <w:tblCellMar>
            <w:top w:w="0" w:type="dxa"/>
            <w:left w:w="108" w:type="dxa"/>
            <w:bottom w:w="0" w:type="dxa"/>
            <w:right w:w="108" w:type="dxa"/>
          </w:tblCellMar>
        </w:tblPrEx>
        <w:trPr>
          <w:trHeight w:val="312" w:hRule="atLeast"/>
        </w:trPr>
        <w:tc>
          <w:tcPr>
            <w:tcW w:w="3606" w:type="dxa"/>
            <w:tcBorders>
              <w:top w:val="dotted" w:color="000000" w:sz="4" w:space="0"/>
              <w:left w:val="single" w:color="auto" w:sz="4" w:space="0"/>
              <w:bottom w:val="single" w:color="auto" w:sz="4" w:space="0"/>
              <w:right w:val="dotted" w:color="000000" w:sz="4" w:space="0"/>
            </w:tcBorders>
            <w:shd w:val="clear" w:color="auto" w:fill="FFFFFF"/>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合计</w:t>
            </w:r>
          </w:p>
        </w:tc>
        <w:tc>
          <w:tcPr>
            <w:tcW w:w="3037" w:type="dxa"/>
            <w:tcBorders>
              <w:top w:val="nil"/>
              <w:left w:val="nil"/>
              <w:bottom w:val="single" w:color="auto" w:sz="4" w:space="0"/>
              <w:right w:val="dotted" w:color="000000" w:sz="4" w:space="0"/>
            </w:tcBorders>
            <w:shd w:val="clear" w:color="auto" w:fill="FFFFFF"/>
            <w:vAlign w:val="bottom"/>
          </w:tcPr>
          <w:p>
            <w:pPr>
              <w:keepNext w:val="0"/>
              <w:keepLines w:val="0"/>
              <w:widowControl/>
              <w:suppressLineNumbers w:val="0"/>
              <w:jc w:val="right"/>
              <w:textAlignment w:val="bottom"/>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27,276,053,040.65</w:t>
            </w:r>
          </w:p>
        </w:tc>
        <w:tc>
          <w:tcPr>
            <w:tcW w:w="2668" w:type="dxa"/>
            <w:tcBorders>
              <w:top w:val="dotted" w:color="000000" w:sz="4" w:space="0"/>
              <w:left w:val="dotted" w:color="000000"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28,921,799,833.63</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交易性金融资产</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340" w:type="dxa"/>
        <w:tblInd w:w="0" w:type="dxa"/>
        <w:tblLayout w:type="fixed"/>
        <w:tblCellMar>
          <w:top w:w="0" w:type="dxa"/>
          <w:left w:w="108" w:type="dxa"/>
          <w:bottom w:w="0" w:type="dxa"/>
          <w:right w:w="108" w:type="dxa"/>
        </w:tblCellMar>
      </w:tblPr>
      <w:tblGrid>
        <w:gridCol w:w="4195"/>
        <w:gridCol w:w="2466"/>
        <w:gridCol w:w="2679"/>
      </w:tblGrid>
      <w:tr>
        <w:tblPrEx>
          <w:tblLayout w:type="fixed"/>
          <w:tblCellMar>
            <w:top w:w="0" w:type="dxa"/>
            <w:left w:w="108" w:type="dxa"/>
            <w:bottom w:w="0" w:type="dxa"/>
            <w:right w:w="108" w:type="dxa"/>
          </w:tblCellMar>
        </w:tblPrEx>
        <w:trPr>
          <w:trHeight w:val="315" w:hRule="atLeast"/>
        </w:trPr>
        <w:tc>
          <w:tcPr>
            <w:tcW w:w="4195" w:type="dxa"/>
            <w:tcBorders>
              <w:top w:val="single" w:color="auto"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项目</w:t>
            </w:r>
          </w:p>
        </w:tc>
        <w:tc>
          <w:tcPr>
            <w:tcW w:w="2466" w:type="dxa"/>
            <w:tcBorders>
              <w:top w:val="single" w:color="auto"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年初余额</w:t>
            </w:r>
          </w:p>
        </w:tc>
        <w:tc>
          <w:tcPr>
            <w:tcW w:w="2679" w:type="dxa"/>
            <w:tcBorders>
              <w:top w:val="single" w:color="auto" w:sz="4" w:space="0"/>
              <w:left w:val="dotted" w:color="000000" w:sz="4" w:space="0"/>
              <w:bottom w:val="dotted" w:color="000000" w:sz="4" w:space="0"/>
              <w:right w:val="single" w:color="auto"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年末余额</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交易性商业银行次级债券</w:t>
            </w:r>
          </w:p>
        </w:tc>
        <w:tc>
          <w:tcPr>
            <w:tcW w:w="2466"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23,000,000.00</w:t>
            </w:r>
          </w:p>
        </w:tc>
        <w:tc>
          <w:tcPr>
            <w:tcW w:w="2679"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23,000,000.00</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交易性证券业资产管理计划</w:t>
            </w:r>
          </w:p>
        </w:tc>
        <w:tc>
          <w:tcPr>
            <w:tcW w:w="2466"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173,000,000.00</w:t>
            </w:r>
          </w:p>
        </w:tc>
        <w:tc>
          <w:tcPr>
            <w:tcW w:w="2679"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110,289,670.22</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交易性商业银行次级债券公允价值变动</w:t>
            </w:r>
          </w:p>
        </w:tc>
        <w:tc>
          <w:tcPr>
            <w:tcW w:w="2466"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-1,939,102.00</w:t>
            </w:r>
          </w:p>
        </w:tc>
        <w:tc>
          <w:tcPr>
            <w:tcW w:w="2679"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-778,709.65</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交易性证券业资产管理计划公允价值变动</w:t>
            </w:r>
          </w:p>
        </w:tc>
        <w:tc>
          <w:tcPr>
            <w:tcW w:w="2466"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-34,173,801.47</w:t>
            </w:r>
          </w:p>
        </w:tc>
        <w:tc>
          <w:tcPr>
            <w:tcW w:w="2679"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1,807,215.26</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交易性商业银行次级债券应计利息</w:t>
            </w:r>
          </w:p>
        </w:tc>
        <w:tc>
          <w:tcPr>
            <w:tcW w:w="2466"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105,864.00</w:t>
            </w:r>
          </w:p>
        </w:tc>
        <w:tc>
          <w:tcPr>
            <w:tcW w:w="2679"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99,542.65</w:t>
            </w:r>
          </w:p>
        </w:tc>
      </w:tr>
      <w:tr>
        <w:tblPrEx>
          <w:tblLayout w:type="fixed"/>
          <w:tblCellMar>
            <w:top w:w="0" w:type="dxa"/>
            <w:left w:w="108" w:type="dxa"/>
            <w:bottom w:w="0" w:type="dxa"/>
            <w:right w:w="108" w:type="dxa"/>
          </w:tblCellMar>
        </w:tblPrEx>
        <w:trPr>
          <w:trHeight w:val="280" w:hRule="atLeast"/>
        </w:trPr>
        <w:tc>
          <w:tcPr>
            <w:tcW w:w="4195" w:type="dxa"/>
            <w:tcBorders>
              <w:top w:val="dotted" w:color="000000" w:sz="4" w:space="0"/>
              <w:left w:val="single" w:color="auto" w:sz="4" w:space="0"/>
              <w:bottom w:val="single" w:color="auto"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合计</w:t>
            </w:r>
          </w:p>
        </w:tc>
        <w:tc>
          <w:tcPr>
            <w:tcW w:w="2466" w:type="dxa"/>
            <w:tcBorders>
              <w:top w:val="dotted" w:color="000000" w:sz="4" w:space="0"/>
              <w:left w:val="dotted" w:color="000000" w:sz="4" w:space="0"/>
              <w:bottom w:val="single" w:color="auto"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159,992,960.53</w:t>
            </w:r>
          </w:p>
        </w:tc>
        <w:tc>
          <w:tcPr>
            <w:tcW w:w="2679" w:type="dxa"/>
            <w:tcBorders>
              <w:top w:val="dotted" w:color="000000" w:sz="4" w:space="0"/>
              <w:left w:val="dotted" w:color="000000"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134,417,718.48</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7</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债权投资</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229" w:type="dxa"/>
        <w:tblInd w:w="0" w:type="dxa"/>
        <w:tblLayout w:type="fixed"/>
        <w:tblCellMar>
          <w:top w:w="0" w:type="dxa"/>
          <w:left w:w="108" w:type="dxa"/>
          <w:bottom w:w="0" w:type="dxa"/>
          <w:right w:w="108" w:type="dxa"/>
        </w:tblCellMar>
      </w:tblPr>
      <w:tblGrid>
        <w:gridCol w:w="3987"/>
        <w:gridCol w:w="2540"/>
        <w:gridCol w:w="2702"/>
      </w:tblGrid>
      <w:tr>
        <w:tblPrEx>
          <w:tblLayout w:type="fixed"/>
          <w:tblCellMar>
            <w:top w:w="0" w:type="dxa"/>
            <w:left w:w="108" w:type="dxa"/>
            <w:bottom w:w="0" w:type="dxa"/>
            <w:right w:w="108" w:type="dxa"/>
          </w:tblCellMar>
        </w:tblPrEx>
        <w:trPr>
          <w:trHeight w:val="339" w:hRule="atLeast"/>
          <w:tblHeader/>
        </w:trPr>
        <w:tc>
          <w:tcPr>
            <w:tcW w:w="3987" w:type="dxa"/>
            <w:tcBorders>
              <w:top w:val="single" w:color="auto"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项目</w:t>
            </w:r>
          </w:p>
        </w:tc>
        <w:tc>
          <w:tcPr>
            <w:tcW w:w="2540" w:type="dxa"/>
            <w:tcBorders>
              <w:top w:val="single" w:color="auto"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年初余额</w:t>
            </w:r>
          </w:p>
        </w:tc>
        <w:tc>
          <w:tcPr>
            <w:tcW w:w="2702" w:type="dxa"/>
            <w:tcBorders>
              <w:top w:val="single" w:color="auto" w:sz="4" w:space="0"/>
              <w:left w:val="dotted" w:color="000000" w:sz="4" w:space="0"/>
              <w:bottom w:val="dotted" w:color="000000" w:sz="4" w:space="0"/>
              <w:right w:val="single" w:color="auto"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年末余额</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8,394,265,865.47</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9,974,394,193.04</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债权投资国债应计利息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27,675,720.29</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46,696,786.50</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债权投资地方政府债券应计利息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1,519,955.09</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14,067,676.73</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债权投资政策性银行债券应计利息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61,731,669.11</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46,824,767.39</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债权投资商业银行债券应计利息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19,540,472.86</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14,747,151.57</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债权投资地方公用企业债券应计利息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1,531,824.25</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1,516,688.57</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债权投资其他企业债券应计利息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3,432,034.77</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2,415,746.51</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债权投资其他债券应计利息</w:t>
            </w:r>
          </w:p>
        </w:tc>
        <w:tc>
          <w:tcPr>
            <w:tcW w:w="2540" w:type="dxa"/>
            <w:tcBorders>
              <w:top w:val="dotted" w:color="000000" w:sz="4" w:space="0"/>
              <w:left w:val="dotted" w:color="000000" w:sz="4" w:space="0"/>
              <w:bottom w:val="dotted" w:color="000000" w:sz="4" w:space="0"/>
              <w:right w:val="dotted" w:color="000000" w:sz="4" w:space="0"/>
            </w:tcBorders>
            <w:vAlign w:val="center"/>
          </w:tcPr>
          <w:p>
            <w:pPr>
              <w:jc w:val="right"/>
              <w:rPr>
                <w:rFonts w:hint="eastAsia" w:ascii="仿宋" w:hAnsi="仿宋" w:eastAsia="仿宋" w:cs="仿宋"/>
                <w:b/>
                <w:bCs/>
                <w:color w:val="000000"/>
                <w:kern w:val="0"/>
                <w:sz w:val="21"/>
                <w:szCs w:val="21"/>
                <w:highlight w:val="none"/>
              </w:rPr>
            </w:pP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2,156,665.14</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小计</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8,509,697,541.84</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10,102,819,675.45</w:t>
            </w:r>
          </w:p>
        </w:tc>
      </w:tr>
      <w:tr>
        <w:tblPrEx>
          <w:tblLayout w:type="fixed"/>
          <w:tblCellMar>
            <w:top w:w="0" w:type="dxa"/>
            <w:left w:w="108" w:type="dxa"/>
            <w:bottom w:w="0" w:type="dxa"/>
            <w:right w:w="108" w:type="dxa"/>
          </w:tblCellMar>
        </w:tblPrEx>
        <w:trPr>
          <w:trHeight w:val="339" w:hRule="atLeast"/>
        </w:trPr>
        <w:tc>
          <w:tcPr>
            <w:tcW w:w="3987" w:type="dxa"/>
            <w:tcBorders>
              <w:top w:val="dotted" w:color="000000" w:sz="4" w:space="0"/>
              <w:left w:val="single" w:color="auto" w:sz="4" w:space="0"/>
              <w:bottom w:val="dotted" w:color="000000" w:sz="4" w:space="0"/>
              <w:right w:val="dotted"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债权投资减值准备</w:t>
            </w:r>
          </w:p>
        </w:tc>
        <w:tc>
          <w:tcPr>
            <w:tcW w:w="254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15,796,175.11</w:t>
            </w:r>
          </w:p>
        </w:tc>
        <w:tc>
          <w:tcPr>
            <w:tcW w:w="2702"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34,935,416.74</w:t>
            </w:r>
          </w:p>
        </w:tc>
      </w:tr>
      <w:tr>
        <w:tblPrEx>
          <w:tblLayout w:type="fixed"/>
          <w:tblCellMar>
            <w:top w:w="0" w:type="dxa"/>
            <w:left w:w="108" w:type="dxa"/>
            <w:bottom w:w="0" w:type="dxa"/>
            <w:right w:w="108" w:type="dxa"/>
          </w:tblCellMar>
        </w:tblPrEx>
        <w:trPr>
          <w:trHeight w:val="349" w:hRule="atLeast"/>
        </w:trPr>
        <w:tc>
          <w:tcPr>
            <w:tcW w:w="3987" w:type="dxa"/>
            <w:tcBorders>
              <w:top w:val="dotted" w:color="000000" w:sz="4" w:space="0"/>
              <w:left w:val="single" w:color="auto" w:sz="4" w:space="0"/>
              <w:bottom w:val="single" w:color="auto" w:sz="4" w:space="0"/>
              <w:right w:val="dotted" w:color="000000" w:sz="4" w:space="0"/>
            </w:tcBorders>
            <w:vAlign w:val="center"/>
          </w:tcPr>
          <w:p>
            <w:pPr>
              <w:keepNext w:val="0"/>
              <w:keepLines w:val="0"/>
              <w:widowControl/>
              <w:suppressLineNumbers w:val="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债权投资净值</w:t>
            </w:r>
          </w:p>
        </w:tc>
        <w:tc>
          <w:tcPr>
            <w:tcW w:w="2540" w:type="dxa"/>
            <w:tcBorders>
              <w:top w:val="dotted" w:color="000000" w:sz="4" w:space="0"/>
              <w:left w:val="dotted" w:color="000000" w:sz="4" w:space="0"/>
              <w:bottom w:val="single" w:color="auto"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8,493,901,366.73</w:t>
            </w:r>
          </w:p>
        </w:tc>
        <w:tc>
          <w:tcPr>
            <w:tcW w:w="2702" w:type="dxa"/>
            <w:tcBorders>
              <w:top w:val="dotted" w:color="000000" w:sz="4" w:space="0"/>
              <w:left w:val="dotted" w:color="000000"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10,067,884,258.71</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8</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其他债权投资</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240" w:type="dxa"/>
        <w:tblInd w:w="0" w:type="dxa"/>
        <w:tblLayout w:type="fixed"/>
        <w:tblCellMar>
          <w:top w:w="0" w:type="dxa"/>
          <w:left w:w="108" w:type="dxa"/>
          <w:bottom w:w="0" w:type="dxa"/>
          <w:right w:w="108" w:type="dxa"/>
        </w:tblCellMar>
      </w:tblPr>
      <w:tblGrid>
        <w:gridCol w:w="4366"/>
        <w:gridCol w:w="2330"/>
        <w:gridCol w:w="2544"/>
      </w:tblGrid>
      <w:tr>
        <w:tblPrEx>
          <w:tblLayout w:type="fixed"/>
          <w:tblCellMar>
            <w:top w:w="0" w:type="dxa"/>
            <w:left w:w="108" w:type="dxa"/>
            <w:bottom w:w="0" w:type="dxa"/>
            <w:right w:w="108" w:type="dxa"/>
          </w:tblCellMar>
        </w:tblPrEx>
        <w:trPr>
          <w:trHeight w:val="392" w:hRule="atLeast"/>
        </w:trPr>
        <w:tc>
          <w:tcPr>
            <w:tcW w:w="4366" w:type="dxa"/>
            <w:tcBorders>
              <w:top w:val="single" w:color="auto"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项目</w:t>
            </w:r>
          </w:p>
        </w:tc>
        <w:tc>
          <w:tcPr>
            <w:tcW w:w="2330" w:type="dxa"/>
            <w:tcBorders>
              <w:top w:val="single" w:color="auto"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年初余额</w:t>
            </w:r>
          </w:p>
        </w:tc>
        <w:tc>
          <w:tcPr>
            <w:tcW w:w="2544" w:type="dxa"/>
            <w:tcBorders>
              <w:top w:val="single" w:color="auto" w:sz="4" w:space="0"/>
              <w:left w:val="dotted" w:color="000000" w:sz="4" w:space="0"/>
              <w:bottom w:val="dotted" w:color="000000" w:sz="4" w:space="0"/>
              <w:right w:val="single" w:color="auto"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年末余额</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其他债权投资</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2,589,186,125.17</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1,691,493,628.11</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其他债权投资国债应计利息</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1,093,669.05</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1,713,290.03</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其他债权投资地方政府债券应计利息</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5,794,000.50</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5,871,435.69</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其他债权投资政策性银行债券应计利息</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15,878,170.06</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14,030,452.87</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其他债权投资商业银行债券应计利息</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11,475,605.22</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u w:val="none"/>
                <w:lang w:val="en-US" w:eastAsia="zh-CN" w:bidi="ar"/>
              </w:rPr>
              <w:t>8,583,263.30</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小计</w:t>
            </w:r>
          </w:p>
        </w:tc>
        <w:tc>
          <w:tcPr>
            <w:tcW w:w="2330"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2,623,427,570.00</w:t>
            </w:r>
          </w:p>
        </w:tc>
        <w:tc>
          <w:tcPr>
            <w:tcW w:w="2544" w:type="dxa"/>
            <w:tcBorders>
              <w:top w:val="dotted" w:color="000000" w:sz="4" w:space="0"/>
              <w:left w:val="dotted" w:color="000000" w:sz="4" w:space="0"/>
              <w:bottom w:val="dotted" w:color="000000"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1,721,692,070.00</w:t>
            </w:r>
          </w:p>
        </w:tc>
      </w:tr>
      <w:tr>
        <w:tblPrEx>
          <w:tblLayout w:type="fixed"/>
          <w:tblCellMar>
            <w:top w:w="0" w:type="dxa"/>
            <w:left w:w="108" w:type="dxa"/>
            <w:bottom w:w="0" w:type="dxa"/>
            <w:right w:w="108" w:type="dxa"/>
          </w:tblCellMar>
        </w:tblPrEx>
        <w:trPr>
          <w:trHeight w:val="392" w:hRule="atLeast"/>
        </w:trPr>
        <w:tc>
          <w:tcPr>
            <w:tcW w:w="4366" w:type="dxa"/>
            <w:tcBorders>
              <w:top w:val="dotted" w:color="000000" w:sz="4" w:space="0"/>
              <w:left w:val="single" w:color="auto" w:sz="4" w:space="0"/>
              <w:bottom w:val="dotted" w:color="000000" w:sz="4" w:space="0"/>
              <w:right w:val="dotted" w:color="000000" w:sz="4" w:space="0"/>
            </w:tcBorders>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其他债权信用投资减值准备</w:t>
            </w:r>
          </w:p>
        </w:tc>
        <w:tc>
          <w:tcPr>
            <w:tcW w:w="2330" w:type="dxa"/>
            <w:tcBorders>
              <w:top w:val="dotted" w:color="000000" w:sz="4" w:space="0"/>
              <w:left w:val="dotted" w:color="000000" w:sz="4" w:space="0"/>
              <w:bottom w:val="dotted" w:color="000000" w:sz="4" w:space="0"/>
              <w:right w:val="dotted" w:color="000000" w:sz="4" w:space="0"/>
            </w:tcBorders>
            <w:vAlign w:val="center"/>
          </w:tcPr>
          <w:p>
            <w:pPr>
              <w:jc w:val="right"/>
              <w:rPr>
                <w:rFonts w:hint="eastAsia" w:ascii="仿宋" w:hAnsi="仿宋" w:eastAsia="仿宋" w:cs="仿宋"/>
                <w:color w:val="000000"/>
                <w:sz w:val="21"/>
                <w:szCs w:val="21"/>
                <w:highlight w:val="none"/>
              </w:rPr>
            </w:pPr>
          </w:p>
        </w:tc>
        <w:tc>
          <w:tcPr>
            <w:tcW w:w="2544" w:type="dxa"/>
            <w:tcBorders>
              <w:top w:val="dotted" w:color="000000" w:sz="4" w:space="0"/>
              <w:left w:val="dotted" w:color="000000" w:sz="4" w:space="0"/>
              <w:bottom w:val="dotted" w:color="000000" w:sz="4" w:space="0"/>
              <w:right w:val="single" w:color="auto" w:sz="4" w:space="0"/>
            </w:tcBorders>
            <w:vAlign w:val="center"/>
          </w:tcPr>
          <w:p>
            <w:pPr>
              <w:jc w:val="right"/>
              <w:rPr>
                <w:rFonts w:hint="eastAsia" w:ascii="仿宋" w:hAnsi="仿宋" w:eastAsia="仿宋" w:cs="仿宋"/>
                <w:color w:val="000000"/>
                <w:sz w:val="21"/>
                <w:szCs w:val="21"/>
                <w:highlight w:val="none"/>
              </w:rPr>
            </w:pPr>
          </w:p>
        </w:tc>
      </w:tr>
      <w:tr>
        <w:tblPrEx>
          <w:tblLayout w:type="fixed"/>
          <w:tblCellMar>
            <w:top w:w="0" w:type="dxa"/>
            <w:left w:w="108" w:type="dxa"/>
            <w:bottom w:w="0" w:type="dxa"/>
            <w:right w:w="108" w:type="dxa"/>
          </w:tblCellMar>
        </w:tblPrEx>
        <w:trPr>
          <w:trHeight w:val="413" w:hRule="atLeast"/>
        </w:trPr>
        <w:tc>
          <w:tcPr>
            <w:tcW w:w="4366" w:type="dxa"/>
            <w:tcBorders>
              <w:top w:val="dotted" w:color="000000" w:sz="4" w:space="0"/>
              <w:left w:val="single" w:color="auto" w:sz="4" w:space="0"/>
              <w:bottom w:val="single" w:color="auto" w:sz="4" w:space="0"/>
              <w:right w:val="dotted"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债权投资净值</w:t>
            </w:r>
          </w:p>
        </w:tc>
        <w:tc>
          <w:tcPr>
            <w:tcW w:w="2330" w:type="dxa"/>
            <w:tcBorders>
              <w:top w:val="dotted" w:color="000000" w:sz="4" w:space="0"/>
              <w:left w:val="dotted" w:color="000000" w:sz="4" w:space="0"/>
              <w:bottom w:val="single" w:color="auto" w:sz="4" w:space="0"/>
              <w:right w:val="dotted"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2,623,427,570.00</w:t>
            </w:r>
          </w:p>
        </w:tc>
        <w:tc>
          <w:tcPr>
            <w:tcW w:w="2544" w:type="dxa"/>
            <w:tcBorders>
              <w:top w:val="dotted" w:color="000000" w:sz="4" w:space="0"/>
              <w:left w:val="dotted" w:color="000000"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仿宋" w:hAnsi="仿宋" w:eastAsia="仿宋" w:cs="仿宋"/>
                <w:b/>
                <w:bCs/>
                <w:color w:val="000000"/>
                <w:sz w:val="21"/>
                <w:szCs w:val="21"/>
                <w:highlight w:val="none"/>
              </w:rPr>
            </w:pPr>
            <w:r>
              <w:rPr>
                <w:rFonts w:hint="eastAsia" w:ascii="仿宋" w:hAnsi="仿宋" w:eastAsia="仿宋" w:cs="仿宋"/>
                <w:b/>
                <w:bCs/>
                <w:i w:val="0"/>
                <w:iCs w:val="0"/>
                <w:color w:val="000000"/>
                <w:kern w:val="0"/>
                <w:sz w:val="21"/>
                <w:szCs w:val="21"/>
                <w:u w:val="none"/>
                <w:lang w:val="en-US" w:eastAsia="zh-CN" w:bidi="ar"/>
              </w:rPr>
              <w:t>1,721,692,070.00</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9</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长期股权投资</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8"/>
        <w:tblW w:w="9240" w:type="dxa"/>
        <w:tblInd w:w="0" w:type="dxa"/>
        <w:tblLayout w:type="fixed"/>
        <w:tblCellMar>
          <w:top w:w="0" w:type="dxa"/>
          <w:left w:w="108" w:type="dxa"/>
          <w:bottom w:w="0" w:type="dxa"/>
          <w:right w:w="108" w:type="dxa"/>
        </w:tblCellMar>
      </w:tblPr>
      <w:tblGrid>
        <w:gridCol w:w="2716"/>
        <w:gridCol w:w="1910"/>
        <w:gridCol w:w="1308"/>
        <w:gridCol w:w="1442"/>
        <w:gridCol w:w="1864"/>
      </w:tblGrid>
      <w:tr>
        <w:tblPrEx>
          <w:tblLayout w:type="fixed"/>
          <w:tblCellMar>
            <w:top w:w="0" w:type="dxa"/>
            <w:left w:w="108" w:type="dxa"/>
            <w:bottom w:w="0" w:type="dxa"/>
            <w:right w:w="108" w:type="dxa"/>
          </w:tblCellMar>
        </w:tblPrEx>
        <w:trPr>
          <w:trHeight w:val="443" w:hRule="atLeast"/>
        </w:trPr>
        <w:tc>
          <w:tcPr>
            <w:tcW w:w="2716" w:type="dxa"/>
            <w:tcBorders>
              <w:top w:val="single" w:color="auto" w:sz="4" w:space="0"/>
              <w:left w:val="single" w:color="auto"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被投资单位名称</w:t>
            </w:r>
          </w:p>
        </w:tc>
        <w:tc>
          <w:tcPr>
            <w:tcW w:w="1910" w:type="dxa"/>
            <w:tcBorders>
              <w:top w:val="single" w:color="auto" w:sz="4" w:space="0"/>
              <w:left w:val="dotted" w:color="000000" w:sz="4" w:space="0"/>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年初余额</w:t>
            </w:r>
          </w:p>
        </w:tc>
        <w:tc>
          <w:tcPr>
            <w:tcW w:w="1308" w:type="dxa"/>
            <w:tcBorders>
              <w:top w:val="single" w:color="auto" w:sz="4" w:space="0"/>
              <w:left w:val="dotted" w:color="000000" w:sz="4" w:space="0"/>
              <w:bottom w:val="dotted" w:color="000000" w:sz="4" w:space="0"/>
              <w:right w:val="nil"/>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本年增加额</w:t>
            </w:r>
          </w:p>
        </w:tc>
        <w:tc>
          <w:tcPr>
            <w:tcW w:w="1442" w:type="dxa"/>
            <w:tcBorders>
              <w:top w:val="single" w:color="auto" w:sz="4" w:space="0"/>
              <w:left w:val="nil"/>
              <w:bottom w:val="dotted" w:color="000000" w:sz="4" w:space="0"/>
              <w:right w:val="dotted" w:color="000000"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本年减少额</w:t>
            </w:r>
          </w:p>
        </w:tc>
        <w:tc>
          <w:tcPr>
            <w:tcW w:w="1864" w:type="dxa"/>
            <w:tcBorders>
              <w:top w:val="single" w:color="auto" w:sz="4" w:space="0"/>
              <w:left w:val="dotted" w:color="000000" w:sz="4" w:space="0"/>
              <w:bottom w:val="dotted" w:color="000000" w:sz="4" w:space="0"/>
              <w:right w:val="single" w:color="auto" w:sz="4" w:space="0"/>
            </w:tcBorders>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年末余额</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江西省农村信用社联合社</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1,200,000.00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1,200,000.00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瑞金农商银行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20,045,365.00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20,045,365.00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兴国农商银行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43,099,500.00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43,099,500.00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宁都农商银行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50,127,345.00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50,127,345.00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上犹农商银行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28,280,005.00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28,280,005.00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崇义农商银行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17,280,000.00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17,280,000.00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于都农商银行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11,627,400.30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11,627,400.30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横峰农商银行</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20,000,000.00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20,000,000.00</w:t>
            </w:r>
          </w:p>
        </w:tc>
      </w:tr>
      <w:tr>
        <w:tblPrEx>
          <w:tblLayout w:type="fixed"/>
          <w:tblCellMar>
            <w:top w:w="0" w:type="dxa"/>
            <w:left w:w="108" w:type="dxa"/>
            <w:bottom w:w="0" w:type="dxa"/>
            <w:right w:w="108" w:type="dxa"/>
          </w:tblCellMar>
        </w:tblPrEx>
        <w:trPr>
          <w:trHeight w:val="534"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小计</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191,659,615.30</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right"/>
              <w:textAlignment w:val="center"/>
              <w:rPr>
                <w:rFonts w:hint="eastAsia" w:ascii="仿宋" w:hAnsi="仿宋" w:eastAsia="仿宋" w:cs="仿宋"/>
                <w:b/>
                <w:bCs/>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right"/>
              <w:textAlignment w:val="center"/>
              <w:rPr>
                <w:rFonts w:hint="eastAsia" w:ascii="仿宋" w:hAnsi="仿宋" w:eastAsia="仿宋" w:cs="仿宋"/>
                <w:b/>
                <w:bCs/>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191,659,615.30</w:t>
            </w:r>
          </w:p>
        </w:tc>
      </w:tr>
      <w:tr>
        <w:tblPrEx>
          <w:tblLayout w:type="fixed"/>
          <w:tblCellMar>
            <w:top w:w="0" w:type="dxa"/>
            <w:left w:w="108" w:type="dxa"/>
            <w:bottom w:w="0" w:type="dxa"/>
            <w:right w:w="108" w:type="dxa"/>
          </w:tblCellMar>
        </w:tblPrEx>
        <w:trPr>
          <w:trHeight w:val="342" w:hRule="atLeast"/>
        </w:trPr>
        <w:tc>
          <w:tcPr>
            <w:tcW w:w="2716" w:type="dxa"/>
            <w:tcBorders>
              <w:top w:val="dotted" w:color="000000" w:sz="4" w:space="0"/>
              <w:left w:val="single" w:color="auto" w:sz="4" w:space="0"/>
              <w:bottom w:val="dotted" w:color="000000" w:sz="4" w:space="0"/>
              <w:right w:val="dotted"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长期股权投资减值准备</w:t>
            </w:r>
          </w:p>
        </w:tc>
        <w:tc>
          <w:tcPr>
            <w:tcW w:w="1910"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2,874,894.23</w:t>
            </w:r>
          </w:p>
        </w:tc>
        <w:tc>
          <w:tcPr>
            <w:tcW w:w="1308"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442" w:type="dxa"/>
            <w:tcBorders>
              <w:top w:val="dotted" w:color="000000" w:sz="4" w:space="0"/>
              <w:left w:val="dotted" w:color="000000" w:sz="4" w:space="0"/>
              <w:bottom w:val="dotted" w:color="000000" w:sz="4" w:space="0"/>
              <w:right w:val="dotted" w:color="000000" w:sz="4" w:space="0"/>
            </w:tcBorders>
            <w:shd w:val="clear" w:color="auto" w:fill="FFFFFF"/>
            <w:vAlign w:val="center"/>
          </w:tcPr>
          <w:p>
            <w:pPr>
              <w:jc w:val="right"/>
              <w:rPr>
                <w:rFonts w:hint="eastAsia" w:ascii="仿宋" w:hAnsi="仿宋" w:eastAsia="仿宋" w:cs="仿宋"/>
                <w:color w:val="000000"/>
                <w:szCs w:val="21"/>
                <w:highlight w:val="none"/>
              </w:rPr>
            </w:pPr>
          </w:p>
        </w:tc>
        <w:tc>
          <w:tcPr>
            <w:tcW w:w="1864" w:type="dxa"/>
            <w:tcBorders>
              <w:top w:val="dotted" w:color="000000" w:sz="4" w:space="0"/>
              <w:left w:val="dotted" w:color="000000" w:sz="4" w:space="0"/>
              <w:bottom w:val="dotted" w:color="000000" w:sz="4" w:space="0"/>
              <w:right w:val="single" w:color="auto" w:sz="4" w:space="0"/>
            </w:tcBorders>
            <w:vAlign w:val="center"/>
          </w:tcPr>
          <w:p>
            <w:pPr>
              <w:widowControl/>
              <w:jc w:val="righ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2,874,894.23</w:t>
            </w:r>
          </w:p>
        </w:tc>
      </w:tr>
      <w:tr>
        <w:tblPrEx>
          <w:tblLayout w:type="fixed"/>
          <w:tblCellMar>
            <w:top w:w="0" w:type="dxa"/>
            <w:left w:w="108" w:type="dxa"/>
            <w:bottom w:w="0" w:type="dxa"/>
            <w:right w:w="108" w:type="dxa"/>
          </w:tblCellMar>
        </w:tblPrEx>
        <w:trPr>
          <w:trHeight w:val="576" w:hRule="atLeast"/>
        </w:trPr>
        <w:tc>
          <w:tcPr>
            <w:tcW w:w="2716" w:type="dxa"/>
            <w:tcBorders>
              <w:top w:val="dotted" w:color="000000" w:sz="4" w:space="0"/>
              <w:left w:val="single" w:color="auto" w:sz="4" w:space="0"/>
              <w:bottom w:val="single" w:color="auto" w:sz="4" w:space="0"/>
              <w:right w:val="dotted"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合计</w:t>
            </w:r>
          </w:p>
        </w:tc>
        <w:tc>
          <w:tcPr>
            <w:tcW w:w="1910" w:type="dxa"/>
            <w:tcBorders>
              <w:top w:val="dotted" w:color="000000" w:sz="4" w:space="0"/>
              <w:left w:val="dotted" w:color="000000" w:sz="4" w:space="0"/>
              <w:bottom w:val="single" w:color="auto" w:sz="4" w:space="0"/>
              <w:right w:val="dotted" w:color="000000" w:sz="4" w:space="0"/>
            </w:tcBorders>
            <w:shd w:val="clear" w:color="auto" w:fill="auto"/>
            <w:vAlign w:val="center"/>
          </w:tcPr>
          <w:p>
            <w:pPr>
              <w:widowControl/>
              <w:jc w:val="right"/>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188,784,721.07</w:t>
            </w:r>
          </w:p>
        </w:tc>
        <w:tc>
          <w:tcPr>
            <w:tcW w:w="1308" w:type="dxa"/>
            <w:tcBorders>
              <w:top w:val="dotted" w:color="000000" w:sz="4" w:space="0"/>
              <w:left w:val="dotted" w:color="000000" w:sz="4" w:space="0"/>
              <w:bottom w:val="single" w:color="auto" w:sz="4" w:space="0"/>
              <w:right w:val="dotted" w:color="000000" w:sz="4" w:space="0"/>
            </w:tcBorders>
            <w:shd w:val="clear" w:color="auto" w:fill="FFFFFF"/>
            <w:vAlign w:val="center"/>
          </w:tcPr>
          <w:p>
            <w:pPr>
              <w:widowControl/>
              <w:jc w:val="right"/>
              <w:textAlignment w:val="center"/>
              <w:rPr>
                <w:rFonts w:hint="eastAsia" w:ascii="仿宋" w:hAnsi="仿宋" w:eastAsia="仿宋" w:cs="仿宋"/>
                <w:b/>
                <w:bCs/>
                <w:color w:val="000000"/>
                <w:szCs w:val="21"/>
                <w:highlight w:val="none"/>
              </w:rPr>
            </w:pPr>
          </w:p>
        </w:tc>
        <w:tc>
          <w:tcPr>
            <w:tcW w:w="1442" w:type="dxa"/>
            <w:tcBorders>
              <w:top w:val="dotted" w:color="000000" w:sz="4" w:space="0"/>
              <w:left w:val="dotted" w:color="000000" w:sz="4" w:space="0"/>
              <w:bottom w:val="single" w:color="auto" w:sz="4" w:space="0"/>
              <w:right w:val="dotted" w:color="000000" w:sz="4" w:space="0"/>
            </w:tcBorders>
            <w:shd w:val="clear" w:color="auto" w:fill="FFFFFF"/>
            <w:vAlign w:val="center"/>
          </w:tcPr>
          <w:p>
            <w:pPr>
              <w:widowControl/>
              <w:jc w:val="right"/>
              <w:textAlignment w:val="center"/>
              <w:rPr>
                <w:rFonts w:hint="eastAsia" w:ascii="仿宋" w:hAnsi="仿宋" w:eastAsia="仿宋" w:cs="仿宋"/>
                <w:b/>
                <w:bCs/>
                <w:color w:val="000000"/>
                <w:szCs w:val="21"/>
                <w:highlight w:val="none"/>
              </w:rPr>
            </w:pPr>
          </w:p>
        </w:tc>
        <w:tc>
          <w:tcPr>
            <w:tcW w:w="1864" w:type="dxa"/>
            <w:tcBorders>
              <w:top w:val="dotted" w:color="000000" w:sz="4" w:space="0"/>
              <w:left w:val="dotted" w:color="000000" w:sz="4" w:space="0"/>
              <w:bottom w:val="single" w:color="auto" w:sz="4" w:space="0"/>
              <w:right w:val="single" w:color="auto" w:sz="4" w:space="0"/>
            </w:tcBorders>
            <w:vAlign w:val="center"/>
          </w:tcPr>
          <w:p>
            <w:pPr>
              <w:widowControl/>
              <w:jc w:val="right"/>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188,784,721.07</w:t>
            </w:r>
          </w:p>
        </w:tc>
      </w:tr>
    </w:tbl>
    <w:p>
      <w:pPr>
        <w:keepNext w:val="0"/>
        <w:keepLines w:val="0"/>
        <w:pageBreakBefore w:val="0"/>
        <w:widowControl w:val="0"/>
        <w:tabs>
          <w:tab w:val="left" w:pos="318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lang w:val="en-US" w:eastAsia="zh-CN"/>
        </w:rPr>
        <w:t>(10)</w:t>
      </w:r>
      <w:r>
        <w:rPr>
          <w:rFonts w:hint="eastAsia" w:ascii="仿宋_GB2312" w:hAnsi="仿宋_GB2312" w:eastAsia="仿宋_GB2312" w:cs="仿宋_GB2312"/>
          <w:b/>
          <w:bCs/>
          <w:color w:val="000000"/>
          <w:kern w:val="0"/>
          <w:sz w:val="28"/>
          <w:szCs w:val="28"/>
          <w:highlight w:val="none"/>
        </w:rPr>
        <w:t xml:space="preserve">应收利息余额及变动情况  </w:t>
      </w:r>
      <w:r>
        <w:rPr>
          <w:rFonts w:hint="eastAsia" w:ascii="仿宋_GB2312" w:hAnsi="仿宋_GB2312" w:eastAsia="仿宋_GB2312" w:cs="仿宋_GB2312"/>
          <w:b/>
          <w:bCs/>
          <w:color w:val="000000"/>
          <w:kern w:val="0"/>
          <w:sz w:val="28"/>
          <w:szCs w:val="28"/>
          <w:highlight w:val="none"/>
          <w:lang w:val="en-US" w:eastAsia="zh-CN"/>
        </w:rPr>
        <w:t xml:space="preserve">            金额单位：人民币/元</w:t>
      </w:r>
    </w:p>
    <w:tbl>
      <w:tblPr>
        <w:tblStyle w:val="8"/>
        <w:tblW w:w="858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5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项目</w:t>
            </w:r>
          </w:p>
        </w:tc>
        <w:tc>
          <w:tcPr>
            <w:tcW w:w="407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202</w:t>
            </w:r>
            <w:r>
              <w:rPr>
                <w:rFonts w:hint="eastAsia" w:ascii="仿宋" w:hAnsi="仿宋" w:eastAsia="仿宋" w:cs="仿宋"/>
                <w:b/>
                <w:color w:val="000000"/>
                <w:kern w:val="0"/>
                <w:sz w:val="28"/>
                <w:szCs w:val="28"/>
                <w:highlight w:val="none"/>
                <w:lang w:val="en-US" w:eastAsia="zh-CN"/>
              </w:rPr>
              <w:t>3</w:t>
            </w:r>
            <w:r>
              <w:rPr>
                <w:rFonts w:hint="eastAsia" w:ascii="仿宋" w:hAnsi="仿宋" w:eastAsia="仿宋" w:cs="仿宋"/>
                <w:b/>
                <w:color w:val="000000"/>
                <w:kern w:val="0"/>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5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期初数</w:t>
            </w:r>
          </w:p>
        </w:tc>
        <w:tc>
          <w:tcPr>
            <w:tcW w:w="407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733</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094.10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5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本年增加数</w:t>
            </w:r>
          </w:p>
        </w:tc>
        <w:tc>
          <w:tcPr>
            <w:tcW w:w="407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1,745,167,971.83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5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本年减少数</w:t>
            </w:r>
          </w:p>
        </w:tc>
        <w:tc>
          <w:tcPr>
            <w:tcW w:w="407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1,742,768,816.1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5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期末数</w:t>
            </w:r>
          </w:p>
        </w:tc>
        <w:tc>
          <w:tcPr>
            <w:tcW w:w="407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10,132,249.83</w:t>
            </w:r>
          </w:p>
        </w:tc>
      </w:tr>
    </w:tbl>
    <w:p>
      <w:pPr>
        <w:keepNext w:val="0"/>
        <w:keepLines w:val="0"/>
        <w:pageBreakBefore w:val="0"/>
        <w:widowControl w:val="0"/>
        <w:tabs>
          <w:tab w:val="left" w:pos="318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0"/>
          <w:sz w:val="28"/>
          <w:szCs w:val="28"/>
          <w:highlight w:val="none"/>
          <w:lang w:val="en-US" w:eastAsia="zh-CN"/>
        </w:rPr>
      </w:pPr>
      <w:r>
        <w:rPr>
          <w:rFonts w:hint="eastAsia" w:ascii="仿宋_GB2312" w:hAnsi="仿宋_GB2312" w:eastAsia="仿宋_GB2312" w:cs="仿宋_GB2312"/>
          <w:b/>
          <w:bCs/>
          <w:color w:val="000000"/>
          <w:kern w:val="0"/>
          <w:sz w:val="28"/>
          <w:szCs w:val="28"/>
          <w:highlight w:val="none"/>
          <w:lang w:val="en-US" w:eastAsia="zh-CN"/>
        </w:rPr>
        <w:t>(11)应付利息余额及变动情况              金额单位：人民币/元</w:t>
      </w:r>
    </w:p>
    <w:tbl>
      <w:tblPr>
        <w:tblStyle w:val="8"/>
        <w:tblW w:w="852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420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项目</w:t>
            </w:r>
          </w:p>
        </w:tc>
        <w:tc>
          <w:tcPr>
            <w:tcW w:w="431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202</w:t>
            </w:r>
            <w:r>
              <w:rPr>
                <w:rFonts w:hint="eastAsia" w:ascii="仿宋" w:hAnsi="仿宋" w:eastAsia="仿宋" w:cs="仿宋"/>
                <w:b/>
                <w:color w:val="000000"/>
                <w:kern w:val="0"/>
                <w:sz w:val="28"/>
                <w:szCs w:val="28"/>
                <w:highlight w:val="none"/>
                <w:lang w:val="en-US" w:eastAsia="zh-CN"/>
              </w:rPr>
              <w:t>3</w:t>
            </w:r>
            <w:r>
              <w:rPr>
                <w:rFonts w:hint="eastAsia" w:ascii="仿宋" w:hAnsi="仿宋" w:eastAsia="仿宋" w:cs="仿宋"/>
                <w:b/>
                <w:color w:val="000000"/>
                <w:kern w:val="0"/>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0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期初数</w:t>
            </w:r>
          </w:p>
        </w:tc>
        <w:tc>
          <w:tcPr>
            <w:tcW w:w="431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621</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095</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847.71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420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本年增加数</w:t>
            </w:r>
          </w:p>
        </w:tc>
        <w:tc>
          <w:tcPr>
            <w:tcW w:w="431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738,481,314.56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20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本年减少数</w:t>
            </w:r>
          </w:p>
        </w:tc>
        <w:tc>
          <w:tcPr>
            <w:tcW w:w="431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674,901,493.44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420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期末数</w:t>
            </w:r>
          </w:p>
        </w:tc>
        <w:tc>
          <w:tcPr>
            <w:tcW w:w="431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684,675,668.83</w:t>
            </w:r>
          </w:p>
        </w:tc>
      </w:tr>
    </w:tbl>
    <w:p>
      <w:pPr>
        <w:keepNext w:val="0"/>
        <w:keepLines w:val="0"/>
        <w:pageBreakBefore w:val="0"/>
        <w:widowControl w:val="0"/>
        <w:tabs>
          <w:tab w:val="left" w:pos="318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0"/>
          <w:sz w:val="28"/>
          <w:szCs w:val="28"/>
          <w:highlight w:val="none"/>
          <w:lang w:val="en-US" w:eastAsia="zh-CN"/>
        </w:rPr>
      </w:pPr>
      <w:r>
        <w:rPr>
          <w:rFonts w:hint="eastAsia" w:ascii="仿宋_GB2312" w:hAnsi="仿宋_GB2312" w:eastAsia="仿宋_GB2312" w:cs="仿宋_GB2312"/>
          <w:b/>
          <w:bCs/>
          <w:color w:val="000000"/>
          <w:kern w:val="0"/>
          <w:sz w:val="28"/>
          <w:szCs w:val="28"/>
          <w:highlight w:val="none"/>
          <w:lang w:val="en-US" w:eastAsia="zh-CN"/>
        </w:rPr>
        <w:t>(12)主要表外项目情况                   金额单位：人民币/元</w:t>
      </w:r>
    </w:p>
    <w:tbl>
      <w:tblPr>
        <w:tblStyle w:val="8"/>
        <w:tblW w:w="8480" w:type="dxa"/>
        <w:jc w:val="center"/>
        <w:tblInd w:w="0" w:type="dxa"/>
        <w:tblLayout w:type="fixed"/>
        <w:tblCellMar>
          <w:top w:w="0" w:type="dxa"/>
          <w:left w:w="108" w:type="dxa"/>
          <w:bottom w:w="0" w:type="dxa"/>
          <w:right w:w="108" w:type="dxa"/>
        </w:tblCellMar>
      </w:tblPr>
      <w:tblGrid>
        <w:gridCol w:w="4413"/>
        <w:gridCol w:w="176"/>
        <w:gridCol w:w="3891"/>
      </w:tblGrid>
      <w:tr>
        <w:tblPrEx>
          <w:tblLayout w:type="fixed"/>
          <w:tblCellMar>
            <w:top w:w="0" w:type="dxa"/>
            <w:left w:w="108" w:type="dxa"/>
            <w:bottom w:w="0" w:type="dxa"/>
            <w:right w:w="108" w:type="dxa"/>
          </w:tblCellMar>
        </w:tblPrEx>
        <w:trPr>
          <w:trHeight w:val="468" w:hRule="atLeast"/>
          <w:jc w:val="center"/>
        </w:trPr>
        <w:tc>
          <w:tcPr>
            <w:tcW w:w="4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项目</w:t>
            </w:r>
          </w:p>
        </w:tc>
        <w:tc>
          <w:tcPr>
            <w:tcW w:w="4067"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202</w:t>
            </w:r>
            <w:r>
              <w:rPr>
                <w:rFonts w:hint="eastAsia" w:ascii="仿宋" w:hAnsi="仿宋" w:eastAsia="仿宋" w:cs="仿宋"/>
                <w:b/>
                <w:color w:val="000000"/>
                <w:kern w:val="0"/>
                <w:sz w:val="28"/>
                <w:szCs w:val="28"/>
                <w:highlight w:val="none"/>
                <w:lang w:val="en-US" w:eastAsia="zh-CN"/>
              </w:rPr>
              <w:t>3</w:t>
            </w:r>
            <w:r>
              <w:rPr>
                <w:rFonts w:hint="eastAsia" w:ascii="仿宋" w:hAnsi="仿宋" w:eastAsia="仿宋" w:cs="仿宋"/>
                <w:b/>
                <w:color w:val="000000"/>
                <w:kern w:val="0"/>
                <w:sz w:val="28"/>
                <w:szCs w:val="28"/>
                <w:highlight w:val="none"/>
              </w:rPr>
              <w:t>年</w:t>
            </w:r>
          </w:p>
        </w:tc>
      </w:tr>
      <w:tr>
        <w:tblPrEx>
          <w:tblLayout w:type="fixed"/>
          <w:tblCellMar>
            <w:top w:w="0" w:type="dxa"/>
            <w:left w:w="108" w:type="dxa"/>
            <w:bottom w:w="0" w:type="dxa"/>
            <w:right w:w="108" w:type="dxa"/>
          </w:tblCellMar>
        </w:tblPrEx>
        <w:trPr>
          <w:trHeight w:val="446" w:hRule="atLeast"/>
          <w:jc w:val="center"/>
        </w:trPr>
        <w:tc>
          <w:tcPr>
            <w:tcW w:w="441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表外应收利息</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lang w:val="en-US" w:eastAsia="zh-CN"/>
              </w:rPr>
              <w:t>102,508,249.70</w:t>
            </w:r>
          </w:p>
        </w:tc>
      </w:tr>
      <w:tr>
        <w:tblPrEx>
          <w:tblLayout w:type="fixed"/>
          <w:tblCellMar>
            <w:top w:w="0" w:type="dxa"/>
            <w:left w:w="108" w:type="dxa"/>
            <w:bottom w:w="0" w:type="dxa"/>
            <w:right w:w="108" w:type="dxa"/>
          </w:tblCellMar>
        </w:tblPrEx>
        <w:trPr>
          <w:trHeight w:val="446" w:hRule="atLeast"/>
          <w:jc w:val="center"/>
        </w:trPr>
        <w:tc>
          <w:tcPr>
            <w:tcW w:w="441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银行承兑汇票</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57,775,888.27</w:t>
            </w:r>
          </w:p>
        </w:tc>
      </w:tr>
      <w:tr>
        <w:tblPrEx>
          <w:tblLayout w:type="fixed"/>
          <w:tblCellMar>
            <w:top w:w="0" w:type="dxa"/>
            <w:left w:w="108" w:type="dxa"/>
            <w:bottom w:w="0" w:type="dxa"/>
            <w:right w:w="108" w:type="dxa"/>
          </w:tblCellMar>
        </w:tblPrEx>
        <w:trPr>
          <w:trHeight w:val="446" w:hRule="atLeast"/>
          <w:jc w:val="center"/>
        </w:trPr>
        <w:tc>
          <w:tcPr>
            <w:tcW w:w="441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开出保函款项</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23</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646</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271.62</w:t>
            </w:r>
          </w:p>
        </w:tc>
      </w:tr>
      <w:tr>
        <w:tblPrEx>
          <w:tblLayout w:type="fixed"/>
          <w:tblCellMar>
            <w:top w:w="0" w:type="dxa"/>
            <w:left w:w="108" w:type="dxa"/>
            <w:bottom w:w="0" w:type="dxa"/>
            <w:right w:w="108" w:type="dxa"/>
          </w:tblCellMar>
        </w:tblPrEx>
        <w:trPr>
          <w:trHeight w:val="446" w:hRule="atLeast"/>
          <w:jc w:val="center"/>
        </w:trPr>
        <w:tc>
          <w:tcPr>
            <w:tcW w:w="441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贷款承诺</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308,169,522.04</w:t>
            </w:r>
          </w:p>
        </w:tc>
      </w:tr>
      <w:tr>
        <w:tblPrEx>
          <w:tblLayout w:type="fixed"/>
          <w:tblCellMar>
            <w:top w:w="0" w:type="dxa"/>
            <w:left w:w="108" w:type="dxa"/>
            <w:bottom w:w="0" w:type="dxa"/>
            <w:right w:w="108" w:type="dxa"/>
          </w:tblCellMar>
        </w:tblPrEx>
        <w:trPr>
          <w:trHeight w:val="440" w:hRule="atLeast"/>
          <w:jc w:val="center"/>
        </w:trPr>
        <w:tc>
          <w:tcPr>
            <w:tcW w:w="441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u w:val="none"/>
              </w:rPr>
            </w:pPr>
            <w:r>
              <w:rPr>
                <w:rFonts w:hint="eastAsia" w:ascii="仿宋_GB2312" w:hAnsi="仿宋_GB2312" w:eastAsia="仿宋_GB2312" w:cs="仿宋_GB2312"/>
                <w:color w:val="000000"/>
                <w:kern w:val="0"/>
                <w:sz w:val="28"/>
                <w:szCs w:val="28"/>
                <w:highlight w:val="none"/>
                <w:u w:val="none"/>
              </w:rPr>
              <w:t>代客理财</w:t>
            </w:r>
          </w:p>
        </w:tc>
        <w:tc>
          <w:tcPr>
            <w:tcW w:w="4067"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u w:val="none"/>
                <w:lang w:val="en-US" w:eastAsia="zh-CN"/>
              </w:rPr>
            </w:pPr>
            <w:r>
              <w:rPr>
                <w:rFonts w:hint="eastAsia" w:ascii="仿宋" w:hAnsi="仿宋" w:eastAsia="仿宋" w:cs="仿宋"/>
                <w:color w:val="000000"/>
                <w:kern w:val="0"/>
                <w:sz w:val="28"/>
                <w:szCs w:val="28"/>
                <w:highlight w:val="none"/>
                <w:u w:val="none"/>
                <w:lang w:val="en-US" w:eastAsia="zh-CN"/>
              </w:rPr>
              <w:t xml:space="preserve">  1,079,207,244.99</w:t>
            </w:r>
          </w:p>
        </w:tc>
      </w:tr>
      <w:tr>
        <w:tblPrEx>
          <w:tblLayout w:type="fixed"/>
          <w:tblCellMar>
            <w:top w:w="0" w:type="dxa"/>
            <w:left w:w="108" w:type="dxa"/>
            <w:bottom w:w="0" w:type="dxa"/>
            <w:right w:w="108" w:type="dxa"/>
          </w:tblCellMar>
        </w:tblPrEx>
        <w:trPr>
          <w:trHeight w:val="528" w:hRule="atLeast"/>
          <w:jc w:val="center"/>
        </w:trPr>
        <w:tc>
          <w:tcPr>
            <w:tcW w:w="441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u w:val="none"/>
              </w:rPr>
            </w:pPr>
            <w:r>
              <w:rPr>
                <w:rFonts w:hint="eastAsia" w:ascii="仿宋_GB2312" w:hAnsi="仿宋_GB2312" w:eastAsia="仿宋_GB2312" w:cs="仿宋_GB2312"/>
                <w:color w:val="000000"/>
                <w:kern w:val="0"/>
                <w:sz w:val="28"/>
                <w:szCs w:val="28"/>
                <w:highlight w:val="none"/>
                <w:u w:val="none"/>
              </w:rPr>
              <w:t>有价单证</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u w:val="none"/>
                <w:lang w:val="en-US" w:eastAsia="zh-CN"/>
              </w:rPr>
            </w:pPr>
            <w:r>
              <w:rPr>
                <w:rFonts w:hint="eastAsia" w:ascii="仿宋" w:hAnsi="仿宋" w:eastAsia="仿宋" w:cs="仿宋"/>
                <w:color w:val="000000"/>
                <w:kern w:val="0"/>
                <w:sz w:val="28"/>
                <w:szCs w:val="28"/>
                <w:highlight w:val="none"/>
                <w:u w:val="none"/>
                <w:lang w:val="en-US" w:eastAsia="zh-CN"/>
              </w:rPr>
              <w:t xml:space="preserve">   797,112,271.00</w:t>
            </w:r>
          </w:p>
        </w:tc>
      </w:tr>
      <w:tr>
        <w:tblPrEx>
          <w:tblLayout w:type="fixed"/>
          <w:tblCellMar>
            <w:top w:w="0" w:type="dxa"/>
            <w:left w:w="108" w:type="dxa"/>
            <w:bottom w:w="0" w:type="dxa"/>
            <w:right w:w="108" w:type="dxa"/>
          </w:tblCellMar>
        </w:tblPrEx>
        <w:trPr>
          <w:trHeight w:val="440" w:hRule="atLeast"/>
          <w:jc w:val="center"/>
        </w:trPr>
        <w:tc>
          <w:tcPr>
            <w:tcW w:w="441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合计</w:t>
            </w:r>
          </w:p>
        </w:tc>
        <w:tc>
          <w:tcPr>
            <w:tcW w:w="4067" w:type="dxa"/>
            <w:gridSpan w:val="2"/>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2,368,419,447.62</w:t>
            </w:r>
          </w:p>
        </w:tc>
      </w:tr>
      <w:tr>
        <w:tblPrEx>
          <w:tblLayout w:type="fixed"/>
          <w:tblCellMar>
            <w:top w:w="0" w:type="dxa"/>
            <w:left w:w="108" w:type="dxa"/>
            <w:bottom w:w="0" w:type="dxa"/>
            <w:right w:w="108" w:type="dxa"/>
          </w:tblCellMar>
        </w:tblPrEx>
        <w:trPr>
          <w:trHeight w:val="679" w:hRule="atLeast"/>
          <w:jc w:val="center"/>
        </w:trPr>
        <w:tc>
          <w:tcPr>
            <w:tcW w:w="8480" w:type="dxa"/>
            <w:gridSpan w:val="3"/>
            <w:tcBorders>
              <w:top w:val="nil"/>
              <w:left w:val="nil"/>
              <w:bottom w:val="nil"/>
              <w:right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28"/>
                <w:szCs w:val="28"/>
                <w:highlight w:val="none"/>
                <w:lang w:val="en-US" w:eastAsia="zh-CN"/>
              </w:rPr>
              <w:t>(13)资本充足率状况               金额单位：人民币/万元/%</w:t>
            </w:r>
          </w:p>
        </w:tc>
      </w:tr>
      <w:tr>
        <w:tblPrEx>
          <w:tblLayout w:type="fixed"/>
          <w:tblCellMar>
            <w:top w:w="0" w:type="dxa"/>
            <w:left w:w="108" w:type="dxa"/>
            <w:bottom w:w="0" w:type="dxa"/>
            <w:right w:w="108" w:type="dxa"/>
          </w:tblCellMar>
        </w:tblPrEx>
        <w:trPr>
          <w:trHeight w:val="440"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项目</w:t>
            </w:r>
          </w:p>
        </w:tc>
        <w:tc>
          <w:tcPr>
            <w:tcW w:w="38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202</w:t>
            </w:r>
            <w:r>
              <w:rPr>
                <w:rFonts w:hint="eastAsia" w:ascii="仿宋" w:hAnsi="仿宋" w:eastAsia="仿宋" w:cs="仿宋"/>
                <w:b/>
                <w:bCs/>
                <w:color w:val="000000"/>
                <w:kern w:val="0"/>
                <w:sz w:val="28"/>
                <w:szCs w:val="28"/>
                <w:highlight w:val="none"/>
                <w:lang w:val="en-US" w:eastAsia="zh-CN"/>
              </w:rPr>
              <w:t>3</w:t>
            </w:r>
            <w:r>
              <w:rPr>
                <w:rFonts w:hint="eastAsia" w:ascii="仿宋" w:hAnsi="仿宋" w:eastAsia="仿宋" w:cs="仿宋"/>
                <w:b/>
                <w:bCs/>
                <w:color w:val="000000"/>
                <w:kern w:val="0"/>
                <w:sz w:val="28"/>
                <w:szCs w:val="28"/>
                <w:highlight w:val="none"/>
              </w:rPr>
              <w:t>年</w:t>
            </w:r>
          </w:p>
        </w:tc>
      </w:tr>
      <w:tr>
        <w:tblPrEx>
          <w:tblLayout w:type="fixed"/>
          <w:tblCellMar>
            <w:top w:w="0" w:type="dxa"/>
            <w:left w:w="108" w:type="dxa"/>
            <w:bottom w:w="0" w:type="dxa"/>
            <w:right w:w="108" w:type="dxa"/>
          </w:tblCellMar>
        </w:tblPrEx>
        <w:trPr>
          <w:trHeight w:val="544"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风险加权资产总额</w:t>
            </w:r>
          </w:p>
        </w:tc>
        <w:tc>
          <w:tcPr>
            <w:tcW w:w="3891"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2722804.37</w:t>
            </w:r>
          </w:p>
        </w:tc>
      </w:tr>
      <w:tr>
        <w:tblPrEx>
          <w:tblLayout w:type="fixed"/>
          <w:tblCellMar>
            <w:top w:w="0" w:type="dxa"/>
            <w:left w:w="108" w:type="dxa"/>
            <w:bottom w:w="0" w:type="dxa"/>
            <w:right w:w="108" w:type="dxa"/>
          </w:tblCellMar>
        </w:tblPrEx>
        <w:trPr>
          <w:trHeight w:val="545"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资本净额</w:t>
            </w:r>
          </w:p>
        </w:tc>
        <w:tc>
          <w:tcPr>
            <w:tcW w:w="3891"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408819.71</w:t>
            </w:r>
          </w:p>
        </w:tc>
      </w:tr>
      <w:tr>
        <w:tblPrEx>
          <w:tblLayout w:type="fixed"/>
          <w:tblCellMar>
            <w:top w:w="0" w:type="dxa"/>
            <w:left w:w="108" w:type="dxa"/>
            <w:bottom w:w="0" w:type="dxa"/>
            <w:right w:w="108" w:type="dxa"/>
          </w:tblCellMar>
        </w:tblPrEx>
        <w:trPr>
          <w:trHeight w:val="440"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其中：核心一级资本净额</w:t>
            </w:r>
          </w:p>
        </w:tc>
        <w:tc>
          <w:tcPr>
            <w:tcW w:w="3891"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377956.76</w:t>
            </w:r>
          </w:p>
        </w:tc>
      </w:tr>
      <w:tr>
        <w:tblPrEx>
          <w:tblLayout w:type="fixed"/>
          <w:tblCellMar>
            <w:top w:w="0" w:type="dxa"/>
            <w:left w:w="108" w:type="dxa"/>
            <w:bottom w:w="0" w:type="dxa"/>
            <w:right w:w="108" w:type="dxa"/>
          </w:tblCellMar>
        </w:tblPrEx>
        <w:trPr>
          <w:trHeight w:val="440"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二级资本</w:t>
            </w:r>
          </w:p>
        </w:tc>
        <w:tc>
          <w:tcPr>
            <w:tcW w:w="3891"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30862.95</w:t>
            </w:r>
          </w:p>
        </w:tc>
      </w:tr>
      <w:tr>
        <w:tblPrEx>
          <w:tblLayout w:type="fixed"/>
          <w:tblCellMar>
            <w:top w:w="0" w:type="dxa"/>
            <w:left w:w="108" w:type="dxa"/>
            <w:bottom w:w="0" w:type="dxa"/>
            <w:right w:w="108" w:type="dxa"/>
          </w:tblCellMar>
        </w:tblPrEx>
        <w:trPr>
          <w:trHeight w:val="463" w:hRule="atLeast"/>
          <w:jc w:val="center"/>
        </w:trPr>
        <w:tc>
          <w:tcPr>
            <w:tcW w:w="4589"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资本充足率</w:t>
            </w:r>
          </w:p>
        </w:tc>
        <w:tc>
          <w:tcPr>
            <w:tcW w:w="3891"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15.0</w:t>
            </w:r>
            <w:r>
              <w:rPr>
                <w:rFonts w:hint="eastAsia" w:ascii="仿宋" w:hAnsi="仿宋" w:eastAsia="仿宋" w:cs="仿宋"/>
                <w:color w:val="000000"/>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450" w:hRule="atLeast"/>
          <w:jc w:val="center"/>
        </w:trPr>
        <w:tc>
          <w:tcPr>
            <w:tcW w:w="4589" w:type="dxa"/>
            <w:gridSpan w:val="2"/>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核心资本充足率</w:t>
            </w:r>
          </w:p>
        </w:tc>
        <w:tc>
          <w:tcPr>
            <w:tcW w:w="389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13.</w:t>
            </w:r>
            <w:r>
              <w:rPr>
                <w:rFonts w:hint="eastAsia" w:ascii="仿宋" w:hAnsi="仿宋" w:eastAsia="仿宋" w:cs="仿宋"/>
                <w:color w:val="000000"/>
                <w:kern w:val="0"/>
                <w:sz w:val="28"/>
                <w:szCs w:val="28"/>
                <w:highlight w:val="none"/>
                <w:lang w:val="en-US" w:eastAsia="zh-CN"/>
              </w:rPr>
              <w:t>88%</w:t>
            </w:r>
          </w:p>
        </w:tc>
      </w:tr>
    </w:tbl>
    <w:p>
      <w:pPr>
        <w:keepNext w:val="0"/>
        <w:keepLines w:val="0"/>
        <w:pageBreakBefore w:val="0"/>
        <w:widowControl/>
        <w:kinsoku/>
        <w:wordWrap/>
        <w:overflowPunct/>
        <w:topLinePunct w:val="0"/>
        <w:bidi w:val="0"/>
        <w:spacing w:line="560" w:lineRule="exact"/>
        <w:ind w:left="0" w:leftChars="0" w:right="0" w:rightChars="0" w:firstLine="640" w:firstLineChars="200"/>
        <w:textAlignment w:val="auto"/>
        <w:outlineLvl w:val="9"/>
        <w:rPr>
          <w:rFonts w:ascii="黑体" w:hAnsi="黑体" w:eastAsia="黑体" w:cs="宋体"/>
          <w:b w:val="0"/>
          <w:bCs/>
          <w:color w:val="000000"/>
          <w:kern w:val="0"/>
          <w:sz w:val="32"/>
          <w:szCs w:val="32"/>
          <w:highlight w:val="none"/>
        </w:rPr>
      </w:pPr>
      <w:r>
        <w:rPr>
          <w:rFonts w:hint="eastAsia" w:ascii="黑体" w:hAnsi="黑体" w:eastAsia="黑体" w:cs="宋体"/>
          <w:b w:val="0"/>
          <w:bCs/>
          <w:color w:val="000000"/>
          <w:kern w:val="0"/>
          <w:sz w:val="32"/>
          <w:szCs w:val="32"/>
          <w:highlight w:val="none"/>
        </w:rPr>
        <w:t>三、</w:t>
      </w:r>
      <w:r>
        <w:rPr>
          <w:rFonts w:ascii="黑体" w:hAnsi="黑体" w:eastAsia="黑体" w:cs="宋体"/>
          <w:b w:val="0"/>
          <w:bCs/>
          <w:color w:val="000000"/>
          <w:kern w:val="0"/>
          <w:sz w:val="32"/>
          <w:szCs w:val="32"/>
          <w:highlight w:val="none"/>
        </w:rPr>
        <w:t>20</w:t>
      </w:r>
      <w:r>
        <w:rPr>
          <w:rFonts w:hint="eastAsia" w:ascii="黑体" w:hAnsi="黑体" w:eastAsia="黑体" w:cs="宋体"/>
          <w:b w:val="0"/>
          <w:bCs/>
          <w:color w:val="000000"/>
          <w:kern w:val="0"/>
          <w:sz w:val="32"/>
          <w:szCs w:val="32"/>
          <w:highlight w:val="none"/>
        </w:rPr>
        <w:t>2</w:t>
      </w:r>
      <w:r>
        <w:rPr>
          <w:rFonts w:hint="eastAsia" w:ascii="黑体" w:hAnsi="黑体" w:eastAsia="黑体" w:cs="宋体"/>
          <w:b w:val="0"/>
          <w:bCs/>
          <w:color w:val="000000"/>
          <w:kern w:val="0"/>
          <w:sz w:val="32"/>
          <w:szCs w:val="32"/>
          <w:highlight w:val="none"/>
          <w:lang w:val="en-US" w:eastAsia="zh-CN"/>
        </w:rPr>
        <w:t>3</w:t>
      </w:r>
      <w:r>
        <w:rPr>
          <w:rFonts w:hint="eastAsia" w:ascii="黑体" w:hAnsi="黑体" w:eastAsia="黑体" w:cs="宋体"/>
          <w:b w:val="0"/>
          <w:bCs/>
          <w:color w:val="000000"/>
          <w:kern w:val="0"/>
          <w:sz w:val="32"/>
          <w:szCs w:val="32"/>
          <w:highlight w:val="none"/>
        </w:rPr>
        <w:t>年度财务情况说明</w:t>
      </w:r>
    </w:p>
    <w:p>
      <w:pPr>
        <w:keepNext w:val="0"/>
        <w:keepLines w:val="0"/>
        <w:pageBreakBefore w:val="0"/>
        <w:widowControl/>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b/>
          <w:color w:val="000000"/>
          <w:sz w:val="32"/>
          <w:szCs w:val="32"/>
          <w:highlight w:val="none"/>
        </w:rPr>
        <w:t>（一）基本经营情况</w:t>
      </w:r>
      <w:r>
        <w:rPr>
          <w:rFonts w:hint="eastAsia" w:ascii="楷体" w:hAnsi="楷体" w:eastAsia="楷体"/>
          <w:color w:val="000000"/>
          <w:sz w:val="32"/>
          <w:szCs w:val="32"/>
          <w:highlight w:val="none"/>
        </w:rPr>
        <w:t>。</w:t>
      </w:r>
      <w:r>
        <w:rPr>
          <w:rFonts w:hint="eastAsia" w:ascii="仿宋_GB2312" w:hAnsi="仿宋_GB2312" w:eastAsia="仿宋_GB2312" w:cs="仿宋_GB2312"/>
          <w:color w:val="000000"/>
          <w:kern w:val="0"/>
          <w:sz w:val="32"/>
          <w:szCs w:val="32"/>
          <w:highlight w:val="none"/>
        </w:rPr>
        <w:t>202</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z w:val="32"/>
          <w:szCs w:val="32"/>
          <w:highlight w:val="none"/>
        </w:rPr>
        <w:t>实现各项收入</w:t>
      </w:r>
      <w:r>
        <w:rPr>
          <w:rFonts w:hint="eastAsia" w:ascii="仿宋_GB2312" w:hAnsi="仿宋_GB2312" w:eastAsia="仿宋_GB2312" w:cs="仿宋_GB2312"/>
          <w:color w:val="000000"/>
          <w:sz w:val="32"/>
          <w:szCs w:val="32"/>
          <w:highlight w:val="none"/>
          <w:lang w:val="en-US" w:eastAsia="zh-CN"/>
        </w:rPr>
        <w:t>199811</w:t>
      </w:r>
      <w:r>
        <w:rPr>
          <w:rFonts w:hint="eastAsia" w:ascii="仿宋_GB2312" w:hAnsi="仿宋_GB2312" w:eastAsia="仿宋_GB2312" w:cs="仿宋_GB2312"/>
          <w:color w:val="000000"/>
          <w:sz w:val="32"/>
          <w:szCs w:val="32"/>
          <w:highlight w:val="none"/>
        </w:rPr>
        <w:t>万元，同比增长</w:t>
      </w:r>
      <w:r>
        <w:rPr>
          <w:rFonts w:hint="eastAsia" w:ascii="仿宋_GB2312" w:hAnsi="仿宋_GB2312" w:eastAsia="仿宋_GB2312" w:cs="仿宋_GB2312"/>
          <w:color w:val="000000"/>
          <w:sz w:val="32"/>
          <w:szCs w:val="32"/>
          <w:highlight w:val="none"/>
          <w:lang w:val="en-US" w:eastAsia="zh-CN"/>
        </w:rPr>
        <w:t>1.92</w:t>
      </w:r>
      <w:r>
        <w:rPr>
          <w:rFonts w:hint="eastAsia" w:ascii="仿宋_GB2312" w:hAnsi="仿宋_GB2312" w:eastAsia="仿宋_GB2312" w:cs="仿宋_GB2312"/>
          <w:color w:val="000000"/>
          <w:sz w:val="32"/>
          <w:szCs w:val="32"/>
          <w:highlight w:val="none"/>
        </w:rPr>
        <w:t>%;各项支出</w:t>
      </w:r>
      <w:r>
        <w:rPr>
          <w:rFonts w:hint="eastAsia" w:ascii="仿宋_GB2312" w:hAnsi="仿宋_GB2312" w:eastAsia="仿宋_GB2312" w:cs="仿宋_GB2312"/>
          <w:color w:val="000000"/>
          <w:sz w:val="32"/>
          <w:szCs w:val="32"/>
          <w:highlight w:val="none"/>
          <w:lang w:val="en-US" w:eastAsia="zh-CN"/>
        </w:rPr>
        <w:t>154508</w:t>
      </w:r>
      <w:r>
        <w:rPr>
          <w:rFonts w:hint="eastAsia" w:ascii="仿宋_GB2312" w:hAnsi="仿宋_GB2312" w:eastAsia="仿宋_GB2312" w:cs="仿宋_GB2312"/>
          <w:color w:val="000000"/>
          <w:sz w:val="32"/>
          <w:szCs w:val="32"/>
          <w:highlight w:val="none"/>
        </w:rPr>
        <w:t>万元，同比增长</w:t>
      </w:r>
      <w:r>
        <w:rPr>
          <w:rFonts w:hint="eastAsia" w:ascii="仿宋_GB2312" w:hAnsi="仿宋_GB2312" w:eastAsia="仿宋_GB2312" w:cs="仿宋_GB2312"/>
          <w:color w:val="000000"/>
          <w:sz w:val="32"/>
          <w:szCs w:val="32"/>
          <w:highlight w:val="none"/>
          <w:lang w:val="en-US" w:eastAsia="zh-CN"/>
        </w:rPr>
        <w:t>12.04</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bidi w:val="0"/>
        <w:spacing w:line="560" w:lineRule="exact"/>
        <w:ind w:left="0" w:leftChars="0" w:right="0" w:rightChars="0" w:firstLine="643" w:firstLineChars="200"/>
        <w:textAlignment w:val="auto"/>
        <w:outlineLvl w:val="9"/>
        <w:rPr>
          <w:rFonts w:ascii="仿宋" w:hAnsi="仿宋" w:eastAsia="仿宋"/>
          <w:b/>
          <w:color w:val="000000"/>
          <w:sz w:val="32"/>
          <w:szCs w:val="32"/>
          <w:highlight w:val="none"/>
        </w:rPr>
      </w:pPr>
      <w:r>
        <w:rPr>
          <w:rFonts w:hint="eastAsia" w:ascii="楷体" w:hAnsi="楷体" w:eastAsia="楷体"/>
          <w:b/>
          <w:color w:val="000000"/>
          <w:sz w:val="32"/>
          <w:szCs w:val="32"/>
          <w:highlight w:val="none"/>
        </w:rPr>
        <w:t>（二）利润实现情况。</w:t>
      </w:r>
      <w:r>
        <w:rPr>
          <w:rFonts w:hint="eastAsia" w:ascii="仿宋_GB2312" w:hAnsi="仿宋_GB2312" w:eastAsia="仿宋_GB2312" w:cs="仿宋_GB2312"/>
          <w:color w:val="000000"/>
          <w:sz w:val="32"/>
          <w:szCs w:val="32"/>
          <w:highlight w:val="none"/>
        </w:rPr>
        <w:t>经江西中富会计师事务所有限公司审计，确认202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年实现利润总额</w:t>
      </w:r>
      <w:r>
        <w:rPr>
          <w:rFonts w:hint="eastAsia" w:ascii="仿宋_GB2312" w:hAnsi="仿宋_GB2312" w:eastAsia="仿宋_GB2312" w:cs="仿宋_GB2312"/>
          <w:color w:val="000000"/>
          <w:sz w:val="32"/>
          <w:szCs w:val="32"/>
          <w:highlight w:val="none"/>
          <w:lang w:val="en-US" w:eastAsia="zh-CN"/>
        </w:rPr>
        <w:t>45303</w:t>
      </w:r>
      <w:r>
        <w:rPr>
          <w:rFonts w:hint="eastAsia" w:ascii="仿宋_GB2312" w:hAnsi="仿宋_GB2312" w:eastAsia="仿宋_GB2312" w:cs="仿宋_GB2312"/>
          <w:color w:val="000000"/>
          <w:sz w:val="32"/>
          <w:szCs w:val="32"/>
          <w:highlight w:val="none"/>
        </w:rPr>
        <w:t>万元，实现净利润</w:t>
      </w:r>
      <w:r>
        <w:rPr>
          <w:rFonts w:hint="eastAsia" w:ascii="仿宋_GB2312" w:hAnsi="仿宋_GB2312" w:eastAsia="仿宋_GB2312" w:cs="仿宋_GB2312"/>
          <w:color w:val="000000"/>
          <w:sz w:val="32"/>
          <w:szCs w:val="32"/>
          <w:highlight w:val="none"/>
          <w:lang w:val="en-US" w:eastAsia="zh-CN"/>
        </w:rPr>
        <w:t>34304</w:t>
      </w:r>
      <w:r>
        <w:rPr>
          <w:rFonts w:hint="eastAsia" w:ascii="仿宋_GB2312" w:hAnsi="仿宋_GB2312" w:eastAsia="仿宋_GB2312" w:cs="仿宋_GB2312"/>
          <w:color w:val="000000"/>
          <w:sz w:val="32"/>
          <w:szCs w:val="32"/>
          <w:highlight w:val="none"/>
        </w:rPr>
        <w:t>万元。</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（三）利润分配情况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1.按照当年实现净利润的10%提取法定盈余公积。</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2.根据《财政部 税务总局关于延续支持农村金融发展有关税收政策的通知》(财税〔2017〕44号)和《财政部 税务总局关于延续实施普惠金融有关税收优惠政策的公告》（财税〔2020〕22号）规定，计提特种专项准备。</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3.以2023年末股本总额为基数，按股金分红比例8%计提股金红利，其中现金分红比例7%，转增股本1%。</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（四）股权质押情况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截至</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年末，已出质股权</w:t>
      </w:r>
      <w:r>
        <w:rPr>
          <w:rFonts w:hint="eastAsia" w:ascii="仿宋_GB2312" w:hAnsi="仿宋_GB2312" w:eastAsia="仿宋_GB2312" w:cs="仿宋_GB2312"/>
          <w:color w:val="000000"/>
          <w:sz w:val="32"/>
          <w:szCs w:val="32"/>
          <w:highlight w:val="none"/>
          <w:lang w:val="en-US" w:eastAsia="zh-CN"/>
        </w:rPr>
        <w:t>10911</w:t>
      </w:r>
      <w:r>
        <w:rPr>
          <w:rFonts w:hint="eastAsia" w:ascii="仿宋_GB2312" w:hAnsi="仿宋_GB2312" w:eastAsia="仿宋_GB2312" w:cs="仿宋_GB2312"/>
          <w:color w:val="000000"/>
          <w:sz w:val="32"/>
          <w:szCs w:val="32"/>
          <w:highlight w:val="none"/>
        </w:rPr>
        <w:t>万股，占股本总额的</w:t>
      </w:r>
      <w:r>
        <w:rPr>
          <w:rFonts w:hint="eastAsia" w:ascii="仿宋_GB2312" w:hAnsi="仿宋_GB2312" w:eastAsia="仿宋_GB2312" w:cs="仿宋_GB2312"/>
          <w:color w:val="000000"/>
          <w:sz w:val="32"/>
          <w:szCs w:val="32"/>
          <w:highlight w:val="none"/>
          <w:lang w:val="en-US" w:eastAsia="zh-CN"/>
        </w:rPr>
        <w:t>12.53</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hint="eastAsia" w:ascii="楷体" w:hAnsi="楷体" w:eastAsia="楷体"/>
          <w:b/>
          <w:color w:val="000000"/>
          <w:sz w:val="32"/>
          <w:szCs w:val="32"/>
          <w:highlight w:val="none"/>
        </w:rPr>
      </w:pPr>
      <w:r>
        <w:rPr>
          <w:rFonts w:hint="eastAsia" w:ascii="楷体" w:hAnsi="楷体" w:eastAsia="楷体"/>
          <w:b/>
          <w:color w:val="000000"/>
          <w:sz w:val="32"/>
          <w:szCs w:val="32"/>
          <w:highlight w:val="none"/>
        </w:rPr>
        <w:t>（五）关联交易情况</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rPr>
        <w:t>商业银行关联交易是指银行机构与关联方之间发生的利益转移事项。关联交易的类型分为一般关联交易和重大关联交易。一般关联交易指本公司与一个关联方之间单笔交易金额占本公司资本净额1%以下，且该笔交易发生后本公司与该关联方的交易余额占本公司资本净额5%以下的交易。重大关联交易指本公司与一个关联方之间单笔交易金额占本公司资本净额1%以上，或该笔交易发生后与该关联方的交易余额占本公司资本净额5%以上的交易。截至2023年末，本公司关联交易授信金额共67597万元，为本公司资本净额的16.53%，其中一般关联交易金额10597万元、重大关联交易金额57000万元。本公司对最大单个关联方的授信金额57000万元，为本公司资本净额的13.94%，符合监管要求。本行与关联方之间的交易按照商业银行原则和内部审计程序，以不优于对非关联方同类交易的条件进行，关联交易定价政策遵循国家规定、市场价格、关联交易金额及相应比例。</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（六）外部审计机构情况。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hint="eastAsia" w:ascii="黑体" w:hAnsi="黑体" w:eastAsia="黑体" w:cs="黑体"/>
          <w:b w:val="0"/>
          <w:bCs/>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年报审计为江西中富会计师事务所有限公司。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第三章  风险与对策</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仿宋" w:hAnsi="仿宋" w:eastAsia="仿宋"/>
          <w:color w:val="000000"/>
          <w:sz w:val="32"/>
          <w:szCs w:val="32"/>
          <w:highlight w:val="none"/>
        </w:rPr>
      </w:pPr>
      <w:r>
        <w:rPr>
          <w:rFonts w:hint="eastAsia" w:ascii="仿宋_GB2312" w:hAnsi="仿宋_GB2312" w:eastAsia="仿宋_GB2312" w:cs="仿宋_GB2312"/>
          <w:color w:val="000000"/>
          <w:sz w:val="32"/>
          <w:szCs w:val="32"/>
          <w:highlight w:val="none"/>
        </w:rPr>
        <w:t>公司面临的主要风险有信用风险、市场风险、流动性风险、操作风险、信息技术风险以及声誉风险等方面的风险，这是银行机构共同面临的风险，公司针对以上各类风险制定了相应的对策。</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一、信用风险与对策</w:t>
      </w:r>
    </w:p>
    <w:p>
      <w:pPr>
        <w:keepNext w:val="0"/>
        <w:keepLines w:val="0"/>
        <w:pageBreakBefore w:val="0"/>
        <w:kinsoku/>
        <w:wordWrap/>
        <w:overflowPunct/>
        <w:topLinePunct w:val="0"/>
        <w:bidi w:val="0"/>
        <w:spacing w:line="560" w:lineRule="exact"/>
        <w:ind w:left="0" w:leftChars="0" w:right="0" w:rightChars="0" w:firstLine="64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信用风险是借款人不能履行合同按时足额偿还贷款本息而使公司资产遭受损失的可能性。</w:t>
      </w:r>
    </w:p>
    <w:p>
      <w:pPr>
        <w:keepNext w:val="0"/>
        <w:keepLines w:val="0"/>
        <w:pageBreakBefore w:val="0"/>
        <w:kinsoku/>
        <w:wordWrap/>
        <w:overflowPunct/>
        <w:topLinePunct w:val="0"/>
        <w:bidi w:val="0"/>
        <w:spacing w:line="560" w:lineRule="exact"/>
        <w:ind w:left="0" w:leftChars="0" w:right="0" w:rightChars="0" w:firstLine="64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董事会和管理层进一步加强信用风险管控，科学处理风险管理与业务发展的关系。</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bCs/>
          <w:color w:val="000000"/>
          <w:sz w:val="32"/>
          <w:szCs w:val="32"/>
          <w:highlight w:val="none"/>
        </w:rPr>
        <w:t>持续完善内部控制和风险管理体系，</w:t>
      </w:r>
      <w:r>
        <w:rPr>
          <w:rFonts w:hint="eastAsia" w:ascii="仿宋_GB2312" w:hAnsi="仿宋_GB2312" w:eastAsia="仿宋_GB2312" w:cs="仿宋_GB2312"/>
          <w:color w:val="000000"/>
          <w:kern w:val="0"/>
          <w:sz w:val="32"/>
          <w:szCs w:val="32"/>
          <w:highlight w:val="none"/>
        </w:rPr>
        <w:t>根据国家、地区经济发展规划及金融市场状况，结合</w:t>
      </w:r>
      <w:r>
        <w:rPr>
          <w:rFonts w:hint="eastAsia" w:ascii="仿宋_GB2312" w:hAnsi="仿宋_GB2312" w:eastAsia="仿宋_GB2312" w:cs="仿宋_GB2312"/>
          <w:color w:val="000000"/>
          <w:sz w:val="32"/>
          <w:szCs w:val="32"/>
          <w:highlight w:val="none"/>
          <w:lang w:val="zh-CN"/>
        </w:rPr>
        <w:t>本公司</w:t>
      </w:r>
      <w:r>
        <w:rPr>
          <w:rFonts w:hint="eastAsia" w:ascii="仿宋_GB2312" w:hAnsi="仿宋_GB2312" w:eastAsia="仿宋_GB2312" w:cs="仿宋_GB2312"/>
          <w:color w:val="000000"/>
          <w:kern w:val="0"/>
          <w:sz w:val="32"/>
          <w:szCs w:val="32"/>
          <w:highlight w:val="none"/>
        </w:rPr>
        <w:t>的财务状况等</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color w:val="000000"/>
          <w:kern w:val="0"/>
          <w:sz w:val="32"/>
          <w:szCs w:val="32"/>
          <w:highlight w:val="none"/>
        </w:rPr>
        <w:t>制订</w:t>
      </w:r>
      <w:r>
        <w:rPr>
          <w:rFonts w:hint="eastAsia" w:ascii="仿宋_GB2312" w:hAnsi="仿宋_GB2312" w:eastAsia="仿宋_GB2312" w:cs="仿宋_GB2312"/>
          <w:color w:val="000000"/>
          <w:sz w:val="32"/>
          <w:szCs w:val="32"/>
          <w:highlight w:val="none"/>
          <w:lang w:val="zh-CN"/>
        </w:rPr>
        <w:t>本公司</w:t>
      </w:r>
      <w:r>
        <w:rPr>
          <w:rFonts w:hint="eastAsia" w:ascii="仿宋_GB2312" w:hAnsi="仿宋_GB2312" w:eastAsia="仿宋_GB2312" w:cs="仿宋_GB2312"/>
          <w:color w:val="000000"/>
          <w:kern w:val="0"/>
          <w:sz w:val="32"/>
          <w:szCs w:val="32"/>
          <w:highlight w:val="none"/>
        </w:rPr>
        <w:t>信贷政策和指引,</w:t>
      </w:r>
      <w:r>
        <w:rPr>
          <w:rFonts w:hint="eastAsia" w:ascii="仿宋_GB2312" w:hAnsi="仿宋_GB2312" w:eastAsia="仿宋_GB2312" w:cs="仿宋_GB2312"/>
          <w:bCs/>
          <w:color w:val="000000"/>
          <w:sz w:val="32"/>
          <w:szCs w:val="32"/>
          <w:highlight w:val="none"/>
        </w:rPr>
        <w:t>进一步</w:t>
      </w:r>
      <w:r>
        <w:rPr>
          <w:rFonts w:hint="eastAsia" w:ascii="仿宋_GB2312" w:hAnsi="仿宋_GB2312" w:eastAsia="仿宋_GB2312" w:cs="仿宋_GB2312"/>
          <w:color w:val="000000"/>
          <w:sz w:val="32"/>
          <w:szCs w:val="32"/>
          <w:highlight w:val="none"/>
        </w:rPr>
        <w:t>健全了风险管控制度体系。</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坚守金融服务实体经济本源，坚守支农支小市场定位，持续支持乡村振兴战略实施，不断提升小微企业金融服务，严格审慎投放大额贷款，着力夯实信用风险防控基础。</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认真实施无还本续贷、减费让利等政策，缓解小微企业融资压力。</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加强信贷风险监测，全面做好贷款风险识别、计量、监测、控制工作，加大不良贷款清收处置力度，有效防范化解信用风险</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严格落实贷款“三查”制度，综合运用信贷业务尽职免责、信贷质量考核评比、客户经理等级管理等机制，引导客户经理履职尽责，提升贷款业务营销与风险管控水平。</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二、市场风险与对策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市场风险主要是指因利率、汇率的不利变动而使公司表内和表外业务发生损失的风险。公司目前主要面临的市场风险源于市场利率波动，而对公司的存贷利差和其他利率敏感性产品产生的不确定性风险。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为有效地识别、计量、监测和控制各项业务所承担的各类市场风险，</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color w:val="000000"/>
          <w:sz w:val="32"/>
          <w:szCs w:val="32"/>
          <w:highlight w:val="none"/>
        </w:rPr>
        <w:t>明确内部审批、操作和风险管理程序，制定利率和汇率风险管理措施，确保市场风险可控。</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制定《赣州农商银行贷款利率定价管理办法》，进一步完善贷款利率定价规则。</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积极关注金融市场变化尤其是债券等价格敏感型业务，依法合规开展资金市场业务。</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加强宏观利率走势研究，根据市场利率的波动，控制资产配置的久期，合理安排资产到期日，做好资产和负债的期限匹配，保障资产估值的稳定。</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全面、准确地掌握外汇业务政策规定，严格执行落实外汇管理政策，严格按照外汇管理规定办理相关业务。</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三、流动性风险与对策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流动性风险主要是指公司在正常情况下不增加额外成本无法满足存款</w:t>
      </w:r>
      <w:r>
        <w:rPr>
          <w:rFonts w:hint="eastAsia" w:ascii="仿宋_GB2312" w:hAnsi="仿宋_GB2312" w:eastAsia="仿宋_GB2312" w:cs="仿宋_GB2312"/>
          <w:color w:val="000000"/>
          <w:sz w:val="32"/>
          <w:szCs w:val="32"/>
          <w:highlight w:val="none"/>
          <w:lang w:eastAsia="zh-CN"/>
        </w:rPr>
        <w:t>人</w:t>
      </w:r>
      <w:r>
        <w:rPr>
          <w:rFonts w:hint="eastAsia" w:ascii="仿宋_GB2312" w:hAnsi="仿宋_GB2312" w:eastAsia="仿宋_GB2312" w:cs="仿宋_GB2312"/>
          <w:color w:val="000000"/>
          <w:sz w:val="32"/>
          <w:szCs w:val="32"/>
          <w:highlight w:val="none"/>
        </w:rPr>
        <w:t>提现需求和借款</w:t>
      </w:r>
      <w:r>
        <w:rPr>
          <w:rFonts w:hint="eastAsia" w:ascii="仿宋_GB2312" w:hAnsi="仿宋_GB2312" w:eastAsia="仿宋_GB2312" w:cs="仿宋_GB2312"/>
          <w:color w:val="000000"/>
          <w:sz w:val="32"/>
          <w:szCs w:val="32"/>
          <w:highlight w:val="none"/>
          <w:lang w:eastAsia="zh-CN"/>
        </w:rPr>
        <w:t>人</w:t>
      </w:r>
      <w:r>
        <w:rPr>
          <w:rFonts w:hint="eastAsia" w:ascii="仿宋_GB2312" w:hAnsi="仿宋_GB2312" w:eastAsia="仿宋_GB2312" w:cs="仿宋_GB2312"/>
          <w:color w:val="000000"/>
          <w:sz w:val="32"/>
          <w:szCs w:val="32"/>
          <w:highlight w:val="none"/>
        </w:rPr>
        <w:t>的正当贷款需求时出现的经营风险。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本公司遵循“全员参与、动态预防、科学量化、审慎管理”的原则，坚持做好流动性风险监测、管理，确保本公司无论在正常经营环境中还是在压力状态下，都有充足的资金应对资产的增长和到期债务的支付。</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color w:val="000000"/>
          <w:sz w:val="32"/>
          <w:szCs w:val="32"/>
          <w:highlight w:val="none"/>
        </w:rPr>
        <w:t>建立流动性风险管理体系，按照流动性管理办法，做好流动性风险管理的决策、监督和执行。</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lang w:val="zh-CN" w:eastAsia="zh-CN"/>
        </w:rPr>
        <w:t>制订《赣州农商银行流动性风险应急预案》，指定部门</w:t>
      </w:r>
      <w:r>
        <w:rPr>
          <w:rFonts w:hint="eastAsia" w:ascii="仿宋_GB2312" w:hAnsi="仿宋_GB2312" w:eastAsia="仿宋_GB2312" w:cs="仿宋_GB2312"/>
          <w:color w:val="000000"/>
          <w:sz w:val="32"/>
          <w:szCs w:val="32"/>
          <w:highlight w:val="none"/>
        </w:rPr>
        <w:t>每月监测流动性风险状况指标，根据监测指标调控全行资产配置结构。</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综合运用票据、投资、同业等融资工具，加强日常流动性风险的管理。</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合理安排贷款期限结构，科学配置中长期贷款比例，提高信贷资产的质量和流动性。</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加强资金组织工作，拓宽存款资金来源，扩大核心存款比重，确保资金来源稳定。当前，本公司资金流动性充足，具有较强的支付能力，流动性指标优于监管标准，抵御流动性风险能力强。</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四、操作风险与对策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操作风险主要是指公司内控制度缺失，制度执行不力或其他一些人为的错误而导致损失的可能性，尤其是因管理失误和控制缺失所形成的风险。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sz w:val="32"/>
          <w:szCs w:val="32"/>
          <w:highlight w:val="none"/>
        </w:rPr>
        <w:t>对策：</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防范操作风险的主要措施有:</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color w:val="000000"/>
          <w:sz w:val="32"/>
          <w:szCs w:val="32"/>
          <w:highlight w:val="none"/>
        </w:rPr>
        <w:t>建立和完善操作风险管理体系。将操作风险管理纳入全面风险管理，建立以条线部门、风险合规管理部门、审计监督部门为一体的风险防控“三道防线”，不断完善操作风险管理体系，加强对风险的前瞻性分析、科学化研判和针对性处置，处理好稳增长和防风险的关系，确保不发生系统性风险。</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加大内部制度建设及执行力度。</w:t>
      </w:r>
      <w:r>
        <w:rPr>
          <w:rFonts w:hint="eastAsia" w:ascii="仿宋_GB2312" w:hAnsi="仿宋_GB2312" w:eastAsia="仿宋_GB2312" w:cs="仿宋_GB2312"/>
          <w:sz w:val="32"/>
          <w:szCs w:val="32"/>
          <w:lang w:val="en-US" w:eastAsia="zh-CN"/>
        </w:rPr>
        <w:t>2023年完成</w:t>
      </w:r>
      <w:r>
        <w:rPr>
          <w:rFonts w:hint="eastAsia" w:ascii="仿宋_GB2312" w:hAnsi="仿宋_GB2312" w:eastAsia="仿宋_GB2312" w:cs="仿宋_GB2312"/>
          <w:sz w:val="32"/>
          <w:szCs w:val="32"/>
          <w:lang w:eastAsia="zh-CN"/>
        </w:rPr>
        <w:t>制定或修订了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赣州农商银行重大消费投诉处理应急预案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《赣州农商银行金融突发事件总体应急预案》《赣州农商银行贷后管理办法（修订）》</w:t>
      </w:r>
      <w:r>
        <w:rPr>
          <w:rFonts w:hint="eastAsia" w:ascii="仿宋_GB2312" w:hAnsi="仿宋_GB2312" w:eastAsia="仿宋_GB2312" w:cs="仿宋_GB2312"/>
          <w:sz w:val="32"/>
          <w:szCs w:val="32"/>
          <w:highlight w:val="none"/>
          <w:lang w:val="en-US" w:eastAsia="zh-CN"/>
        </w:rPr>
        <w:t>等52个内部控制制度。</w:t>
      </w:r>
      <w:r>
        <w:rPr>
          <w:rFonts w:hint="eastAsia" w:ascii="仿宋_GB2312" w:hAnsi="仿宋_GB2312" w:eastAsia="仿宋_GB2312" w:cs="仿宋_GB2312"/>
          <w:color w:val="000000"/>
          <w:sz w:val="32"/>
          <w:szCs w:val="32"/>
          <w:highlight w:val="none"/>
        </w:rPr>
        <w:t>同时，对制度的合规性、合理性、可操作性和可控有效性等四个方面进行评价，通过梳理、评价，</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制度建设、管控措施日益健全完善，员工合规意识、制度执行力也得到明显提升。</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rPr>
        <w:t>是</w:t>
      </w:r>
      <w:r>
        <w:rPr>
          <w:rFonts w:hint="eastAsia" w:ascii="仿宋_GB2312" w:hAnsi="仿宋_GB2312" w:eastAsia="仿宋_GB2312" w:cs="仿宋_GB2312"/>
          <w:color w:val="000000"/>
          <w:sz w:val="32"/>
          <w:szCs w:val="32"/>
          <w:highlight w:val="none"/>
        </w:rPr>
        <w:t>加强员工行为监督。组织全体员工签订了《员工合规从业承诺书》，制定了《赣州农商银行员工行为循环监督帮扶连带责任管理办法》，开展了家访活动，通过各种渠道和维度方式的监督，为及时了解和掌握员工思想动态、工作情况和生活状况，加强沟通理解，强化风险防控，解决实际问题提供了有力抓手，将监督网络向基层延伸，形成了全员监督、人人有责的监督合力。</w:t>
      </w:r>
      <w:r>
        <w:rPr>
          <w:rFonts w:hint="eastAsia" w:ascii="仿宋_GB2312" w:hAnsi="仿宋_GB2312" w:eastAsia="仿宋_GB2312" w:cs="仿宋_GB2312"/>
          <w:b/>
          <w:bCs/>
          <w:color w:val="000000"/>
          <w:sz w:val="32"/>
          <w:szCs w:val="32"/>
          <w:highlight w:val="none"/>
          <w:lang w:val="en-US" w:eastAsia="zh-CN"/>
        </w:rPr>
        <w:t>四</w:t>
      </w:r>
      <w:r>
        <w:rPr>
          <w:rFonts w:hint="eastAsia" w:ascii="仿宋_GB2312" w:hAnsi="仿宋_GB2312" w:eastAsia="仿宋_GB2312" w:cs="仿宋_GB2312"/>
          <w:b/>
          <w:bCs/>
          <w:color w:val="000000"/>
          <w:sz w:val="32"/>
          <w:szCs w:val="32"/>
          <w:highlight w:val="none"/>
        </w:rPr>
        <w:t>是</w:t>
      </w:r>
      <w:r>
        <w:rPr>
          <w:rFonts w:hint="eastAsia" w:ascii="仿宋_GB2312" w:hAnsi="仿宋_GB2312" w:eastAsia="仿宋_GB2312" w:cs="仿宋_GB2312"/>
          <w:color w:val="000000"/>
          <w:sz w:val="32"/>
          <w:szCs w:val="32"/>
          <w:highlight w:val="none"/>
        </w:rPr>
        <w:t>开展</w:t>
      </w:r>
      <w:r>
        <w:rPr>
          <w:rFonts w:hint="eastAsia" w:ascii="仿宋_GB2312" w:hAnsi="仿宋_GB2312" w:eastAsia="仿宋_GB2312" w:cs="仿宋_GB2312"/>
          <w:color w:val="000000"/>
          <w:sz w:val="32"/>
          <w:szCs w:val="32"/>
          <w:highlight w:val="none"/>
          <w:lang w:val="en-US" w:eastAsia="zh-CN"/>
        </w:rPr>
        <w:t>案件</w:t>
      </w:r>
      <w:r>
        <w:rPr>
          <w:rFonts w:hint="eastAsia" w:ascii="仿宋_GB2312" w:hAnsi="仿宋_GB2312" w:eastAsia="仿宋_GB2312" w:cs="仿宋_GB2312"/>
          <w:color w:val="000000"/>
          <w:sz w:val="32"/>
          <w:szCs w:val="32"/>
          <w:highlight w:val="none"/>
        </w:rPr>
        <w:t>风险排查。年初制定年度</w:t>
      </w:r>
      <w:r>
        <w:rPr>
          <w:rFonts w:hint="eastAsia" w:ascii="仿宋_GB2312" w:hAnsi="仿宋_GB2312" w:eastAsia="仿宋_GB2312" w:cs="仿宋_GB2312"/>
          <w:color w:val="000000"/>
          <w:sz w:val="32"/>
          <w:szCs w:val="32"/>
          <w:highlight w:val="none"/>
          <w:lang w:val="en-US" w:eastAsia="zh-CN"/>
        </w:rPr>
        <w:t>案件</w:t>
      </w:r>
      <w:r>
        <w:rPr>
          <w:rFonts w:hint="eastAsia" w:ascii="仿宋_GB2312" w:hAnsi="仿宋_GB2312" w:eastAsia="仿宋_GB2312" w:cs="仿宋_GB2312"/>
          <w:color w:val="000000"/>
          <w:sz w:val="32"/>
          <w:szCs w:val="32"/>
          <w:highlight w:val="none"/>
        </w:rPr>
        <w:t>风险排查计划，</w:t>
      </w:r>
      <w:r>
        <w:rPr>
          <w:rFonts w:hint="eastAsia" w:ascii="仿宋_GB2312" w:hAnsi="仿宋_GB2312" w:eastAsia="仿宋_GB2312" w:cs="仿宋_GB2312"/>
          <w:color w:val="000000"/>
          <w:sz w:val="32"/>
          <w:szCs w:val="32"/>
          <w:highlight w:val="none"/>
          <w:lang w:val="en-US" w:eastAsia="zh-CN"/>
        </w:rPr>
        <w:t>对</w:t>
      </w:r>
      <w:r>
        <w:rPr>
          <w:rFonts w:hint="eastAsia" w:ascii="仿宋_GB2312" w:hAnsi="仿宋_GB2312" w:eastAsia="仿宋_GB2312" w:cs="仿宋_GB2312"/>
          <w:color w:val="000000"/>
          <w:sz w:val="32"/>
          <w:szCs w:val="32"/>
          <w:highlight w:val="none"/>
        </w:rPr>
        <w:t>覆盖主要业务领域、重点管理环</w:t>
      </w:r>
      <w:r>
        <w:rPr>
          <w:rFonts w:hint="eastAsia" w:ascii="仿宋_GB2312" w:hAnsi="仿宋_GB2312" w:eastAsia="仿宋_GB2312" w:cs="仿宋_GB2312"/>
          <w:color w:val="auto"/>
          <w:sz w:val="32"/>
          <w:szCs w:val="32"/>
          <w:highlight w:val="none"/>
        </w:rPr>
        <w:t>节</w:t>
      </w:r>
      <w:r>
        <w:rPr>
          <w:rFonts w:hint="eastAsia" w:ascii="仿宋_GB2312" w:hAnsi="仿宋_GB2312" w:eastAsia="仿宋_GB2312" w:cs="仿宋_GB2312"/>
          <w:color w:val="auto"/>
          <w:sz w:val="32"/>
          <w:szCs w:val="32"/>
          <w:highlight w:val="none"/>
          <w:lang w:val="en-US" w:eastAsia="zh-CN"/>
        </w:rPr>
        <w:t>的7</w:t>
      </w:r>
      <w:r>
        <w:rPr>
          <w:rFonts w:hint="eastAsia" w:ascii="仿宋_GB2312" w:hAnsi="仿宋_GB2312" w:eastAsia="仿宋_GB2312" w:cs="仿宋_GB2312"/>
          <w:color w:val="auto"/>
          <w:sz w:val="32"/>
          <w:szCs w:val="32"/>
          <w:highlight w:val="none"/>
        </w:rPr>
        <w:t>个部门</w:t>
      </w:r>
      <w:r>
        <w:rPr>
          <w:rFonts w:hint="eastAsia" w:ascii="仿宋_GB2312" w:hAnsi="仿宋_GB2312" w:eastAsia="仿宋_GB2312" w:cs="仿宋_GB2312"/>
          <w:color w:val="auto"/>
          <w:sz w:val="32"/>
          <w:szCs w:val="32"/>
          <w:highlight w:val="none"/>
          <w:lang w:val="en-US" w:eastAsia="zh-CN"/>
        </w:rPr>
        <w:t>16个项目开展</w:t>
      </w:r>
      <w:r>
        <w:rPr>
          <w:rFonts w:hint="eastAsia" w:ascii="仿宋_GB2312" w:hAnsi="仿宋_GB2312" w:eastAsia="仿宋_GB2312" w:cs="仿宋_GB2312"/>
          <w:color w:val="000000"/>
          <w:sz w:val="32"/>
          <w:szCs w:val="32"/>
          <w:highlight w:val="none"/>
          <w:lang w:val="en-US" w:eastAsia="zh-CN"/>
        </w:rPr>
        <w:t>案件风险排查，通过</w:t>
      </w:r>
      <w:r>
        <w:rPr>
          <w:rFonts w:hint="eastAsia" w:ascii="仿宋_GB2312" w:hAnsi="仿宋_GB2312" w:eastAsia="仿宋_GB2312" w:cs="仿宋_GB2312"/>
          <w:color w:val="000000"/>
          <w:sz w:val="32"/>
          <w:szCs w:val="32"/>
          <w:highlight w:val="none"/>
        </w:rPr>
        <w:t>扎实开展案件风险排查工作，切实防范小问题演变成大案件，掌握案防工作主动权，巩固案防工作成果，夯实案防工作基础。</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 w:hAnsi="仿宋" w:eastAsia="黑体"/>
          <w:color w:val="000000"/>
          <w:sz w:val="32"/>
          <w:szCs w:val="32"/>
          <w:highlight w:val="none"/>
        </w:rPr>
      </w:pPr>
      <w:r>
        <w:rPr>
          <w:rFonts w:hint="eastAsia" w:ascii="黑体" w:hAnsi="黑体" w:eastAsia="黑体"/>
          <w:color w:val="000000"/>
          <w:sz w:val="32"/>
          <w:szCs w:val="32"/>
          <w:highlight w:val="none"/>
        </w:rPr>
        <w:t>五、信息技术风险与对策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信息技术风险主要是指由于信息系统和网络技术落后不能满足公司业务发展需求或者存在缺陷，导致非法入侵、病毒、违规操作等情况，从而给公司带来的一定损失风险。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cs="楷体"/>
          <w:b/>
          <w:bCs/>
          <w:color w:val="000000"/>
          <w:sz w:val="32"/>
          <w:szCs w:val="32"/>
          <w:highlight w:val="none"/>
          <w:lang w:val="zh-CN"/>
        </w:rPr>
        <w:t>对策：</w:t>
      </w:r>
      <w:r>
        <w:rPr>
          <w:rFonts w:hint="eastAsia" w:ascii="仿宋_GB2312" w:hAnsi="仿宋_GB2312" w:eastAsia="仿宋_GB2312" w:cs="仿宋_GB2312"/>
          <w:color w:val="000000"/>
          <w:sz w:val="32"/>
          <w:szCs w:val="32"/>
          <w:highlight w:val="none"/>
          <w:lang w:val="zh-CN"/>
        </w:rPr>
        <w:t>本公司制定了完善的计算机信息安全相关管理办法，严格落实各项制度，完善日常管理，保证信息系统的实体安全、运行安全和数据安全。加强中心机房管理，</w:t>
      </w:r>
      <w:r>
        <w:rPr>
          <w:rFonts w:hint="eastAsia" w:ascii="仿宋_GB2312" w:hAnsi="仿宋_GB2312" w:eastAsia="仿宋_GB2312" w:cs="仿宋_GB2312"/>
          <w:color w:val="000000"/>
          <w:sz w:val="32"/>
          <w:szCs w:val="32"/>
          <w:highlight w:val="none"/>
          <w:lang w:val="en-US" w:eastAsia="zh-CN"/>
        </w:rPr>
        <w:t>落实24小时值班制度，</w:t>
      </w:r>
      <w:r>
        <w:rPr>
          <w:rFonts w:hint="eastAsia" w:ascii="仿宋_GB2312" w:hAnsi="仿宋_GB2312" w:eastAsia="仿宋_GB2312" w:cs="仿宋_GB2312"/>
          <w:color w:val="000000"/>
          <w:sz w:val="32"/>
          <w:szCs w:val="32"/>
          <w:highlight w:val="none"/>
          <w:lang w:val="zh-CN"/>
        </w:rPr>
        <w:t>严格按流程操作，提升信息系统的硬件保障能力，信息系统的安全性大大提高；按照规定要求开展网络应急演练，提高应对网络突发事件的处置能力，进一步保障信息系统的稳定性；定期开展信息安全培训，提高员工信息安全风险意识；建立完善</w:t>
      </w:r>
      <w:r>
        <w:rPr>
          <w:rFonts w:hint="eastAsia" w:ascii="仿宋_GB2312" w:hAnsi="仿宋_GB2312" w:eastAsia="仿宋_GB2312" w:cs="仿宋_GB2312"/>
          <w:color w:val="000000"/>
          <w:sz w:val="32"/>
          <w:szCs w:val="32"/>
          <w:highlight w:val="none"/>
          <w:lang w:val="zh-CN" w:eastAsia="zh-CN"/>
        </w:rPr>
        <w:t>的</w:t>
      </w:r>
      <w:r>
        <w:rPr>
          <w:rFonts w:hint="eastAsia" w:ascii="仿宋_GB2312" w:hAnsi="仿宋_GB2312" w:eastAsia="仿宋_GB2312" w:cs="仿宋_GB2312"/>
          <w:color w:val="000000"/>
          <w:sz w:val="32"/>
          <w:szCs w:val="32"/>
          <w:highlight w:val="none"/>
          <w:lang w:val="zh-CN"/>
        </w:rPr>
        <w:t>计算机防火、防灾、防盗措施，严格做好数据保密工作，确保业务数据、办公系统与互联网的物理隔离，完善电子信息系统的防毒、防黑、防泄密工作，切实防范系统性安全隐患。</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rPr>
        <w:t>六、声誉风险与对策</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27" w:firstLineChars="196"/>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声誉风险主要是指由公司经营、管理及其他行为或外部事件导致利益相关方对公司负面评价的风险。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sz w:val="32"/>
          <w:szCs w:val="32"/>
          <w:highlight w:val="none"/>
          <w:lang w:val="zh-CN"/>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lang w:val="zh-CN"/>
        </w:rPr>
        <w:t>本公司重新修订了《赣州农商银行声誉风险(负面舆情）应急处置预案》，建立健全《赣州农商银行声誉风险管理办法》，明确了舆情监测工作机制，成立了重大声誉风险处置领导小组，建立了应急处置与联动机制。加大正面宣传力度，加强品牌文化建设，开展企业形象宣传，不断提高公司知名度。建立信息发布双人审核机制，明确信息发布审批流程，从源头把控声誉舆情风险。运用网络舆情监测平台，强化舆情日常监控、应对、引导和处置工作，有效防范声誉风险。特别强调对外信息发布的审核，严防负面信息，特别是新媒体渠道负面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黑体" w:eastAsia="黑体" w:cs="黑体"/>
          <w:b w:val="0"/>
          <w:bCs/>
          <w:color w:val="000000"/>
          <w:w w:val="90"/>
          <w:sz w:val="32"/>
          <w:szCs w:val="32"/>
          <w:highlight w:val="none"/>
        </w:rPr>
      </w:pPr>
      <w:r>
        <w:rPr>
          <w:rFonts w:hint="eastAsia" w:ascii="黑体" w:hAnsi="黑体" w:eastAsia="黑体" w:cs="黑体"/>
          <w:b w:val="0"/>
          <w:bCs/>
          <w:color w:val="000000"/>
          <w:w w:val="90"/>
          <w:sz w:val="32"/>
          <w:szCs w:val="32"/>
          <w:highlight w:val="none"/>
        </w:rPr>
        <w:t>第四</w:t>
      </w:r>
      <w:r>
        <w:rPr>
          <w:rFonts w:hint="eastAsia" w:ascii="黑体" w:hAnsi="黑体" w:eastAsia="黑体" w:cs="黑体"/>
          <w:b w:val="0"/>
          <w:bCs/>
          <w:color w:val="000000"/>
          <w:sz w:val="32"/>
          <w:szCs w:val="32"/>
          <w:highlight w:val="none"/>
        </w:rPr>
        <w:t>章</w:t>
      </w:r>
      <w:r>
        <w:rPr>
          <w:rFonts w:hint="eastAsia" w:ascii="黑体" w:hAnsi="黑体" w:eastAsia="黑体" w:cs="黑体"/>
          <w:b w:val="0"/>
          <w:bCs/>
          <w:color w:val="000000"/>
          <w:w w:val="90"/>
          <w:sz w:val="32"/>
          <w:szCs w:val="32"/>
          <w:highlight w:val="none"/>
        </w:rPr>
        <w:t xml:space="preserve">  公司治理</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eastAsia="黑体"/>
          <w:b/>
          <w:color w:val="000000"/>
          <w:w w:val="90"/>
          <w:sz w:val="32"/>
          <w:szCs w:val="32"/>
          <w:highlight w:val="none"/>
        </w:rPr>
      </w:pPr>
      <w:r>
        <w:rPr>
          <w:rFonts w:hint="eastAsia" w:ascii="黑体" w:hAnsi="黑体" w:eastAsia="黑体"/>
          <w:color w:val="000000"/>
          <w:sz w:val="32"/>
          <w:szCs w:val="32"/>
          <w:highlight w:val="none"/>
        </w:rPr>
        <w:t>一、年度内召开股东大会情况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于202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日召开202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年度股东大会，</w:t>
      </w:r>
      <w:r>
        <w:rPr>
          <w:rFonts w:hint="eastAsia" w:ascii="仿宋_GB2312" w:hAnsi="仿宋_GB2312" w:eastAsia="仿宋_GB2312" w:cs="仿宋_GB2312"/>
          <w:color w:val="000000"/>
          <w:sz w:val="32"/>
          <w:szCs w:val="32"/>
          <w:highlight w:val="none"/>
          <w:lang w:eastAsia="zh-CN"/>
        </w:rPr>
        <w:t>会议</w:t>
      </w:r>
      <w:r>
        <w:rPr>
          <w:rFonts w:hint="eastAsia" w:ascii="仿宋_GB2312" w:hAnsi="仿宋_GB2312" w:eastAsia="仿宋_GB2312" w:cs="仿宋_GB2312"/>
          <w:color w:val="000000"/>
          <w:sz w:val="32"/>
          <w:szCs w:val="32"/>
          <w:highlight w:val="none"/>
        </w:rPr>
        <w:t>审议通过</w:t>
      </w:r>
      <w:r>
        <w:rPr>
          <w:rFonts w:hint="eastAsia" w:ascii="仿宋_GB2312" w:hAnsi="仿宋_GB2312" w:eastAsia="仿宋_GB2312" w:cs="仿宋_GB2312"/>
          <w:color w:val="auto"/>
          <w:sz w:val="32"/>
          <w:szCs w:val="32"/>
        </w:rPr>
        <w:t>《赣州农村商业银行股份有限公司</w:t>
      </w:r>
      <w:r>
        <w:rPr>
          <w:rFonts w:hint="eastAsia" w:ascii="仿宋_GB2312" w:hAnsi="仿宋_GB2312" w:cs="仿宋_GB2312"/>
          <w:color w:val="auto"/>
          <w:sz w:val="32"/>
          <w:szCs w:val="32"/>
          <w:lang w:eastAsia="zh-CN"/>
        </w:rPr>
        <w:t>2022</w:t>
      </w:r>
      <w:r>
        <w:rPr>
          <w:rFonts w:hint="eastAsia" w:ascii="仿宋_GB2312" w:hAnsi="仿宋_GB2312" w:eastAsia="仿宋_GB2312" w:cs="仿宋_GB2312"/>
          <w:color w:val="auto"/>
          <w:sz w:val="32"/>
          <w:szCs w:val="32"/>
        </w:rPr>
        <w:t>年度董事会工作报告》《</w:t>
      </w:r>
      <w:r>
        <w:rPr>
          <w:rFonts w:hint="eastAsia" w:ascii="仿宋_GB2312" w:hAnsi="仿宋_GB2312" w:eastAsia="仿宋_GB2312" w:cs="仿宋_GB2312"/>
          <w:color w:val="auto"/>
          <w:sz w:val="32"/>
          <w:szCs w:val="32"/>
          <w:lang w:val="en-US" w:eastAsia="zh-CN"/>
        </w:rPr>
        <w:t>赣州农村商业银行股份有限公司</w:t>
      </w:r>
      <w:r>
        <w:rPr>
          <w:rFonts w:hint="eastAsia" w:ascii="仿宋_GB2312" w:hAnsi="仿宋_GB2312" w:cs="仿宋_GB2312"/>
          <w:color w:val="auto"/>
          <w:sz w:val="32"/>
          <w:szCs w:val="32"/>
          <w:lang w:val="en-US" w:eastAsia="zh-CN"/>
        </w:rPr>
        <w:t>2022</w:t>
      </w:r>
      <w:r>
        <w:rPr>
          <w:rFonts w:hint="eastAsia" w:ascii="仿宋_GB2312" w:hAnsi="仿宋_GB2312" w:eastAsia="仿宋_GB2312" w:cs="仿宋_GB2312"/>
          <w:color w:val="auto"/>
          <w:sz w:val="32"/>
          <w:szCs w:val="32"/>
          <w:lang w:val="en-US" w:eastAsia="zh-CN"/>
        </w:rPr>
        <w:t>年度监事会工作报告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赣州农村商业银行股份有限公司</w:t>
      </w:r>
      <w:r>
        <w:rPr>
          <w:rFonts w:hint="eastAsia" w:ascii="仿宋_GB2312" w:hAnsi="仿宋_GB2312" w:cs="仿宋_GB2312"/>
          <w:color w:val="auto"/>
          <w:sz w:val="32"/>
          <w:szCs w:val="32"/>
          <w:lang w:val="en-US" w:eastAsia="zh-CN"/>
        </w:rPr>
        <w:t>2022</w:t>
      </w:r>
      <w:r>
        <w:rPr>
          <w:rFonts w:hint="eastAsia" w:ascii="仿宋_GB2312" w:hAnsi="仿宋_GB2312" w:eastAsia="仿宋_GB2312" w:cs="仿宋_GB2312"/>
          <w:color w:val="auto"/>
          <w:sz w:val="32"/>
          <w:szCs w:val="32"/>
          <w:lang w:val="en-US" w:eastAsia="zh-CN"/>
        </w:rPr>
        <w:t>年度财务决算情况及202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年财务预算报告》《赣州农村商业银行股份有限公司2022年度利润分配方案》《关于选举涂杰平担任赣州农村商业银行股份有限公司第三届董事会独立董事的议案》《关于明确赣州农村商业银行股</w:t>
      </w:r>
      <w:r>
        <w:rPr>
          <w:rFonts w:hint="eastAsia" w:ascii="仿宋_GB2312" w:hAnsi="仿宋_GB2312" w:eastAsia="仿宋_GB2312" w:cs="仿宋_GB2312"/>
          <w:color w:val="auto"/>
          <w:sz w:val="32"/>
          <w:szCs w:val="32"/>
          <w:lang w:val="zh-CN" w:eastAsia="zh-CN"/>
        </w:rPr>
        <w:t>份有限公司</w:t>
      </w:r>
      <w:r>
        <w:rPr>
          <w:rFonts w:hint="eastAsia" w:ascii="仿宋_GB2312" w:hAnsi="仿宋_GB2312" w:eastAsia="仿宋_GB2312" w:cs="仿宋_GB2312"/>
          <w:color w:val="auto"/>
          <w:sz w:val="32"/>
          <w:szCs w:val="32"/>
          <w:lang w:val="en-US" w:eastAsia="zh-CN"/>
        </w:rPr>
        <w:t>独立董事薪酬的议案》《关于修订&lt;赣州农村商业银行股份有限公司股东大会议事规则&gt;的议案》《关于修订&lt;赣州农村商业银行股份有限公司董事会议事规则&gt;的议案》《关于修订&lt;赣州农村商业银行股份有限公司监事会议事规则&gt;的议案》等9个议案</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二、董事会的构成及其工作情况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董事会由9名董事组成，董事会下设战略、提名与薪酬、三农、信息科技、风险管理与关联交易委员会、合规、消费者权益保护、审计、普惠金融等专门委员会。全体董事恪尽职守，积极参与</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重大问题的研究和决策，注重维护</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和全体股东的利益。</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2023年6月27日，</w:t>
      </w:r>
      <w:r>
        <w:rPr>
          <w:rFonts w:hint="eastAsia" w:ascii="仿宋_GB2312" w:hAnsi="仿宋_GB2312" w:eastAsia="仿宋_GB2312" w:cs="仿宋_GB2312"/>
          <w:color w:val="000000"/>
          <w:sz w:val="32"/>
          <w:szCs w:val="32"/>
          <w:highlight w:val="none"/>
          <w:lang w:eastAsia="zh-CN"/>
        </w:rPr>
        <w:t>本公司召开</w:t>
      </w:r>
      <w:r>
        <w:rPr>
          <w:rFonts w:hint="eastAsia" w:ascii="仿宋_GB2312" w:hAnsi="仿宋_GB2312" w:eastAsia="仿宋_GB2312" w:cs="仿宋_GB2312"/>
          <w:color w:val="000000"/>
          <w:sz w:val="32"/>
          <w:szCs w:val="32"/>
          <w:highlight w:val="none"/>
        </w:rPr>
        <w:t>第三届董事会第十四次会议，</w:t>
      </w:r>
      <w:r>
        <w:rPr>
          <w:rFonts w:hint="eastAsia" w:ascii="仿宋_GB2312" w:hAnsi="仿宋_GB2312" w:eastAsia="仿宋_GB2312" w:cs="仿宋_GB2312"/>
          <w:color w:val="000000"/>
          <w:sz w:val="32"/>
          <w:szCs w:val="32"/>
          <w:highlight w:val="none"/>
          <w:lang w:eastAsia="zh-CN"/>
        </w:rPr>
        <w:t>会议审议</w:t>
      </w:r>
      <w:r>
        <w:rPr>
          <w:rFonts w:hint="eastAsia" w:ascii="仿宋_GB2312" w:hAnsi="仿宋_GB2312" w:eastAsia="仿宋_GB2312" w:cs="仿宋_GB2312"/>
          <w:color w:val="000000"/>
          <w:sz w:val="32"/>
          <w:szCs w:val="32"/>
          <w:highlight w:val="none"/>
        </w:rPr>
        <w:t>通过了《关于提请解聘陈迎宾赣州农村商业银行股份有限公司第三届董事会董事长职务的议案》《关于选举刘全华同志担任赣州农村商业银行股份有限公司第三届董事会董事长的议案》《关于滕清安辞去赣州农村商业银行股份有限公司第三届董事会董事职务的议案（草案）》《关于提请解聘</w:t>
      </w:r>
      <w:r>
        <w:rPr>
          <w:rFonts w:hint="eastAsia" w:ascii="仿宋_GB2312" w:hAnsi="仿宋_GB2312" w:eastAsia="仿宋_GB2312" w:cs="仿宋_GB2312"/>
          <w:color w:val="000000"/>
          <w:sz w:val="32"/>
          <w:szCs w:val="32"/>
          <w:highlight w:val="none"/>
          <w:lang w:eastAsia="zh-CN"/>
        </w:rPr>
        <w:t>曾绍敏</w:t>
      </w:r>
      <w:r>
        <w:rPr>
          <w:rFonts w:hint="eastAsia" w:ascii="仿宋_GB2312" w:hAnsi="仿宋_GB2312" w:eastAsia="仿宋_GB2312" w:cs="仿宋_GB2312"/>
          <w:color w:val="000000"/>
          <w:sz w:val="32"/>
          <w:szCs w:val="32"/>
          <w:highlight w:val="none"/>
        </w:rPr>
        <w:t>同志赣州农商银行副行长职务的议案》《关于提名涂杰平担任赣州农村商业银行股份有限公司第三届董事会独立董事的议案》《赣州农村商业银行股份有限公司2022年度董事会工作报告（草案）》《赣州农村商业银行股份有限公司2022年度业务经营工作报告》《赣州农村商业银行股份有限公司2022年财务决算及2023年财务预算报告（草案）》《赣州农村商业银行股份有限公司2022年度利润分配方案（草案）》《赣州农村商业银行股份有限公司2022年度股权管理情况报告》《赣州农村商业银行股份有限公司2022年度报告》《关于明确赣州农村商业银行股份有限公司独立董事薪酬的议案（草案）》《赣州农村商业银行股份有限公司董事会战略委员会2022年度工作报告》《赣州农村商业银行股份有限公司董事会提名与薪酬委员会2022年度工作报告》《赣州农村商业银行股份有限公司董事会风险管理与关联交易委员会2022年度工作报告》《赣州农村商业银行股份有限公司董事会审计委员会2022年度工作报告》《赣州农村商业银行股份有限公司董事会三农委员会2022年度工作报告》《赣州农村商业银行股份有限公司董事会普惠金融委员会2022年度工作报告》《赣州农村商业银行股份有限公司董事会消费者权益保护委员会2022年度工作报告》《赣州农村商业银行股份有限公司董事会合规委员会2022年度工作报告》《赣州农村商业银行股份有限公司董事会信息科技委员会2022年度工作报告》《赣州农村商业银行股份有限公司2022年内部控制综合评价报告》《赣州农村商业银行股份有限公司2022年反洗钱和反恐怖融资工作情况报告》《赣州农村商业银行股份有限公司2022年度绿色信贷发展情况报告》《赣州农村商业银行股份有限公司2022年度流动性风险管理情况报告》《关于确认赣州农村商业银行股份有限公司关联方名录的议案》《关于修订&lt;赣州农村商业银行股份有限公司关联交易管理办法&gt;的议案》《关于修订&lt;赣州农村商业银行股份有限公司股东大会议事规则&gt;的议案》《关于修订&lt;赣州农村商业银行股份有限公司董事会议事规则&gt;的议案》《赣州农村商业银行股份有限公司信息科技管理委员会议事规则》《关于审议赣州农村商业银行股份有限公司互联网贷款产品风险模型的议案》</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lang w:val="en-US" w:eastAsia="zh-CN"/>
        </w:rPr>
        <w:t>31个议案</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2023年7月21日，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召开第三届董事会第十五次会议，</w:t>
      </w:r>
      <w:r>
        <w:rPr>
          <w:rFonts w:hint="eastAsia" w:ascii="仿宋_GB2312" w:hAnsi="仿宋_GB2312" w:eastAsia="仿宋_GB2312" w:cs="仿宋_GB2312"/>
          <w:color w:val="000000"/>
          <w:sz w:val="32"/>
          <w:szCs w:val="32"/>
          <w:highlight w:val="none"/>
          <w:lang w:eastAsia="zh-CN"/>
        </w:rPr>
        <w:t>会议审议</w:t>
      </w:r>
      <w:r>
        <w:rPr>
          <w:rFonts w:hint="eastAsia" w:ascii="仿宋_GB2312" w:hAnsi="仿宋_GB2312" w:eastAsia="仿宋_GB2312" w:cs="仿宋_GB2312"/>
          <w:color w:val="000000"/>
          <w:sz w:val="32"/>
          <w:szCs w:val="32"/>
          <w:highlight w:val="none"/>
        </w:rPr>
        <w:t>通过《关于赣州农商银行董事会授权董事长职权事项的议案》《关于赣州农商银行董事会授权行长职权事项的议案》《赣州农商银行2022年度董事履职评价报告》</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lang w:val="en-US" w:eastAsia="zh-CN"/>
        </w:rPr>
        <w:t>3个议案</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（三）2023年11月30日，本公司召开第三届董事会第十六次会议，会议审议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eastAsia="zh-CN"/>
        </w:rPr>
        <w:t>《关于调整董事会下设相关专门委员会组成人员的议案》。</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2023年12月29日，</w:t>
      </w:r>
      <w:r>
        <w:rPr>
          <w:rFonts w:hint="eastAsia" w:ascii="仿宋_GB2312" w:hAnsi="仿宋_GB2312" w:eastAsia="仿宋_GB2312" w:cs="仿宋_GB2312"/>
          <w:color w:val="000000"/>
          <w:sz w:val="32"/>
          <w:szCs w:val="32"/>
          <w:highlight w:val="none"/>
          <w:lang w:eastAsia="zh-CN"/>
        </w:rPr>
        <w:t>本公司以通讯方式</w:t>
      </w:r>
      <w:r>
        <w:rPr>
          <w:rFonts w:hint="eastAsia" w:ascii="仿宋_GB2312" w:hAnsi="仿宋_GB2312" w:eastAsia="仿宋_GB2312" w:cs="仿宋_GB2312"/>
          <w:color w:val="000000"/>
          <w:sz w:val="32"/>
          <w:szCs w:val="32"/>
          <w:highlight w:val="none"/>
        </w:rPr>
        <w:t>召开第三届董事会第十七次会议，</w:t>
      </w:r>
      <w:r>
        <w:rPr>
          <w:rFonts w:hint="eastAsia" w:ascii="仿宋_GB2312" w:hAnsi="仿宋_GB2312" w:eastAsia="仿宋_GB2312" w:cs="仿宋_GB2312"/>
          <w:color w:val="000000"/>
          <w:sz w:val="32"/>
          <w:szCs w:val="32"/>
          <w:highlight w:val="none"/>
          <w:lang w:eastAsia="zh-CN"/>
        </w:rPr>
        <w:t>会议审议</w:t>
      </w:r>
      <w:r>
        <w:rPr>
          <w:rFonts w:hint="eastAsia" w:ascii="仿宋_GB2312" w:hAnsi="仿宋_GB2312" w:eastAsia="仿宋_GB2312" w:cs="仿宋_GB2312"/>
          <w:color w:val="000000"/>
          <w:sz w:val="32"/>
          <w:szCs w:val="32"/>
          <w:highlight w:val="none"/>
        </w:rPr>
        <w:t>通过《关于提请解聘黄敬东同志赣州农商银行副行长职务的议案》《赣州农商银行重大关联交易审查审议（批）报告》</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lang w:val="en-US" w:eastAsia="zh-CN"/>
        </w:rPr>
        <w:t>2个议案</w:t>
      </w:r>
      <w:r>
        <w:rPr>
          <w:rFonts w:hint="eastAsia" w:ascii="仿宋_GB2312" w:hAnsi="仿宋_GB2312" w:eastAsia="仿宋_GB2312" w:cs="仿宋_GB2312"/>
          <w:color w:val="000000"/>
          <w:sz w:val="32"/>
          <w:szCs w:val="32"/>
          <w:highlight w:val="none"/>
        </w:rPr>
        <w:t>。</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三、独立董事履职情况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报告期内，根据《公司法》和</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《章程》，</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独立董事参加所有董事会会议并发表独立意见，审议报告期内各次董事会审议通过的所有</w:t>
      </w:r>
      <w:r>
        <w:rPr>
          <w:rFonts w:hint="eastAsia" w:ascii="仿宋_GB2312" w:hAnsi="仿宋_GB2312" w:eastAsia="仿宋_GB2312" w:cs="仿宋_GB2312"/>
          <w:color w:val="000000"/>
          <w:sz w:val="32"/>
          <w:szCs w:val="32"/>
          <w:highlight w:val="none"/>
          <w:lang w:eastAsia="zh-CN"/>
        </w:rPr>
        <w:t>议</w:t>
      </w:r>
      <w:r>
        <w:rPr>
          <w:rFonts w:hint="eastAsia" w:ascii="仿宋_GB2312" w:hAnsi="仿宋_GB2312" w:eastAsia="仿宋_GB2312" w:cs="仿宋_GB2312"/>
          <w:color w:val="000000"/>
          <w:sz w:val="32"/>
          <w:szCs w:val="32"/>
          <w:highlight w:val="none"/>
        </w:rPr>
        <w:t>案。</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eastAsia="宋体"/>
          <w:b/>
          <w:color w:val="FF0000"/>
          <w:sz w:val="44"/>
          <w:szCs w:val="44"/>
          <w:highlight w:val="none"/>
          <w:lang w:val="en-US" w:eastAsia="zh-CN"/>
        </w:rPr>
      </w:pPr>
      <w:r>
        <w:rPr>
          <w:rFonts w:hint="eastAsia" w:ascii="黑体" w:hAnsi="黑体" w:eastAsia="黑体"/>
          <w:color w:val="000000"/>
          <w:sz w:val="32"/>
          <w:szCs w:val="32"/>
          <w:highlight w:val="none"/>
        </w:rPr>
        <w:t>四、监事会的构成及其工作情况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本公司监事会由7名监事组成。全体监事能够按照公司章程的规定认真履行职责，本着对股东负责的态度，对公司财务以及董事、行长和其他高管履行职责的合法性进行监督。</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_GB2312" w:hAnsi="楷体_GB2312" w:eastAsia="楷体_GB2312" w:cs="楷体_GB2312"/>
          <w:b/>
          <w:color w:val="000000"/>
          <w:sz w:val="32"/>
          <w:szCs w:val="32"/>
          <w:highlight w:val="none"/>
        </w:rPr>
        <w:t>（一）监事会</w:t>
      </w:r>
      <w:r>
        <w:rPr>
          <w:rFonts w:hint="eastAsia" w:ascii="楷体_GB2312" w:hAnsi="楷体_GB2312" w:eastAsia="楷体_GB2312" w:cs="楷体_GB2312"/>
          <w:b/>
          <w:color w:val="000000"/>
          <w:sz w:val="32"/>
          <w:szCs w:val="32"/>
          <w:highlight w:val="none"/>
          <w:lang w:eastAsia="zh-CN"/>
        </w:rPr>
        <w:t>工作及其</w:t>
      </w:r>
      <w:r>
        <w:rPr>
          <w:rFonts w:hint="eastAsia" w:ascii="楷体_GB2312" w:hAnsi="楷体_GB2312" w:eastAsia="楷体_GB2312" w:cs="楷体_GB2312"/>
          <w:b/>
          <w:color w:val="000000"/>
          <w:sz w:val="32"/>
          <w:szCs w:val="32"/>
          <w:highlight w:val="none"/>
        </w:rPr>
        <w:t>会议</w:t>
      </w:r>
      <w:r>
        <w:rPr>
          <w:rFonts w:hint="eastAsia" w:ascii="楷体_GB2312" w:hAnsi="楷体_GB2312" w:eastAsia="楷体_GB2312" w:cs="楷体_GB2312"/>
          <w:b/>
          <w:color w:val="000000"/>
          <w:sz w:val="32"/>
          <w:szCs w:val="32"/>
          <w:highlight w:val="none"/>
          <w:lang w:eastAsia="zh-CN"/>
        </w:rPr>
        <w:t>召开</w:t>
      </w:r>
      <w:r>
        <w:rPr>
          <w:rFonts w:hint="eastAsia" w:ascii="楷体_GB2312" w:hAnsi="楷体_GB2312" w:eastAsia="楷体_GB2312" w:cs="楷体_GB2312"/>
          <w:b/>
          <w:color w:val="000000"/>
          <w:sz w:val="32"/>
          <w:szCs w:val="32"/>
          <w:highlight w:val="none"/>
        </w:rPr>
        <w:t>情况</w:t>
      </w:r>
    </w:p>
    <w:p>
      <w:pPr>
        <w:keepNext w:val="0"/>
        <w:keepLines w:val="0"/>
        <w:pageBreakBefore w:val="0"/>
        <w:widowControl w:val="0"/>
        <w:kinsoku/>
        <w:wordWrap/>
        <w:overflowPunct/>
        <w:topLinePunct w:val="0"/>
        <w:bidi w:val="0"/>
        <w:snapToGrid w:val="0"/>
        <w:spacing w:line="560" w:lineRule="exact"/>
        <w:ind w:left="0" w:leftChars="0" w:right="0" w:rightChars="0" w:firstLine="544" w:firstLineChars="170"/>
        <w:jc w:val="both"/>
        <w:textAlignment w:val="auto"/>
        <w:outlineLvl w:val="9"/>
        <w:rPr>
          <w:rFonts w:hint="eastAsia" w:ascii="仿宋_GB2312" w:hAnsi="仿宋_GB2312" w:eastAsia="仿宋_GB2312" w:cs="仿宋_GB2312"/>
          <w:b w:val="0"/>
          <w:bCs/>
          <w:color w:val="000000"/>
          <w:kern w:val="0"/>
          <w:sz w:val="32"/>
          <w:szCs w:val="32"/>
          <w:highlight w:val="none"/>
          <w:lang w:val="zh-CN" w:eastAsia="zh-CN"/>
        </w:rPr>
      </w:pPr>
      <w:r>
        <w:rPr>
          <w:rFonts w:hint="eastAsia" w:ascii="仿宋_GB2312" w:hAnsi="仿宋_GB2312" w:eastAsia="仿宋_GB2312" w:cs="仿宋_GB2312"/>
          <w:kern w:val="0"/>
          <w:sz w:val="32"/>
          <w:szCs w:val="32"/>
          <w:highlight w:val="none"/>
          <w:lang w:eastAsia="zh-CN"/>
        </w:rPr>
        <w:t>2023年</w:t>
      </w:r>
      <w:r>
        <w:rPr>
          <w:rFonts w:hint="eastAsia" w:ascii="仿宋_GB2312" w:hAnsi="仿宋_GB2312" w:eastAsia="仿宋_GB2312" w:cs="仿宋_GB2312"/>
          <w:kern w:val="0"/>
          <w:sz w:val="32"/>
          <w:szCs w:val="32"/>
          <w:highlight w:val="none"/>
        </w:rPr>
        <w:t>,监事会根据国家有关法律、法规和《公司章程》规定,切实履行监督职责，有效促进公司治理的完善、风险管控的强化、经营管理的转型，保障了全行各项业务持续健康发展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b/>
          <w:bCs/>
          <w:kern w:val="0"/>
          <w:sz w:val="32"/>
          <w:szCs w:val="32"/>
          <w:highlight w:val="none"/>
          <w:lang w:eastAsia="zh-CN"/>
        </w:rPr>
        <w:t>一是</w:t>
      </w:r>
      <w:r>
        <w:rPr>
          <w:rFonts w:hint="eastAsia" w:ascii="仿宋_GB2312" w:hAnsi="仿宋_GB2312" w:eastAsia="仿宋_GB2312" w:cs="仿宋_GB2312"/>
          <w:color w:val="000000"/>
          <w:kern w:val="0"/>
          <w:sz w:val="32"/>
          <w:szCs w:val="32"/>
          <w:highlight w:val="none"/>
        </w:rPr>
        <w:t>通过列席会议、参与议事、开展检查和组织调研等方式，有效监督董事会和高级管理层及其成员履职情况。</w:t>
      </w:r>
      <w:r>
        <w:rPr>
          <w:rFonts w:hint="eastAsia" w:ascii="仿宋_GB2312" w:hAnsi="仿宋_GB2312" w:eastAsia="仿宋_GB2312" w:cs="仿宋_GB2312"/>
          <w:color w:val="000000"/>
          <w:kern w:val="0"/>
          <w:sz w:val="32"/>
          <w:szCs w:val="32"/>
          <w:highlight w:val="none"/>
          <w:lang w:eastAsia="zh-CN"/>
        </w:rPr>
        <w:t>本公司</w:t>
      </w:r>
      <w:r>
        <w:rPr>
          <w:rFonts w:hint="eastAsia" w:ascii="仿宋_GB2312" w:hAnsi="仿宋_GB2312" w:eastAsia="仿宋_GB2312" w:cs="仿宋_GB2312"/>
          <w:color w:val="000000"/>
          <w:kern w:val="0"/>
          <w:sz w:val="32"/>
          <w:szCs w:val="32"/>
          <w:highlight w:val="none"/>
          <w:lang w:val="en-US" w:eastAsia="zh-CN"/>
        </w:rPr>
        <w:t>3名外部监事</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全年</w:t>
      </w:r>
      <w:r>
        <w:rPr>
          <w:rFonts w:hint="eastAsia" w:ascii="仿宋_GB2312" w:hAnsi="仿宋_GB2312" w:eastAsia="仿宋_GB2312" w:cs="仿宋_GB2312"/>
          <w:color w:val="auto"/>
          <w:sz w:val="32"/>
          <w:szCs w:val="32"/>
          <w:highlight w:val="none"/>
          <w:lang w:eastAsia="zh-CN"/>
        </w:rPr>
        <w:t>从事</w:t>
      </w:r>
      <w:r>
        <w:rPr>
          <w:rFonts w:hint="eastAsia" w:ascii="仿宋_GB2312" w:hAnsi="仿宋_GB2312" w:eastAsia="仿宋_GB2312" w:cs="仿宋_GB2312"/>
          <w:color w:val="000000"/>
          <w:kern w:val="0"/>
          <w:sz w:val="32"/>
          <w:szCs w:val="32"/>
          <w:highlight w:val="none"/>
          <w:lang w:eastAsia="zh-CN"/>
        </w:rPr>
        <w:t>本公司</w:t>
      </w:r>
      <w:r>
        <w:rPr>
          <w:rFonts w:hint="eastAsia" w:ascii="仿宋_GB2312" w:hAnsi="仿宋_GB2312" w:eastAsia="仿宋_GB2312" w:cs="仿宋_GB2312"/>
          <w:color w:val="auto"/>
          <w:sz w:val="32"/>
          <w:szCs w:val="32"/>
          <w:highlight w:val="none"/>
          <w:lang w:eastAsia="zh-CN"/>
        </w:rPr>
        <w:t>监督工作均在十五个工作日以上，</w:t>
      </w:r>
      <w:r>
        <w:rPr>
          <w:rFonts w:hint="eastAsia" w:ascii="仿宋_GB2312" w:hAnsi="仿宋_GB2312" w:eastAsia="仿宋_GB2312" w:cs="仿宋_GB2312"/>
          <w:color w:val="000000"/>
          <w:kern w:val="0"/>
          <w:sz w:val="32"/>
          <w:szCs w:val="32"/>
          <w:highlight w:val="none"/>
        </w:rPr>
        <w:t>为董事会决策和经营管理提供了参考意见，从整体上</w:t>
      </w:r>
      <w:r>
        <w:rPr>
          <w:rFonts w:hint="eastAsia" w:ascii="仿宋_GB2312" w:hAnsi="仿宋_GB2312" w:eastAsia="仿宋_GB2312" w:cs="仿宋_GB2312"/>
          <w:color w:val="000000"/>
          <w:kern w:val="0"/>
          <w:sz w:val="32"/>
          <w:szCs w:val="32"/>
          <w:highlight w:val="none"/>
          <w:lang w:eastAsia="zh-CN"/>
        </w:rPr>
        <w:t>加</w:t>
      </w:r>
      <w:r>
        <w:rPr>
          <w:rFonts w:hint="eastAsia" w:ascii="仿宋_GB2312" w:hAnsi="仿宋_GB2312" w:eastAsia="仿宋_GB2312" w:cs="仿宋_GB2312"/>
          <w:color w:val="000000"/>
          <w:kern w:val="0"/>
          <w:sz w:val="32"/>
          <w:szCs w:val="32"/>
          <w:highlight w:val="none"/>
        </w:rPr>
        <w:t>强对公司依法经营情况的监督作用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eastAsia="zh-CN"/>
        </w:rPr>
        <w:t>二是</w:t>
      </w:r>
      <w:r>
        <w:rPr>
          <w:rFonts w:hint="eastAsia" w:ascii="仿宋_GB2312" w:hAnsi="仿宋_GB2312" w:eastAsia="仿宋_GB2312" w:cs="仿宋_GB2312"/>
          <w:b w:val="0"/>
          <w:bCs w:val="0"/>
          <w:color w:val="000000"/>
          <w:kern w:val="0"/>
          <w:sz w:val="32"/>
          <w:szCs w:val="32"/>
          <w:highlight w:val="none"/>
          <w:lang w:eastAsia="zh-CN"/>
        </w:rPr>
        <w:t>通过</w:t>
      </w:r>
      <w:r>
        <w:rPr>
          <w:rFonts w:hint="eastAsia" w:ascii="仿宋_GB2312" w:hAnsi="仿宋_GB2312" w:eastAsia="仿宋_GB2312" w:cs="仿宋_GB2312"/>
          <w:b w:val="0"/>
          <w:bCs w:val="0"/>
          <w:color w:val="000000"/>
          <w:kern w:val="0"/>
          <w:sz w:val="32"/>
          <w:szCs w:val="32"/>
          <w:highlight w:val="none"/>
        </w:rPr>
        <w:t>日常监督检查</w:t>
      </w:r>
      <w:r>
        <w:rPr>
          <w:rFonts w:hint="eastAsia" w:ascii="仿宋_GB2312" w:hAnsi="仿宋_GB2312" w:eastAsia="仿宋_GB2312" w:cs="仿宋_GB2312"/>
          <w:b w:val="0"/>
          <w:bCs w:val="0"/>
          <w:color w:val="000000"/>
          <w:kern w:val="0"/>
          <w:sz w:val="32"/>
          <w:szCs w:val="32"/>
          <w:highlight w:val="none"/>
          <w:lang w:eastAsia="zh-CN"/>
        </w:rPr>
        <w:t>、定期</w:t>
      </w:r>
      <w:r>
        <w:rPr>
          <w:rFonts w:hint="eastAsia" w:ascii="仿宋_GB2312" w:hAnsi="仿宋_GB2312" w:eastAsia="仿宋_GB2312" w:cs="仿宋_GB2312"/>
          <w:b w:val="0"/>
          <w:bCs w:val="0"/>
          <w:color w:val="000000"/>
          <w:kern w:val="0"/>
          <w:sz w:val="32"/>
          <w:szCs w:val="32"/>
          <w:highlight w:val="none"/>
        </w:rPr>
        <w:t>审核</w:t>
      </w:r>
      <w:r>
        <w:rPr>
          <w:rFonts w:hint="eastAsia" w:ascii="仿宋_GB2312" w:hAnsi="仿宋_GB2312" w:eastAsia="仿宋_GB2312" w:cs="仿宋_GB2312"/>
          <w:b w:val="0"/>
          <w:bCs w:val="0"/>
          <w:color w:val="000000"/>
          <w:kern w:val="0"/>
          <w:sz w:val="32"/>
          <w:szCs w:val="32"/>
          <w:highlight w:val="none"/>
          <w:lang w:eastAsia="zh-CN"/>
        </w:rPr>
        <w:t>经营报表，</w:t>
      </w:r>
      <w:r>
        <w:rPr>
          <w:rFonts w:hint="eastAsia" w:ascii="仿宋_GB2312" w:hAnsi="仿宋_GB2312" w:eastAsia="仿宋_GB2312" w:cs="仿宋_GB2312"/>
          <w:b w:val="0"/>
          <w:bCs w:val="0"/>
          <w:color w:val="000000"/>
          <w:kern w:val="0"/>
          <w:sz w:val="32"/>
          <w:szCs w:val="32"/>
          <w:highlight w:val="none"/>
        </w:rPr>
        <w:t>把监督公司经营、财务活动作为工作重点</w:t>
      </w:r>
      <w:r>
        <w:rPr>
          <w:rFonts w:hint="eastAsia" w:ascii="仿宋_GB2312" w:hAnsi="仿宋_GB2312" w:eastAsia="仿宋_GB2312" w:cs="仿宋_GB2312"/>
          <w:b w:val="0"/>
          <w:bCs w:val="0"/>
          <w:color w:val="000000"/>
          <w:kern w:val="0"/>
          <w:sz w:val="32"/>
          <w:szCs w:val="32"/>
          <w:highlight w:val="none"/>
          <w:lang w:eastAsia="zh-CN"/>
        </w:rPr>
        <w:t>进行</w:t>
      </w:r>
      <w:r>
        <w:rPr>
          <w:rFonts w:hint="eastAsia" w:ascii="仿宋_GB2312" w:hAnsi="仿宋_GB2312" w:eastAsia="仿宋_GB2312" w:cs="仿宋_GB2312"/>
          <w:b w:val="0"/>
          <w:bCs w:val="0"/>
          <w:color w:val="000000"/>
          <w:kern w:val="0"/>
          <w:sz w:val="32"/>
          <w:szCs w:val="32"/>
          <w:highlight w:val="none"/>
        </w:rPr>
        <w:t>经营管理监督</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eastAsia="zh-CN"/>
        </w:rPr>
        <w:t>三是</w:t>
      </w:r>
      <w:r>
        <w:rPr>
          <w:rFonts w:hint="eastAsia" w:ascii="仿宋_GB2312" w:hAnsi="仿宋_GB2312" w:eastAsia="仿宋_GB2312" w:cs="仿宋_GB2312"/>
          <w:bCs/>
          <w:color w:val="000000"/>
          <w:sz w:val="32"/>
          <w:szCs w:val="32"/>
          <w:highlight w:val="none"/>
        </w:rPr>
        <w:t>以内部审计为抓手，</w:t>
      </w:r>
      <w:r>
        <w:rPr>
          <w:rFonts w:hint="eastAsia" w:ascii="仿宋_GB2312" w:hAnsi="仿宋_GB2312" w:eastAsia="仿宋_GB2312" w:cs="仿宋_GB2312"/>
          <w:bCs/>
          <w:color w:val="000000"/>
          <w:kern w:val="0"/>
          <w:sz w:val="32"/>
          <w:szCs w:val="32"/>
          <w:highlight w:val="none"/>
        </w:rPr>
        <w:t>密切业务部门、风险合规和审计部门的工作</w:t>
      </w:r>
      <w:r>
        <w:rPr>
          <w:rFonts w:hint="eastAsia" w:ascii="仿宋_GB2312" w:hAnsi="仿宋_GB2312" w:eastAsia="仿宋_GB2312" w:cs="仿宋_GB2312"/>
          <w:bCs/>
          <w:color w:val="000000"/>
          <w:kern w:val="0"/>
          <w:sz w:val="32"/>
          <w:szCs w:val="32"/>
          <w:highlight w:val="none"/>
          <w:lang w:eastAsia="zh-CN"/>
        </w:rPr>
        <w:t>联动，长效关注流动性风险及声誉风险防</w:t>
      </w:r>
      <w:r>
        <w:rPr>
          <w:rFonts w:hint="eastAsia" w:ascii="仿宋_GB2312" w:hAnsi="仿宋_GB2312" w:eastAsia="仿宋_GB2312" w:cs="仿宋_GB2312"/>
          <w:b w:val="0"/>
          <w:bCs/>
          <w:color w:val="000000"/>
          <w:kern w:val="0"/>
          <w:sz w:val="32"/>
          <w:szCs w:val="32"/>
          <w:highlight w:val="none"/>
          <w:lang w:eastAsia="zh-CN"/>
        </w:rPr>
        <w:t>管控举措，不断</w:t>
      </w:r>
      <w:r>
        <w:rPr>
          <w:rFonts w:hint="eastAsia" w:ascii="仿宋_GB2312" w:hAnsi="仿宋_GB2312" w:eastAsia="仿宋_GB2312" w:cs="仿宋_GB2312"/>
          <w:b w:val="0"/>
          <w:bCs/>
          <w:color w:val="000000"/>
          <w:kern w:val="0"/>
          <w:sz w:val="32"/>
          <w:szCs w:val="32"/>
          <w:highlight w:val="none"/>
        </w:rPr>
        <w:t>深化内控执行</w:t>
      </w:r>
      <w:r>
        <w:rPr>
          <w:rFonts w:hint="eastAsia" w:ascii="仿宋_GB2312" w:hAnsi="仿宋_GB2312" w:eastAsia="仿宋_GB2312" w:cs="仿宋_GB2312"/>
          <w:b w:val="0"/>
          <w:bCs/>
          <w:color w:val="000000"/>
          <w:kern w:val="0"/>
          <w:sz w:val="32"/>
          <w:szCs w:val="32"/>
          <w:highlight w:val="none"/>
          <w:lang w:eastAsia="zh-CN"/>
        </w:rPr>
        <w:t>及风险管理</w:t>
      </w:r>
      <w:r>
        <w:rPr>
          <w:rFonts w:hint="eastAsia" w:ascii="仿宋_GB2312" w:hAnsi="仿宋_GB2312" w:eastAsia="仿宋_GB2312" w:cs="仿宋_GB2312"/>
          <w:b w:val="0"/>
          <w:bCs/>
          <w:color w:val="000000"/>
          <w:kern w:val="0"/>
          <w:sz w:val="32"/>
          <w:szCs w:val="32"/>
          <w:highlight w:val="none"/>
        </w:rPr>
        <w:t>监督</w:t>
      </w:r>
      <w:r>
        <w:rPr>
          <w:rFonts w:hint="eastAsia" w:ascii="仿宋_GB2312" w:hAnsi="仿宋_GB2312" w:eastAsia="仿宋_GB2312" w:cs="仿宋_GB2312"/>
          <w:b w:val="0"/>
          <w:bCs/>
          <w:color w:val="000000"/>
          <w:kern w:val="0"/>
          <w:sz w:val="32"/>
          <w:szCs w:val="32"/>
          <w:highlight w:val="none"/>
          <w:lang w:eastAsia="zh-CN"/>
        </w:rPr>
        <w:t>效能。</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2023年本公司累计召开4次监事会，具体情况如下：</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17</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召开第三届监事会第十二次会议，参加会议并表决的监事7名,会议听取</w:t>
      </w:r>
      <w:r>
        <w:rPr>
          <w:rFonts w:hint="eastAsia" w:ascii="仿宋_GB2312" w:hAnsi="仿宋_GB2312" w:eastAsia="仿宋_GB2312" w:cs="仿宋_GB2312"/>
          <w:color w:val="000000"/>
          <w:sz w:val="32"/>
          <w:szCs w:val="32"/>
          <w:highlight w:val="none"/>
          <w:lang w:val="en-US" w:eastAsia="zh-CN"/>
        </w:rPr>
        <w:t>2022年度审计工作总结以及2023年度审计工作计划及项目安排、2023年1－2月重大关联交易确认信息及其报告，通报涉及公司治理存在问题及相应整改措施，审核《赣州农村商业银行股份有限公司2022年度财务报表审计报告》以及本行年度基础类报表，审议并通过了《赣州农村商业银行股份有限公司2022年度监事会工作报告（草案）的议案》，组织全体监事对本行董事、监事以及高级管理层2022年度各自履职情况进行综合履职评价，并审议《赣州农村商业银行股份有限公司2022年度监事会对董事、监事履职情况的评价报告》；组织学习了《监管检查情况通报（第1、2期）》以及了解国家金融监督管理总局赣州监管分局下发的监管意见书整改落实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召开第三届监事会第十三次会议，参加会议并表决的监事</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val="zh-CN" w:eastAsia="zh-CN"/>
        </w:rPr>
        <w:t>名,会议传达列席董事会会议事事项，</w:t>
      </w:r>
      <w:r>
        <w:rPr>
          <w:rFonts w:hint="eastAsia" w:ascii="仿宋_GB2312" w:hAnsi="仿宋_GB2312" w:eastAsia="仿宋_GB2312" w:cs="仿宋_GB2312"/>
          <w:color w:val="000000"/>
          <w:sz w:val="32"/>
          <w:szCs w:val="32"/>
          <w:highlight w:val="none"/>
          <w:lang w:val="en-US" w:eastAsia="zh-CN"/>
        </w:rPr>
        <w:t>听取并审核了2023年上半年审计工作汇报及事项、《2022年度流动性风险及全面风险管理专项审计报告》等专项审计报告、2023年3－6月重大关联交易确认信息及其报告、2023年上半年财务经营运行情况汇报及相关报表，审议通过了《赣州农村商业银行股份有限公司2022年度财务决算及2023年财务预算报告（草案）》《赣州农村商业银行股份有限公司2022年度利润分配方案（草案）》《赣州农村商业银行股份有限公司2022年度报告》，听取并落实了国家金融监督管理总局赣州监管分局及审计局检查发现问题的整改落实情况汇报及相关监管政策传导，组织学习了《监管检查情况通报（第3期）》及反洗钱相关知识。</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召开第三届监事会第十四次会议，参加会议的监事7名，</w:t>
      </w:r>
      <w:r>
        <w:rPr>
          <w:rFonts w:hint="eastAsia" w:ascii="仿宋_GB2312" w:hAnsi="仿宋_GB2312" w:eastAsia="仿宋_GB2312" w:cs="仿宋_GB2312"/>
          <w:color w:val="000000"/>
          <w:sz w:val="32"/>
          <w:szCs w:val="32"/>
          <w:highlight w:val="none"/>
          <w:lang w:val="en-US" w:eastAsia="zh-CN"/>
        </w:rPr>
        <w:t>会议传达列席近期董事会相关议题等其他事项，听取并审核2023年1－3季度审计工作汇报及事项、2023年1－3季度财务经营运行情况汇报及相关报表，组织学习了《监管检查情况通报（第4、5期）》以及《银行保险机构公司治理准则》《银行保险机构公司治理监管评估办法》《银行保险机构董事监事履职评价办法（试行）》《银行保险机构关联交易管理办法》以及《商业银行股权管理暂行办法》《股份制商业银行独立董事和外部监事制度指引》《商业银行监事会工作指引》等相关公司治理内容。</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月2</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召开第三届监事会第十五次会议，参加会议的监事7名，会议</w:t>
      </w:r>
      <w:r>
        <w:rPr>
          <w:rFonts w:hint="eastAsia" w:ascii="仿宋_GB2312" w:hAnsi="仿宋_GB2312" w:eastAsia="仿宋_GB2312" w:cs="仿宋_GB2312"/>
          <w:color w:val="000000"/>
          <w:sz w:val="32"/>
          <w:szCs w:val="32"/>
          <w:highlight w:val="none"/>
          <w:lang w:val="en-US" w:eastAsia="zh-CN"/>
        </w:rPr>
        <w:t>传达列席近期董事会相关议题等事项，听取并审核2023年度审计工作汇报及明年审计安排，组织学习《国家金融监督管理总局赣州监管分局办公室关于全市农商银行2023年三季度经营及风险情况的通报》、《关于明确全省农商银行独立董事、外部监事有关事项的意见》（赣农信联社字[2023]21号）以及《监管检查情况通报（第6、7、8期）》，传达部署《监管会议纪要》（[2023]11号）相关精神和工作要求。</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eastAsia="zh-CN"/>
        </w:rPr>
        <w:t>（二）监事会对董事、监事的履职综合评价结果</w:t>
      </w:r>
    </w:p>
    <w:p>
      <w:pPr>
        <w:keepNext w:val="0"/>
        <w:keepLines w:val="0"/>
        <w:pageBreakBefore w:val="0"/>
        <w:numPr>
          <w:ilvl w:val="0"/>
          <w:numId w:val="0"/>
        </w:numPr>
        <w:kinsoku/>
        <w:wordWrap/>
        <w:overflowPunct/>
        <w:topLinePunct w:val="0"/>
        <w:autoSpaceDE w:val="0"/>
        <w:autoSpaceDN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第三届监事会第十六次会议于202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月</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lang w:eastAsia="zh-CN"/>
        </w:rPr>
        <w:t>日在</w:t>
      </w:r>
      <w:r>
        <w:rPr>
          <w:rFonts w:hint="eastAsia" w:ascii="仿宋_GB2312" w:hAnsi="仿宋_GB2312" w:eastAsia="仿宋_GB2312" w:cs="仿宋_GB2312"/>
          <w:color w:val="000000"/>
          <w:sz w:val="32"/>
          <w:szCs w:val="32"/>
          <w:highlight w:val="none"/>
        </w:rPr>
        <w:t>本公司</w:t>
      </w:r>
      <w:r>
        <w:rPr>
          <w:rFonts w:hint="eastAsia" w:ascii="仿宋_GB2312" w:hAnsi="仿宋_GB2312" w:eastAsia="仿宋_GB2312" w:cs="仿宋_GB2312"/>
          <w:color w:val="000000"/>
          <w:sz w:val="32"/>
          <w:szCs w:val="32"/>
          <w:highlight w:val="none"/>
          <w:lang w:eastAsia="zh-CN"/>
        </w:rPr>
        <w:t>6楼会议室召开，会议专门组织监事对董事会成员及其他高级管理人员、监事会成员20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eastAsia="zh-CN"/>
        </w:rPr>
        <w:t>年度履职情况进行了综合评价，综合评价方式为实名记票。经统计，董事会成员、监事会成员20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lang w:eastAsia="zh-CN"/>
        </w:rPr>
        <w:t>年度履职情况均为“称职”。</w:t>
      </w:r>
      <w:r>
        <w:rPr>
          <w:rFonts w:hint="eastAsia" w:ascii="仿宋_GB2312" w:hAnsi="仿宋_GB2312" w:eastAsia="仿宋_GB2312" w:cs="仿宋_GB2312"/>
          <w:color w:val="000000"/>
          <w:sz w:val="32"/>
          <w:szCs w:val="32"/>
          <w:highlight w:val="none"/>
          <w:lang w:val="en-US" w:eastAsia="zh-CN"/>
        </w:rPr>
        <w:t>形成《赣州农村商业银行股份有限公司2023年度监事会对董事、监事履职情况的评价报告》向监管部门报备。</w:t>
      </w:r>
    </w:p>
    <w:p>
      <w:pPr>
        <w:keepNext w:val="0"/>
        <w:keepLines w:val="0"/>
        <w:pageBreakBefore w:val="0"/>
        <w:kinsoku/>
        <w:wordWrap/>
        <w:overflowPunct/>
        <w:topLinePunct w:val="0"/>
        <w:bidi w:val="0"/>
        <w:spacing w:line="560" w:lineRule="exact"/>
        <w:ind w:left="0" w:leftChars="0" w:right="0" w:rightChars="0" w:firstLine="636" w:firstLineChars="198"/>
        <w:textAlignment w:val="auto"/>
        <w:outlineLvl w:val="9"/>
        <w:rPr>
          <w:rFonts w:ascii="楷体" w:hAnsi="楷体" w:eastAsia="楷体"/>
          <w:b/>
          <w:color w:val="000000"/>
          <w:sz w:val="32"/>
          <w:szCs w:val="32"/>
          <w:highlight w:val="none"/>
        </w:rPr>
      </w:pPr>
      <w:r>
        <w:rPr>
          <w:rFonts w:hint="eastAsia" w:ascii="楷体_GB2312" w:hAnsi="楷体_GB2312" w:eastAsia="楷体_GB2312" w:cs="楷体_GB2312"/>
          <w:b/>
          <w:color w:val="000000"/>
          <w:sz w:val="32"/>
          <w:szCs w:val="32"/>
          <w:highlight w:val="none"/>
        </w:rPr>
        <w:t>（</w:t>
      </w:r>
      <w:r>
        <w:rPr>
          <w:rFonts w:hint="eastAsia" w:ascii="楷体_GB2312" w:hAnsi="楷体_GB2312" w:eastAsia="楷体_GB2312" w:cs="楷体_GB2312"/>
          <w:b/>
          <w:color w:val="000000"/>
          <w:sz w:val="32"/>
          <w:szCs w:val="32"/>
          <w:highlight w:val="none"/>
          <w:lang w:eastAsia="zh-CN"/>
        </w:rPr>
        <w:t>三</w:t>
      </w:r>
      <w:r>
        <w:rPr>
          <w:rFonts w:hint="eastAsia" w:ascii="楷体_GB2312" w:hAnsi="楷体_GB2312" w:eastAsia="楷体_GB2312" w:cs="楷体_GB2312"/>
          <w:b/>
          <w:color w:val="000000"/>
          <w:sz w:val="32"/>
          <w:szCs w:val="32"/>
          <w:highlight w:val="none"/>
        </w:rPr>
        <w:t>）监事会就有关事项发表的独立意见</w:t>
      </w:r>
    </w:p>
    <w:p>
      <w:pPr>
        <w:keepNext w:val="0"/>
        <w:keepLines w:val="0"/>
        <w:pageBreakBefore w:val="0"/>
        <w:kinsoku/>
        <w:wordWrap/>
        <w:overflowPunct/>
        <w:topLinePunct w:val="0"/>
        <w:bidi w:val="0"/>
        <w:spacing w:line="560" w:lineRule="exact"/>
        <w:ind w:left="0" w:leftChars="0" w:right="0" w:rightChars="0" w:firstLine="633" w:firstLineChars="198"/>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根据《公司法》和本公司《章程》，监事会成员列席了董事会所有会议，为维护广大股东和员工利益，对本公司董事会、高级管理层履职情况进行了监督。监事会认为：报告期内本公司依法经营，规范管理，经营业绩客观真实，内控体系健全有效；本公司经营决策程序合法，董事及其他高管人员在业务经营中无违规行为，也无损害股东利益的行为；监事会认真审查了公司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年度经</w:t>
      </w:r>
      <w:r>
        <w:rPr>
          <w:rFonts w:hint="eastAsia" w:ascii="仿宋" w:hAnsi="仿宋" w:eastAsia="仿宋" w:cs="仿宋"/>
          <w:b w:val="0"/>
          <w:bCs/>
          <w:color w:val="000000"/>
          <w:kern w:val="0"/>
          <w:sz w:val="32"/>
          <w:szCs w:val="32"/>
          <w:highlight w:val="none"/>
        </w:rPr>
        <w:t>江西中富会计师事务所有限公司</w:t>
      </w:r>
      <w:r>
        <w:rPr>
          <w:rFonts w:hint="eastAsia" w:ascii="仿宋_GB2312" w:hAnsi="仿宋_GB2312" w:eastAsia="仿宋_GB2312" w:cs="仿宋_GB2312"/>
          <w:color w:val="000000"/>
          <w:sz w:val="32"/>
          <w:szCs w:val="32"/>
          <w:highlight w:val="none"/>
        </w:rPr>
        <w:t>审计的资产负债表和利润表后认为，各项报告均客观真实反映公司的经营状况和成果，各项指标均完成董事会下达的目标任务；监事会审查认为报告期内本公司无内幕交易，无损害股东权益及造成本公司资产流失的行为。</w:t>
      </w:r>
    </w:p>
    <w:p>
      <w:pPr>
        <w:spacing w:line="560" w:lineRule="exact"/>
        <w:ind w:firstLine="633" w:firstLineChars="198"/>
        <w:rPr>
          <w:rFonts w:ascii="黑体" w:hAnsi="黑体" w:eastAsia="黑体"/>
          <w:color w:val="000000"/>
          <w:sz w:val="32"/>
          <w:szCs w:val="32"/>
          <w:highlight w:val="none"/>
        </w:rPr>
      </w:pPr>
      <w:r>
        <w:rPr>
          <w:rFonts w:hint="eastAsia" w:ascii="黑体" w:hAnsi="黑体" w:eastAsia="黑体"/>
          <w:color w:val="000000"/>
          <w:sz w:val="32"/>
          <w:szCs w:val="32"/>
          <w:highlight w:val="none"/>
        </w:rPr>
        <w:t>五、高级管理层成员构成及其基本情况</w:t>
      </w:r>
    </w:p>
    <w:tbl>
      <w:tblPr>
        <w:tblStyle w:val="8"/>
        <w:tblW w:w="9060" w:type="dxa"/>
        <w:tblInd w:w="0" w:type="dxa"/>
        <w:tblLayout w:type="fixed"/>
        <w:tblCellMar>
          <w:top w:w="0" w:type="dxa"/>
          <w:left w:w="108" w:type="dxa"/>
          <w:bottom w:w="0" w:type="dxa"/>
          <w:right w:w="108" w:type="dxa"/>
        </w:tblCellMar>
      </w:tblPr>
      <w:tblGrid>
        <w:gridCol w:w="762"/>
        <w:gridCol w:w="1346"/>
        <w:gridCol w:w="991"/>
        <w:gridCol w:w="969"/>
        <w:gridCol w:w="3291"/>
        <w:gridCol w:w="1701"/>
      </w:tblGrid>
      <w:tr>
        <w:tblPrEx>
          <w:tblLayout w:type="fixed"/>
          <w:tblCellMar>
            <w:top w:w="0" w:type="dxa"/>
            <w:left w:w="108" w:type="dxa"/>
            <w:bottom w:w="0" w:type="dxa"/>
            <w:right w:w="108" w:type="dxa"/>
          </w:tblCellMar>
        </w:tblPrEx>
        <w:trPr>
          <w:trHeight w:val="1086"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序号</w:t>
            </w:r>
          </w:p>
        </w:tc>
        <w:tc>
          <w:tcPr>
            <w:tcW w:w="134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姓名</w:t>
            </w:r>
          </w:p>
        </w:tc>
        <w:tc>
          <w:tcPr>
            <w:tcW w:w="9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性别</w:t>
            </w:r>
          </w:p>
        </w:tc>
        <w:tc>
          <w:tcPr>
            <w:tcW w:w="96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年龄</w:t>
            </w:r>
          </w:p>
        </w:tc>
        <w:tc>
          <w:tcPr>
            <w:tcW w:w="32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职务</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金融工作年限</w:t>
            </w:r>
          </w:p>
        </w:tc>
      </w:tr>
      <w:tr>
        <w:tblPrEx>
          <w:tblLayout w:type="fixed"/>
          <w:tblCellMar>
            <w:top w:w="0" w:type="dxa"/>
            <w:left w:w="108" w:type="dxa"/>
            <w:bottom w:w="0" w:type="dxa"/>
            <w:right w:w="108" w:type="dxa"/>
          </w:tblCellMar>
        </w:tblPrEx>
        <w:trPr>
          <w:trHeight w:val="576" w:hRule="atLeast"/>
        </w:trPr>
        <w:tc>
          <w:tcPr>
            <w:tcW w:w="76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1346"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eastAsia="zh-CN"/>
              </w:rPr>
              <w:t>刘全华</w:t>
            </w:r>
          </w:p>
        </w:tc>
        <w:tc>
          <w:tcPr>
            <w:tcW w:w="991"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w:t>
            </w:r>
          </w:p>
        </w:tc>
        <w:tc>
          <w:tcPr>
            <w:tcW w:w="969"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52</w:t>
            </w:r>
          </w:p>
        </w:tc>
        <w:tc>
          <w:tcPr>
            <w:tcW w:w="3291"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党委书记、董事长</w:t>
            </w:r>
          </w:p>
        </w:tc>
        <w:tc>
          <w:tcPr>
            <w:tcW w:w="1701"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32</w:t>
            </w:r>
          </w:p>
        </w:tc>
      </w:tr>
      <w:tr>
        <w:tblPrEx>
          <w:tblLayout w:type="fixed"/>
          <w:tblCellMar>
            <w:top w:w="0" w:type="dxa"/>
            <w:left w:w="108" w:type="dxa"/>
            <w:bottom w:w="0" w:type="dxa"/>
            <w:right w:w="108" w:type="dxa"/>
          </w:tblCellMar>
        </w:tblPrEx>
        <w:trPr>
          <w:trHeight w:val="589" w:hRule="atLeast"/>
        </w:trPr>
        <w:tc>
          <w:tcPr>
            <w:tcW w:w="76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1346"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李洪</w:t>
            </w:r>
          </w:p>
        </w:tc>
        <w:tc>
          <w:tcPr>
            <w:tcW w:w="991"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w:t>
            </w:r>
          </w:p>
        </w:tc>
        <w:tc>
          <w:tcPr>
            <w:tcW w:w="969"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54</w:t>
            </w:r>
          </w:p>
        </w:tc>
        <w:tc>
          <w:tcPr>
            <w:tcW w:w="3291"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党委副书记、行长</w:t>
            </w:r>
          </w:p>
        </w:tc>
        <w:tc>
          <w:tcPr>
            <w:tcW w:w="1701" w:type="dxa"/>
            <w:tcBorders>
              <w:top w:val="nil"/>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31</w:t>
            </w:r>
          </w:p>
        </w:tc>
      </w:tr>
      <w:tr>
        <w:tblPrEx>
          <w:tblLayout w:type="fixed"/>
          <w:tblCellMar>
            <w:top w:w="0" w:type="dxa"/>
            <w:left w:w="108" w:type="dxa"/>
            <w:bottom w:w="0" w:type="dxa"/>
            <w:right w:w="108" w:type="dxa"/>
          </w:tblCellMar>
        </w:tblPrEx>
        <w:trPr>
          <w:trHeight w:val="548"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p>
        </w:tc>
        <w:tc>
          <w:tcPr>
            <w:tcW w:w="134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刘志勇</w:t>
            </w:r>
          </w:p>
        </w:tc>
        <w:tc>
          <w:tcPr>
            <w:tcW w:w="9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w:t>
            </w:r>
          </w:p>
        </w:tc>
        <w:tc>
          <w:tcPr>
            <w:tcW w:w="96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54</w:t>
            </w:r>
          </w:p>
        </w:tc>
        <w:tc>
          <w:tcPr>
            <w:tcW w:w="32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党委副书记</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37</w:t>
            </w:r>
          </w:p>
        </w:tc>
      </w:tr>
      <w:tr>
        <w:tblPrEx>
          <w:tblLayout w:type="fixed"/>
          <w:tblCellMar>
            <w:top w:w="0" w:type="dxa"/>
            <w:left w:w="108" w:type="dxa"/>
            <w:bottom w:w="0" w:type="dxa"/>
            <w:right w:w="108" w:type="dxa"/>
          </w:tblCellMar>
        </w:tblPrEx>
        <w:trPr>
          <w:trHeight w:val="635"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w:t>
            </w:r>
          </w:p>
        </w:tc>
        <w:tc>
          <w:tcPr>
            <w:tcW w:w="134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黄橙</w:t>
            </w:r>
          </w:p>
        </w:tc>
        <w:tc>
          <w:tcPr>
            <w:tcW w:w="9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w:t>
            </w:r>
          </w:p>
        </w:tc>
        <w:tc>
          <w:tcPr>
            <w:tcW w:w="96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52</w:t>
            </w:r>
          </w:p>
        </w:tc>
        <w:tc>
          <w:tcPr>
            <w:tcW w:w="32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党委委员、纪委书记、监事长</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32</w:t>
            </w:r>
          </w:p>
        </w:tc>
      </w:tr>
      <w:tr>
        <w:tblPrEx>
          <w:tblLayout w:type="fixed"/>
          <w:tblCellMar>
            <w:top w:w="0" w:type="dxa"/>
            <w:left w:w="108" w:type="dxa"/>
            <w:bottom w:w="0" w:type="dxa"/>
            <w:right w:w="108" w:type="dxa"/>
          </w:tblCellMar>
        </w:tblPrEx>
        <w:trPr>
          <w:trHeight w:val="57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5</w:t>
            </w:r>
          </w:p>
        </w:tc>
        <w:tc>
          <w:tcPr>
            <w:tcW w:w="134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叶虎</w:t>
            </w:r>
          </w:p>
        </w:tc>
        <w:tc>
          <w:tcPr>
            <w:tcW w:w="9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w:t>
            </w:r>
          </w:p>
        </w:tc>
        <w:tc>
          <w:tcPr>
            <w:tcW w:w="96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50</w:t>
            </w:r>
          </w:p>
        </w:tc>
        <w:tc>
          <w:tcPr>
            <w:tcW w:w="32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党委委员、风险总监</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29</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高级管理层由</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人组成，负责贯彻和执行股东大会和董事会下达的经营目标和工作要求。高级管理层接受董事会的考核、考评和监督。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000000"/>
          <w:sz w:val="32"/>
          <w:szCs w:val="32"/>
          <w:highlight w:val="none"/>
          <w:lang w:val="zh-CN"/>
        </w:rPr>
      </w:pPr>
      <w:r>
        <w:rPr>
          <w:rFonts w:hint="eastAsia" w:ascii="黑体" w:hAnsi="黑体" w:eastAsia="黑体"/>
          <w:color w:val="000000"/>
          <w:sz w:val="32"/>
          <w:szCs w:val="32"/>
          <w:highlight w:val="none"/>
          <w:lang w:val="zh-CN"/>
        </w:rPr>
        <w:t>六、《章程》修订情况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按照《公司法》《章程》和监管部门要求，报告期内，本公司《章程》对注册资本、股东情况进行了变更。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七、部门与分支机构情况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总行内设办公室、人力资源部、计划财务部、风险管理部、运营管理部、审计部、业务拓展部、授信评审部、合规管理部、安全保卫部、党群工作部、党风行风监督室、信息科技部等</w:t>
      </w: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lang w:val="zh-CN"/>
        </w:rPr>
        <w:t>个部门，设金融市场部、清收事业部、电子银行部</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公司事业部、零售事业部、普惠金融事业部等</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zh-CN"/>
        </w:rPr>
        <w:t>个</w:t>
      </w:r>
      <w:r>
        <w:rPr>
          <w:rFonts w:hint="eastAsia" w:ascii="仿宋_GB2312" w:hAnsi="仿宋_GB2312" w:eastAsia="仿宋_GB2312" w:cs="仿宋_GB2312"/>
          <w:color w:val="000000"/>
          <w:sz w:val="32"/>
          <w:szCs w:val="32"/>
          <w:highlight w:val="none"/>
          <w:lang w:val="zh-CN" w:eastAsia="zh-CN"/>
        </w:rPr>
        <w:t>事业部</w:t>
      </w:r>
      <w:r>
        <w:rPr>
          <w:rFonts w:hint="eastAsia" w:ascii="仿宋_GB2312" w:hAnsi="仿宋_GB2312" w:eastAsia="仿宋_GB2312" w:cs="仿宋_GB2312"/>
          <w:color w:val="000000"/>
          <w:sz w:val="32"/>
          <w:szCs w:val="32"/>
          <w:highlight w:val="none"/>
          <w:lang w:val="zh-CN"/>
        </w:rPr>
        <w:t>，设营业部1个</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下辖61个支行。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第五章  普惠金融服务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一、内部机构设置。</w:t>
      </w:r>
      <w:r>
        <w:rPr>
          <w:rFonts w:hint="eastAsia" w:ascii="仿宋_GB2312" w:hAnsi="仿宋_GB2312" w:eastAsia="仿宋_GB2312" w:cs="仿宋_GB2312"/>
          <w:color w:val="000000"/>
          <w:sz w:val="32"/>
          <w:szCs w:val="32"/>
          <w:highlight w:val="none"/>
        </w:rPr>
        <w:t>董事会</w:t>
      </w:r>
      <w:r>
        <w:rPr>
          <w:rFonts w:hint="eastAsia" w:ascii="仿宋_GB2312" w:hAnsi="仿宋_GB2312" w:eastAsia="仿宋_GB2312" w:cs="仿宋_GB2312"/>
          <w:color w:val="000000"/>
          <w:sz w:val="32"/>
          <w:szCs w:val="32"/>
          <w:highlight w:val="none"/>
          <w:lang w:val="zh-CN"/>
        </w:rPr>
        <w:t>普惠金融委员会负责拟定本公司普惠金融战略规划、业务政策和基本管理制度。</w:t>
      </w:r>
      <w:r>
        <w:rPr>
          <w:rFonts w:hint="eastAsia" w:ascii="仿宋_GB2312" w:hAnsi="仿宋_GB2312" w:eastAsia="仿宋_GB2312" w:cs="仿宋_GB2312"/>
          <w:color w:val="000000"/>
          <w:sz w:val="32"/>
          <w:szCs w:val="32"/>
          <w:highlight w:val="none"/>
        </w:rPr>
        <w:t>普惠金融工作领导小组，负责普惠金融工作的组织领导和统筹协调。普惠金融事业部，负责普惠金融日常具体工作。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二、网点功能升级。</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已布放智慧柜台</w:t>
      </w:r>
      <w:r>
        <w:rPr>
          <w:rFonts w:hint="eastAsia" w:ascii="仿宋_GB2312" w:hAnsi="仿宋_GB2312" w:eastAsia="仿宋_GB2312" w:cs="仿宋_GB2312"/>
          <w:color w:val="auto"/>
          <w:sz w:val="32"/>
          <w:szCs w:val="32"/>
          <w:highlight w:val="none"/>
          <w:lang w:val="en-US" w:eastAsia="zh-CN"/>
        </w:rPr>
        <w:t>79</w:t>
      </w:r>
      <w:r>
        <w:rPr>
          <w:rFonts w:hint="eastAsia" w:ascii="仿宋_GB2312" w:hAnsi="仿宋_GB2312" w:eastAsia="仿宋_GB2312" w:cs="仿宋_GB2312"/>
          <w:color w:val="000000"/>
          <w:sz w:val="32"/>
          <w:szCs w:val="32"/>
          <w:highlight w:val="none"/>
        </w:rPr>
        <w:t>台、自助银行设备</w:t>
      </w:r>
      <w:r>
        <w:rPr>
          <w:rFonts w:hint="eastAsia" w:ascii="仿宋_GB2312" w:hAnsi="仿宋_GB2312" w:eastAsia="仿宋_GB2312" w:cs="仿宋_GB2312"/>
          <w:color w:val="000000"/>
          <w:sz w:val="32"/>
          <w:szCs w:val="32"/>
          <w:highlight w:val="none"/>
          <w:lang w:val="en-US" w:eastAsia="zh-CN"/>
        </w:rPr>
        <w:t>83</w:t>
      </w:r>
      <w:r>
        <w:rPr>
          <w:rFonts w:hint="eastAsia" w:ascii="仿宋_GB2312" w:hAnsi="仿宋_GB2312" w:eastAsia="仿宋_GB2312" w:cs="仿宋_GB2312"/>
          <w:color w:val="000000"/>
          <w:sz w:val="32"/>
          <w:szCs w:val="32"/>
          <w:highlight w:val="none"/>
        </w:rPr>
        <w:t>台，设立普惠金融服务站</w:t>
      </w:r>
      <w:r>
        <w:rPr>
          <w:rFonts w:hint="eastAsia" w:ascii="仿宋_GB2312" w:hAnsi="仿宋_GB2312" w:eastAsia="仿宋_GB2312" w:cs="仿宋_GB2312"/>
          <w:color w:val="000000"/>
          <w:sz w:val="32"/>
          <w:szCs w:val="32"/>
          <w:highlight w:val="none"/>
          <w:lang w:val="en-US" w:eastAsia="zh-CN"/>
        </w:rPr>
        <w:t>224</w:t>
      </w:r>
      <w:r>
        <w:rPr>
          <w:rFonts w:hint="eastAsia" w:ascii="仿宋_GB2312" w:hAnsi="仿宋_GB2312" w:eastAsia="仿宋_GB2312" w:cs="仿宋_GB2312"/>
          <w:color w:val="000000"/>
          <w:sz w:val="32"/>
          <w:szCs w:val="32"/>
          <w:highlight w:val="none"/>
        </w:rPr>
        <w:t>个、普惠金融示范站</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普惠金融服务中心</w:t>
      </w:r>
      <w:r>
        <w:rPr>
          <w:rFonts w:hint="eastAsia" w:ascii="仿宋_GB2312" w:hAnsi="仿宋_GB2312" w:eastAsia="仿宋_GB2312" w:cs="仿宋_GB2312"/>
          <w:color w:val="000000"/>
          <w:sz w:val="32"/>
          <w:szCs w:val="32"/>
          <w:highlight w:val="none"/>
          <w:lang w:val="en-US" w:eastAsia="zh-CN"/>
        </w:rPr>
        <w:t>1个，</w:t>
      </w:r>
      <w:r>
        <w:rPr>
          <w:rFonts w:hint="eastAsia" w:ascii="仿宋_GB2312" w:hAnsi="仿宋_GB2312" w:eastAsia="仿宋_GB2312" w:cs="仿宋_GB2312"/>
          <w:color w:val="000000"/>
          <w:sz w:val="32"/>
          <w:szCs w:val="32"/>
          <w:highlight w:val="none"/>
        </w:rPr>
        <w:t>普惠金融服务范围覆盖全部乡镇、社区和村组。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olor w:val="000000"/>
          <w:sz w:val="32"/>
          <w:szCs w:val="32"/>
          <w:highlight w:val="none"/>
          <w:lang w:val="zh-CN"/>
        </w:rPr>
        <w:t>三、普惠信贷投放。</w:t>
      </w:r>
      <w:r>
        <w:rPr>
          <w:rFonts w:hint="eastAsia" w:ascii="仿宋_GB2312" w:hAnsi="仿宋_GB2312" w:eastAsia="仿宋_GB2312" w:cs="仿宋_GB2312"/>
          <w:color w:val="auto"/>
          <w:sz w:val="32"/>
          <w:szCs w:val="32"/>
          <w:highlight w:val="none"/>
          <w:lang w:val="zh-CN" w:eastAsia="zh-CN"/>
        </w:rPr>
        <w:t>报告期内，本公司各项贷款总户数为</w:t>
      </w:r>
      <w:r>
        <w:rPr>
          <w:rFonts w:hint="eastAsia" w:ascii="仿宋_GB2312" w:hAnsi="仿宋_GB2312" w:eastAsia="仿宋_GB2312" w:cs="仿宋_GB2312"/>
          <w:color w:val="auto"/>
          <w:sz w:val="32"/>
          <w:szCs w:val="32"/>
          <w:highlight w:val="none"/>
          <w:lang w:val="en-US" w:eastAsia="zh-CN"/>
        </w:rPr>
        <w:t>12.96万</w:t>
      </w:r>
      <w:r>
        <w:rPr>
          <w:rFonts w:hint="eastAsia" w:ascii="仿宋_GB2312" w:hAnsi="仿宋_GB2312" w:eastAsia="仿宋_GB2312" w:cs="仿宋_GB2312"/>
          <w:color w:val="auto"/>
          <w:sz w:val="32"/>
          <w:szCs w:val="32"/>
          <w:highlight w:val="none"/>
          <w:lang w:val="zh-CN" w:eastAsia="zh-CN"/>
        </w:rPr>
        <w:t>户、金额303.62亿元，较202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eastAsia="zh-CN"/>
        </w:rPr>
        <w:t>年末户数增加</w:t>
      </w:r>
      <w:r>
        <w:rPr>
          <w:rFonts w:hint="eastAsia" w:ascii="仿宋_GB2312" w:hAnsi="仿宋_GB2312" w:eastAsia="仿宋_GB2312" w:cs="仿宋_GB2312"/>
          <w:color w:val="auto"/>
          <w:sz w:val="32"/>
          <w:szCs w:val="32"/>
          <w:highlight w:val="none"/>
          <w:lang w:val="en-US" w:eastAsia="zh-CN"/>
        </w:rPr>
        <w:t>1.82万</w:t>
      </w:r>
      <w:r>
        <w:rPr>
          <w:rFonts w:hint="eastAsia" w:ascii="仿宋_GB2312" w:hAnsi="仿宋_GB2312" w:eastAsia="仿宋_GB2312" w:cs="仿宋_GB2312"/>
          <w:color w:val="auto"/>
          <w:sz w:val="32"/>
          <w:szCs w:val="32"/>
          <w:highlight w:val="none"/>
          <w:lang w:val="zh-CN" w:eastAsia="zh-CN"/>
        </w:rPr>
        <w:t>户、金额增加22.86亿元。其中普惠型小微贷款5.64万户、金额146.73亿元，较2022年末户数增加2560户、金额增加11.38亿元。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
          <w:color w:val="000000"/>
          <w:sz w:val="44"/>
          <w:szCs w:val="44"/>
          <w:highlight w:val="none"/>
        </w:rPr>
      </w:pPr>
      <w:r>
        <w:rPr>
          <w:rFonts w:hint="eastAsia" w:ascii="黑体" w:hAnsi="黑体" w:eastAsia="黑体"/>
          <w:color w:val="000000"/>
          <w:sz w:val="32"/>
          <w:szCs w:val="32"/>
          <w:highlight w:val="none"/>
          <w:lang w:val="zh-CN"/>
        </w:rPr>
        <w:t>四、减费让利。</w:t>
      </w:r>
      <w:r>
        <w:rPr>
          <w:rFonts w:hint="eastAsia" w:ascii="仿宋_GB2312" w:hAnsi="仿宋_GB2312" w:eastAsia="仿宋_GB2312" w:cs="仿宋_GB2312"/>
          <w:color w:val="auto"/>
          <w:sz w:val="32"/>
          <w:szCs w:val="32"/>
          <w:highlight w:val="none"/>
          <w:lang w:val="zh-CN" w:eastAsia="zh-CN"/>
        </w:rPr>
        <w:t>报告期内，本公司贷款平均利率5.52%，较2022年末下降0.44个百分点，为客户减少利息支出9892万元。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第六章</w:t>
      </w:r>
      <w:r>
        <w:rPr>
          <w:rFonts w:hint="eastAsia" w:ascii="黑体" w:hAnsi="黑体" w:eastAsia="黑体" w:cs="黑体"/>
          <w:b w:val="0"/>
          <w:bCs/>
          <w:color w:val="000000"/>
          <w:sz w:val="32"/>
          <w:szCs w:val="32"/>
          <w:highlight w:val="none"/>
          <w:lang w:val="en-US" w:eastAsia="zh-CN"/>
        </w:rPr>
        <w:t xml:space="preserve"> </w:t>
      </w:r>
      <w:r>
        <w:rPr>
          <w:rFonts w:hint="eastAsia" w:ascii="黑体" w:hAnsi="黑体" w:eastAsia="黑体" w:cs="黑体"/>
          <w:b w:val="0"/>
          <w:bCs/>
          <w:color w:val="000000"/>
          <w:sz w:val="32"/>
          <w:szCs w:val="32"/>
          <w:highlight w:val="none"/>
        </w:rPr>
        <w:t>绿色信贷服务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000000"/>
          <w:sz w:val="32"/>
          <w:szCs w:val="32"/>
          <w:highlight w:val="none"/>
        </w:rPr>
      </w:pPr>
      <w:r>
        <w:rPr>
          <w:rFonts w:hint="eastAsia" w:ascii="黑体" w:hAnsi="黑体" w:eastAsia="黑体"/>
          <w:color w:val="000000"/>
          <w:sz w:val="32"/>
          <w:szCs w:val="32"/>
          <w:highlight w:val="none"/>
        </w:rPr>
        <w:t>一、信贷总体情况。</w:t>
      </w:r>
      <w:r>
        <w:rPr>
          <w:rFonts w:hint="eastAsia" w:ascii="仿宋_GB2312" w:hAnsi="仿宋_GB2312" w:eastAsia="仿宋_GB2312" w:cs="仿宋_GB2312"/>
          <w:color w:val="000000"/>
          <w:sz w:val="32"/>
          <w:szCs w:val="32"/>
          <w:highlight w:val="none"/>
        </w:rPr>
        <w:t>报告期内，</w:t>
      </w:r>
      <w:r>
        <w:rPr>
          <w:rFonts w:hint="eastAsia" w:ascii="仿宋_GB2312" w:hAnsi="楷体" w:eastAsia="仿宋_GB2312" w:cs="宋体"/>
          <w:color w:val="000000"/>
          <w:kern w:val="0"/>
          <w:sz w:val="32"/>
          <w:szCs w:val="32"/>
          <w:highlight w:val="none"/>
          <w:lang w:eastAsia="zh-CN"/>
        </w:rPr>
        <w:t>本公司</w:t>
      </w:r>
      <w:r>
        <w:rPr>
          <w:rFonts w:hint="eastAsia" w:ascii="仿宋_GB2312" w:hAnsi="楷体" w:eastAsia="仿宋_GB2312" w:cs="宋体"/>
          <w:color w:val="000000"/>
          <w:kern w:val="0"/>
          <w:sz w:val="32"/>
          <w:szCs w:val="32"/>
          <w:highlight w:val="none"/>
        </w:rPr>
        <w:t>认真贯彻落实绿色发展理念，</w:t>
      </w:r>
      <w:r>
        <w:rPr>
          <w:rFonts w:hint="eastAsia" w:ascii="仿宋_GB2312" w:eastAsia="仿宋_GB2312"/>
          <w:color w:val="000000"/>
          <w:sz w:val="32"/>
          <w:szCs w:val="32"/>
          <w:highlight w:val="none"/>
        </w:rPr>
        <w:t>以“创新、协调、绿色、开放、共享”新发展理念为引领，</w:t>
      </w:r>
      <w:r>
        <w:rPr>
          <w:rFonts w:hint="eastAsia" w:ascii="仿宋_GB2312" w:hAnsi="楷体" w:eastAsia="仿宋_GB2312" w:cs="宋体"/>
          <w:color w:val="000000"/>
          <w:kern w:val="0"/>
          <w:sz w:val="32"/>
          <w:szCs w:val="32"/>
          <w:highlight w:val="none"/>
        </w:rPr>
        <w:t>加大</w:t>
      </w:r>
      <w:r>
        <w:rPr>
          <w:rFonts w:hint="eastAsia" w:ascii="仿宋_GB2312" w:eastAsia="仿宋_GB2312"/>
          <w:color w:val="000000"/>
          <w:sz w:val="32"/>
          <w:szCs w:val="32"/>
          <w:highlight w:val="none"/>
        </w:rPr>
        <w:t>绿色金融产品和服务力度，积极支持绿色经济发展。报告期内，本公司绿色信贷贷款余额</w:t>
      </w:r>
      <w:r>
        <w:rPr>
          <w:rFonts w:hint="eastAsia" w:ascii="仿宋_GB2312" w:eastAsia="仿宋_GB2312"/>
          <w:color w:val="000000"/>
          <w:sz w:val="32"/>
          <w:szCs w:val="32"/>
          <w:highlight w:val="none"/>
          <w:lang w:val="en-US" w:eastAsia="zh-CN"/>
        </w:rPr>
        <w:t>51379万</w:t>
      </w:r>
      <w:r>
        <w:rPr>
          <w:rFonts w:hint="eastAsia" w:ascii="仿宋_GB2312" w:eastAsia="仿宋_GB2312"/>
          <w:color w:val="000000"/>
          <w:sz w:val="32"/>
          <w:szCs w:val="32"/>
          <w:highlight w:val="none"/>
        </w:rPr>
        <w:t>元，较</w:t>
      </w:r>
      <w:r>
        <w:rPr>
          <w:rFonts w:hint="eastAsia" w:ascii="仿宋_GB2312" w:eastAsia="仿宋_GB2312"/>
          <w:color w:val="000000"/>
          <w:sz w:val="32"/>
          <w:szCs w:val="32"/>
          <w:highlight w:val="none"/>
          <w:lang w:val="en-US" w:eastAsia="zh-CN"/>
        </w:rPr>
        <w:t>2022年末</w:t>
      </w:r>
      <w:r>
        <w:rPr>
          <w:rFonts w:hint="eastAsia" w:ascii="仿宋_GB2312" w:eastAsia="仿宋_GB2312"/>
          <w:color w:val="000000"/>
          <w:sz w:val="32"/>
          <w:szCs w:val="32"/>
          <w:highlight w:val="none"/>
        </w:rPr>
        <w:t>增加6420万元，增幅14.28%。其中：发放节能环保产业</w:t>
      </w:r>
      <w:r>
        <w:rPr>
          <w:rFonts w:hint="eastAsia" w:ascii="仿宋_GB2312" w:eastAsia="仿宋_GB2312"/>
          <w:color w:val="000000"/>
          <w:sz w:val="32"/>
          <w:szCs w:val="32"/>
          <w:highlight w:val="none"/>
          <w:lang w:val="en-US" w:eastAsia="zh-CN"/>
        </w:rPr>
        <w:t>27609万</w:t>
      </w:r>
      <w:r>
        <w:rPr>
          <w:rFonts w:hint="eastAsia" w:ascii="仿宋_GB2312" w:eastAsia="仿宋_GB2312"/>
          <w:color w:val="000000"/>
          <w:sz w:val="32"/>
          <w:szCs w:val="32"/>
          <w:highlight w:val="none"/>
        </w:rPr>
        <w:t>元、生态环境产业贷款</w:t>
      </w:r>
      <w:r>
        <w:rPr>
          <w:rFonts w:hint="eastAsia" w:ascii="仿宋_GB2312" w:eastAsia="仿宋_GB2312"/>
          <w:color w:val="000000"/>
          <w:sz w:val="32"/>
          <w:szCs w:val="32"/>
          <w:highlight w:val="none"/>
          <w:lang w:val="en-US" w:eastAsia="zh-CN"/>
        </w:rPr>
        <w:t>15750万</w:t>
      </w:r>
      <w:r>
        <w:rPr>
          <w:rFonts w:hint="eastAsia" w:ascii="仿宋_GB2312" w:eastAsia="仿宋_GB2312"/>
          <w:color w:val="000000"/>
          <w:sz w:val="32"/>
          <w:szCs w:val="32"/>
          <w:highlight w:val="none"/>
        </w:rPr>
        <w:t>元、清洁能源产业贷款2020万元、基础设施绿色升级贷款6000万元。</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eastAsia="仿宋_GB2312"/>
          <w:color w:val="000000"/>
          <w:sz w:val="32"/>
          <w:szCs w:val="32"/>
          <w:highlight w:val="none"/>
        </w:rPr>
      </w:pPr>
      <w:r>
        <w:rPr>
          <w:rFonts w:hint="eastAsia" w:ascii="黑体" w:hAnsi="黑体" w:eastAsia="黑体"/>
          <w:color w:val="000000"/>
          <w:sz w:val="32"/>
          <w:szCs w:val="32"/>
          <w:highlight w:val="none"/>
        </w:rPr>
        <w:t>二、组织领导情况。</w:t>
      </w:r>
      <w:r>
        <w:rPr>
          <w:rFonts w:hint="eastAsia" w:ascii="仿宋_GB2312" w:eastAsia="仿宋_GB2312"/>
          <w:color w:val="000000"/>
          <w:sz w:val="32"/>
          <w:szCs w:val="32"/>
          <w:highlight w:val="none"/>
          <w:lang w:val="zh-CN"/>
        </w:rPr>
        <w:t>本公司成立了以“一把手”为组长，行长为常务副组长，分管行领导为副组长，风险管理部、零售事业部、授信评审部、公司事业部为成员的绿色信贷工作领导小组</w:t>
      </w:r>
      <w:r>
        <w:rPr>
          <w:rFonts w:hint="eastAsia" w:ascii="仿宋_GB2312" w:eastAsia="仿宋_GB2312"/>
          <w:color w:val="000000"/>
          <w:sz w:val="32"/>
          <w:szCs w:val="32"/>
          <w:highlight w:val="none"/>
        </w:rPr>
        <w:t>，</w:t>
      </w:r>
      <w:r>
        <w:rPr>
          <w:rFonts w:hint="eastAsia" w:ascii="仿宋_GB2312" w:hAnsi="Calibri" w:eastAsia="仿宋_GB2312"/>
          <w:color w:val="000000"/>
          <w:sz w:val="32"/>
          <w:szCs w:val="32"/>
          <w:highlight w:val="none"/>
        </w:rPr>
        <w:t>负责辖内绿色信贷的组织领导，领导小组下设办公室在风险管理部，具体</w:t>
      </w:r>
      <w:r>
        <w:rPr>
          <w:rFonts w:hint="eastAsia" w:ascii="仿宋_GB2312" w:hAnsi="Arial" w:eastAsia="仿宋_GB2312" w:cs="Arial"/>
          <w:color w:val="000000"/>
          <w:kern w:val="0"/>
          <w:sz w:val="32"/>
          <w:szCs w:val="32"/>
          <w:highlight w:val="none"/>
        </w:rPr>
        <w:t>负责绿色信贷发展工作</w:t>
      </w:r>
      <w:r>
        <w:rPr>
          <w:rFonts w:hint="eastAsia" w:ascii="仿宋_GB2312" w:eastAsia="仿宋_GB2312"/>
          <w:color w:val="000000"/>
          <w:sz w:val="32"/>
          <w:szCs w:val="32"/>
          <w:highlight w:val="none"/>
        </w:rPr>
        <w:t>，组织网点推动</w:t>
      </w:r>
      <w:r>
        <w:rPr>
          <w:rFonts w:hint="eastAsia" w:ascii="仿宋_GB2312" w:hAnsi="仿宋_GB2312" w:eastAsia="仿宋_GB2312" w:cs="仿宋_GB2312"/>
          <w:color w:val="000000"/>
          <w:sz w:val="32"/>
          <w:szCs w:val="32"/>
          <w:highlight w:val="none"/>
        </w:rPr>
        <w:t>绿色信贷发展</w:t>
      </w:r>
      <w:r>
        <w:rPr>
          <w:rFonts w:hint="eastAsia" w:ascii="仿宋_GB2312" w:hAnsi="宋体" w:eastAsia="仿宋_GB2312" w:cs="宋体"/>
          <w:color w:val="000000"/>
          <w:kern w:val="0"/>
          <w:sz w:val="32"/>
          <w:szCs w:val="32"/>
          <w:highlight w:val="none"/>
        </w:rPr>
        <w:t>，开展</w:t>
      </w:r>
      <w:r>
        <w:rPr>
          <w:rFonts w:hint="eastAsia" w:ascii="仿宋_GB2312" w:hAnsi="Calibri" w:eastAsia="仿宋_GB2312" w:cs="Times New Roman"/>
          <w:color w:val="000000"/>
          <w:sz w:val="32"/>
          <w:szCs w:val="32"/>
          <w:highlight w:val="none"/>
        </w:rPr>
        <w:t>绿色信贷创新。</w:t>
      </w:r>
      <w:r>
        <w:rPr>
          <w:rFonts w:hint="eastAsia" w:ascii="仿宋_GB2312" w:hAnsi="Calibri" w:eastAsia="仿宋_GB2312" w:cs="Times New Roman"/>
          <w:color w:val="000000"/>
          <w:sz w:val="32"/>
          <w:szCs w:val="32"/>
          <w:highlight w:val="none"/>
          <w:lang w:val="en-US" w:eastAsia="zh-CN"/>
        </w:rPr>
        <w:t>制定了关于支持绿色信贷工作的实施方案，对发放绿色贷款予以利率优惠，引导信贷资金向绿色贷款项目倾斜。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
          <w:color w:val="000000"/>
          <w:sz w:val="44"/>
          <w:szCs w:val="44"/>
          <w:highlight w:val="none"/>
        </w:rPr>
      </w:pPr>
      <w:r>
        <w:rPr>
          <w:rFonts w:hint="eastAsia" w:ascii="黑体" w:hAnsi="黑体" w:eastAsia="黑体"/>
          <w:color w:val="000000"/>
          <w:sz w:val="32"/>
          <w:szCs w:val="32"/>
          <w:highlight w:val="none"/>
          <w:lang w:val="zh-CN"/>
        </w:rPr>
        <w:t>三、</w:t>
      </w:r>
      <w:r>
        <w:rPr>
          <w:rFonts w:hint="eastAsia" w:ascii="黑体" w:hAnsi="黑体" w:eastAsia="黑体"/>
          <w:color w:val="000000"/>
          <w:sz w:val="32"/>
          <w:szCs w:val="32"/>
          <w:highlight w:val="none"/>
        </w:rPr>
        <w:t>工作开展情况。</w:t>
      </w:r>
      <w:r>
        <w:rPr>
          <w:rFonts w:hint="eastAsia" w:ascii="仿宋_GB2312" w:hAnsi="仿宋_GB2312" w:eastAsia="仿宋_GB2312" w:cs="仿宋_GB2312"/>
          <w:b/>
          <w:color w:val="000000"/>
          <w:kern w:val="0"/>
          <w:sz w:val="32"/>
          <w:szCs w:val="32"/>
          <w:highlight w:val="none"/>
        </w:rPr>
        <w:t>一是</w:t>
      </w:r>
      <w:r>
        <w:rPr>
          <w:rFonts w:hint="eastAsia" w:ascii="仿宋_GB2312" w:hAnsi="仿宋_GB2312" w:eastAsia="仿宋_GB2312" w:cs="仿宋_GB2312"/>
          <w:b/>
          <w:color w:val="000000"/>
          <w:sz w:val="32"/>
          <w:szCs w:val="32"/>
          <w:highlight w:val="none"/>
        </w:rPr>
        <w:t>加大对绿色企业的对接力度，</w:t>
      </w:r>
      <w:r>
        <w:rPr>
          <w:rFonts w:hint="eastAsia" w:ascii="仿宋_GB2312" w:hAnsi="仿宋_GB2312" w:eastAsia="仿宋_GB2312" w:cs="仿宋_GB2312"/>
          <w:color w:val="000000"/>
          <w:sz w:val="32"/>
          <w:szCs w:val="32"/>
          <w:highlight w:val="none"/>
        </w:rPr>
        <w:t>引导信贷资金流向绿色经济领域，将节能减排、环境综合治理、绿色农林开发、自然生态保护、可再生能源及清洁能源等项目作为“重点支持类”行业和领域积极对接扶持；积极跟进新型城镇化和农业现代化发展步伐，履行社会责任，加强与政府相关部门的沟通，主动争取民生领域绿色信贷项目，重点支持农村节能、饮水安全工程、小型农田水利设施、畜禽养殖污染处理项目建设。</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b/>
          <w:color w:val="000000"/>
          <w:sz w:val="32"/>
          <w:szCs w:val="32"/>
          <w:highlight w:val="none"/>
        </w:rPr>
        <w:t>优化审批流程。</w:t>
      </w:r>
      <w:r>
        <w:rPr>
          <w:rFonts w:hint="eastAsia" w:ascii="仿宋_GB2312" w:hAnsi="仿宋_GB2312" w:eastAsia="仿宋_GB2312" w:cs="仿宋_GB2312"/>
          <w:color w:val="000000"/>
          <w:sz w:val="32"/>
          <w:szCs w:val="32"/>
          <w:highlight w:val="none"/>
        </w:rPr>
        <w:t>对绿色信贷支持的项目进行优先审批，缩短绿色信贷的审批时间，提高审批工作的效率，让节能环保企业能够尽快地投入相关产品和业务的开发、生产中去，让客户节能减排、环境保护的经营目标得以尽早实现，促进节能环保事业的发展。</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b/>
          <w:color w:val="000000"/>
          <w:kern w:val="0"/>
          <w:sz w:val="32"/>
          <w:szCs w:val="32"/>
          <w:highlight w:val="none"/>
        </w:rPr>
        <w:t>加强业务培训。</w:t>
      </w:r>
      <w:r>
        <w:rPr>
          <w:rFonts w:hint="eastAsia" w:ascii="仿宋_GB2312" w:hAnsi="仿宋_GB2312" w:eastAsia="仿宋_GB2312" w:cs="仿宋_GB2312"/>
          <w:color w:val="000000"/>
          <w:kern w:val="0"/>
          <w:sz w:val="32"/>
          <w:szCs w:val="32"/>
          <w:highlight w:val="none"/>
        </w:rPr>
        <w:t>重点加强内部信贷管理人员环保业务知识培训，</w:t>
      </w:r>
      <w:r>
        <w:rPr>
          <w:rFonts w:hint="eastAsia" w:ascii="仿宋_GB2312" w:hAnsi="仿宋_GB2312" w:eastAsia="仿宋_GB2312" w:cs="仿宋_GB2312"/>
          <w:color w:val="000000"/>
          <w:sz w:val="32"/>
          <w:szCs w:val="32"/>
          <w:highlight w:val="none"/>
        </w:rPr>
        <w:t>组织客户经理、贷款审查人员参加绿色信贷教育培训活动，</w:t>
      </w:r>
      <w:r>
        <w:rPr>
          <w:rFonts w:hint="eastAsia" w:ascii="仿宋_GB2312" w:hAnsi="仿宋_GB2312" w:eastAsia="仿宋_GB2312" w:cs="仿宋_GB2312"/>
          <w:color w:val="000000"/>
          <w:kern w:val="0"/>
          <w:sz w:val="32"/>
          <w:szCs w:val="32"/>
          <w:highlight w:val="none"/>
        </w:rPr>
        <w:t>切实提升信贷管理人员绿色信贷收集、识别、判断、对接和履职能力，培养节能环保技术和信贷管理技术兼并的复合型人才，为绿色信贷政策的执行提供有力支撑。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第七章  重要事项</w:t>
      </w:r>
    </w:p>
    <w:tbl>
      <w:tblPr>
        <w:tblStyle w:val="8"/>
        <w:tblW w:w="9140" w:type="dxa"/>
        <w:jc w:val="center"/>
        <w:tblInd w:w="0" w:type="dxa"/>
        <w:tblLayout w:type="fixed"/>
        <w:tblCellMar>
          <w:top w:w="0" w:type="dxa"/>
          <w:left w:w="108" w:type="dxa"/>
          <w:bottom w:w="0" w:type="dxa"/>
          <w:right w:w="108" w:type="dxa"/>
        </w:tblCellMar>
      </w:tblPr>
      <w:tblGrid>
        <w:gridCol w:w="4583"/>
        <w:gridCol w:w="2177"/>
        <w:gridCol w:w="2380"/>
      </w:tblGrid>
      <w:tr>
        <w:tblPrEx>
          <w:tblLayout w:type="fixed"/>
          <w:tblCellMar>
            <w:top w:w="0" w:type="dxa"/>
            <w:left w:w="108" w:type="dxa"/>
            <w:bottom w:w="0" w:type="dxa"/>
            <w:right w:w="108" w:type="dxa"/>
          </w:tblCellMar>
        </w:tblPrEx>
        <w:trPr>
          <w:trHeight w:val="647" w:hRule="atLeast"/>
          <w:jc w:val="center"/>
        </w:trPr>
        <w:tc>
          <w:tcPr>
            <w:tcW w:w="9140"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ascii="仿宋" w:hAnsi="仿宋" w:eastAsia="黑体" w:cs="宋体"/>
                <w:color w:val="000000"/>
                <w:kern w:val="0"/>
                <w:sz w:val="28"/>
                <w:szCs w:val="24"/>
                <w:highlight w:val="none"/>
              </w:rPr>
            </w:pPr>
            <w:r>
              <w:rPr>
                <w:rFonts w:hint="eastAsia" w:ascii="黑体" w:hAnsi="黑体" w:eastAsia="黑体"/>
                <w:bCs/>
                <w:color w:val="000000"/>
                <w:sz w:val="36"/>
                <w:szCs w:val="36"/>
                <w:highlight w:val="none"/>
              </w:rPr>
              <w:t>一、最大十名股东名称及报告期内变动情况</w:t>
            </w:r>
          </w:p>
        </w:tc>
      </w:tr>
      <w:tr>
        <w:tblPrEx>
          <w:tblLayout w:type="fixed"/>
          <w:tblCellMar>
            <w:top w:w="0" w:type="dxa"/>
            <w:left w:w="108" w:type="dxa"/>
            <w:bottom w:w="0" w:type="dxa"/>
            <w:right w:w="108" w:type="dxa"/>
          </w:tblCellMar>
        </w:tblPrEx>
        <w:trPr>
          <w:trHeight w:val="647" w:hRule="atLeast"/>
          <w:jc w:val="center"/>
        </w:trPr>
        <w:tc>
          <w:tcPr>
            <w:tcW w:w="9140"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ascii="黑体" w:hAnsi="黑体" w:eastAsia="黑体"/>
                <w:bCs/>
                <w:color w:val="000000"/>
                <w:sz w:val="36"/>
                <w:szCs w:val="36"/>
                <w:highlight w:val="none"/>
              </w:rPr>
            </w:pPr>
            <w:r>
              <w:rPr>
                <w:rFonts w:hint="eastAsia" w:ascii="仿宋" w:hAnsi="仿宋" w:eastAsia="仿宋" w:cs="宋体"/>
                <w:color w:val="000000"/>
                <w:kern w:val="0"/>
                <w:sz w:val="28"/>
                <w:szCs w:val="24"/>
                <w:highlight w:val="none"/>
              </w:rPr>
              <w:t>单位：万股</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widowControl/>
              <w:spacing w:line="600" w:lineRule="exact"/>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股东名称</w:t>
            </w:r>
          </w:p>
        </w:tc>
        <w:tc>
          <w:tcPr>
            <w:tcW w:w="2177" w:type="dxa"/>
            <w:tcBorders>
              <w:top w:val="single" w:color="auto" w:sz="4" w:space="0"/>
              <w:left w:val="nil"/>
              <w:bottom w:val="single" w:color="auto" w:sz="4" w:space="0"/>
              <w:right w:val="single" w:color="auto" w:sz="4" w:space="0"/>
            </w:tcBorders>
            <w:vAlign w:val="bottom"/>
          </w:tcPr>
          <w:p>
            <w:pPr>
              <w:widowControl/>
              <w:spacing w:line="600" w:lineRule="exact"/>
              <w:jc w:val="center"/>
              <w:rPr>
                <w:rFonts w:hint="eastAsia" w:ascii="仿宋_GB2312" w:hAnsi="仿宋_GB2312" w:eastAsia="仿宋_GB2312" w:cs="仿宋_GB2312"/>
                <w:b/>
                <w:color w:val="000000"/>
                <w:kern w:val="0"/>
                <w:sz w:val="24"/>
                <w:szCs w:val="24"/>
                <w:highlight w:val="none"/>
              </w:rPr>
            </w:pPr>
            <w:r>
              <w:rPr>
                <w:rFonts w:hint="eastAsia" w:ascii="仿宋" w:hAnsi="仿宋" w:eastAsia="仿宋" w:cs="仿宋"/>
                <w:b/>
                <w:color w:val="000000"/>
                <w:kern w:val="0"/>
                <w:sz w:val="24"/>
                <w:szCs w:val="24"/>
                <w:highlight w:val="none"/>
              </w:rPr>
              <w:t>202</w:t>
            </w:r>
            <w:r>
              <w:rPr>
                <w:rFonts w:hint="eastAsia" w:ascii="仿宋" w:hAnsi="仿宋" w:eastAsia="仿宋" w:cs="仿宋"/>
                <w:b/>
                <w:color w:val="000000"/>
                <w:kern w:val="0"/>
                <w:sz w:val="24"/>
                <w:szCs w:val="24"/>
                <w:highlight w:val="none"/>
                <w:lang w:val="en-US" w:eastAsia="zh-CN"/>
              </w:rPr>
              <w:t>2</w:t>
            </w:r>
            <w:r>
              <w:rPr>
                <w:rFonts w:hint="eastAsia" w:ascii="仿宋_GB2312" w:hAnsi="仿宋_GB2312" w:eastAsia="仿宋_GB2312" w:cs="仿宋_GB2312"/>
                <w:b/>
                <w:color w:val="000000"/>
                <w:kern w:val="0"/>
                <w:sz w:val="24"/>
                <w:szCs w:val="24"/>
                <w:highlight w:val="none"/>
              </w:rPr>
              <w:t>年末股金余额</w:t>
            </w:r>
          </w:p>
        </w:tc>
        <w:tc>
          <w:tcPr>
            <w:tcW w:w="2380" w:type="dxa"/>
            <w:tcBorders>
              <w:top w:val="single" w:color="auto" w:sz="4" w:space="0"/>
              <w:left w:val="nil"/>
              <w:bottom w:val="single" w:color="auto" w:sz="4" w:space="0"/>
              <w:right w:val="single" w:color="auto" w:sz="4" w:space="0"/>
            </w:tcBorders>
            <w:vAlign w:val="bottom"/>
          </w:tcPr>
          <w:p>
            <w:pPr>
              <w:widowControl/>
              <w:spacing w:line="600" w:lineRule="exact"/>
              <w:jc w:val="center"/>
              <w:rPr>
                <w:rFonts w:hint="eastAsia" w:ascii="仿宋_GB2312" w:hAnsi="仿宋_GB2312" w:eastAsia="仿宋_GB2312" w:cs="仿宋_GB2312"/>
                <w:b/>
                <w:color w:val="000000"/>
                <w:kern w:val="0"/>
                <w:sz w:val="24"/>
                <w:szCs w:val="24"/>
                <w:highlight w:val="none"/>
              </w:rPr>
            </w:pPr>
            <w:r>
              <w:rPr>
                <w:rFonts w:hint="eastAsia" w:ascii="仿宋" w:hAnsi="仿宋" w:eastAsia="仿宋" w:cs="仿宋"/>
                <w:b/>
                <w:color w:val="000000"/>
                <w:kern w:val="0"/>
                <w:sz w:val="24"/>
                <w:szCs w:val="24"/>
                <w:highlight w:val="none"/>
              </w:rPr>
              <w:t>202</w:t>
            </w:r>
            <w:r>
              <w:rPr>
                <w:rFonts w:hint="eastAsia" w:ascii="仿宋" w:hAnsi="仿宋" w:eastAsia="仿宋" w:cs="仿宋"/>
                <w:b/>
                <w:color w:val="000000"/>
                <w:kern w:val="0"/>
                <w:sz w:val="24"/>
                <w:szCs w:val="24"/>
                <w:highlight w:val="none"/>
                <w:lang w:val="en-US" w:eastAsia="zh-CN"/>
              </w:rPr>
              <w:t>3</w:t>
            </w:r>
            <w:r>
              <w:rPr>
                <w:rFonts w:hint="eastAsia" w:ascii="仿宋_GB2312" w:hAnsi="仿宋_GB2312" w:eastAsia="仿宋_GB2312" w:cs="仿宋_GB2312"/>
                <w:b/>
                <w:color w:val="000000"/>
                <w:kern w:val="0"/>
                <w:sz w:val="24"/>
                <w:szCs w:val="24"/>
                <w:highlight w:val="none"/>
              </w:rPr>
              <w:t>年末股金余额</w:t>
            </w:r>
          </w:p>
        </w:tc>
      </w:tr>
      <w:tr>
        <w:tblPrEx>
          <w:tblLayout w:type="fixed"/>
          <w:tblCellMar>
            <w:top w:w="0" w:type="dxa"/>
            <w:left w:w="108" w:type="dxa"/>
            <w:bottom w:w="0" w:type="dxa"/>
            <w:right w:w="108" w:type="dxa"/>
          </w:tblCellMar>
        </w:tblPrEx>
        <w:trPr>
          <w:trHeight w:val="599" w:hRule="atLeast"/>
          <w:jc w:val="center"/>
        </w:trPr>
        <w:tc>
          <w:tcPr>
            <w:tcW w:w="4583" w:type="dxa"/>
            <w:tcBorders>
              <w:top w:val="nil"/>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江西信丰农村商业银行股份有限公司</w:t>
            </w:r>
          </w:p>
        </w:tc>
        <w:tc>
          <w:tcPr>
            <w:tcW w:w="217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3783.73</w:t>
            </w:r>
          </w:p>
        </w:tc>
        <w:tc>
          <w:tcPr>
            <w:tcW w:w="238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3783.73</w:t>
            </w:r>
          </w:p>
        </w:tc>
      </w:tr>
      <w:tr>
        <w:tblPrEx>
          <w:tblLayout w:type="fixed"/>
          <w:tblCellMar>
            <w:top w:w="0" w:type="dxa"/>
            <w:left w:w="108" w:type="dxa"/>
            <w:bottom w:w="0" w:type="dxa"/>
            <w:right w:w="108" w:type="dxa"/>
          </w:tblCellMar>
        </w:tblPrEx>
        <w:trPr>
          <w:trHeight w:val="599" w:hRule="atLeast"/>
          <w:jc w:val="center"/>
        </w:trPr>
        <w:tc>
          <w:tcPr>
            <w:tcW w:w="4583" w:type="dxa"/>
            <w:tcBorders>
              <w:top w:val="nil"/>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江西寻乌农村商业银行股份有限公司</w:t>
            </w:r>
          </w:p>
        </w:tc>
        <w:tc>
          <w:tcPr>
            <w:tcW w:w="217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3287.7</w:t>
            </w:r>
          </w:p>
        </w:tc>
        <w:tc>
          <w:tcPr>
            <w:tcW w:w="238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3287.7</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赣州城兴投资管理有限公司</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3087.26</w:t>
            </w:r>
          </w:p>
        </w:tc>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3087.26</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赣州城市投资控股集团有限责任公司</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2924.77</w:t>
            </w:r>
          </w:p>
        </w:tc>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2924.77</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赣州市金久钢材有限公司</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1359.89</w:t>
            </w:r>
          </w:p>
        </w:tc>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1359.89</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江西国为投资有限公司</w:t>
            </w:r>
          </w:p>
        </w:tc>
        <w:tc>
          <w:tcPr>
            <w:tcW w:w="217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1137.41</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1137.41</w:t>
            </w:r>
          </w:p>
        </w:tc>
      </w:tr>
      <w:tr>
        <w:tblPrEx>
          <w:tblLayout w:type="fixed"/>
          <w:tblCellMar>
            <w:top w:w="0" w:type="dxa"/>
            <w:left w:w="108" w:type="dxa"/>
            <w:bottom w:w="0" w:type="dxa"/>
            <w:right w:w="108" w:type="dxa"/>
          </w:tblCellMar>
        </w:tblPrEx>
        <w:trPr>
          <w:trHeight w:val="599" w:hRule="atLeast"/>
          <w:jc w:val="center"/>
        </w:trPr>
        <w:tc>
          <w:tcPr>
            <w:tcW w:w="4583" w:type="dxa"/>
            <w:tcBorders>
              <w:top w:val="nil"/>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赣州市供销集团有限公司</w:t>
            </w:r>
          </w:p>
        </w:tc>
        <w:tc>
          <w:tcPr>
            <w:tcW w:w="217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867.99</w:t>
            </w:r>
          </w:p>
        </w:tc>
        <w:tc>
          <w:tcPr>
            <w:tcW w:w="238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867.99</w:t>
            </w:r>
          </w:p>
        </w:tc>
      </w:tr>
      <w:tr>
        <w:tblPrEx>
          <w:tblLayout w:type="fixed"/>
          <w:tblCellMar>
            <w:top w:w="0" w:type="dxa"/>
            <w:left w:w="108" w:type="dxa"/>
            <w:bottom w:w="0" w:type="dxa"/>
            <w:right w:w="108" w:type="dxa"/>
          </w:tblCellMar>
        </w:tblPrEx>
        <w:trPr>
          <w:trHeight w:val="599"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江西赣县农村商业银行股份有限公司</w:t>
            </w:r>
          </w:p>
        </w:tc>
        <w:tc>
          <w:tcPr>
            <w:tcW w:w="217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812.44</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1"/>
                <w:highlight w:val="none"/>
              </w:rPr>
            </w:pPr>
            <w:r>
              <w:rPr>
                <w:rFonts w:hint="eastAsia" w:ascii="仿宋" w:hAnsi="仿宋" w:eastAsia="仿宋" w:cs="仿宋"/>
                <w:color w:val="000000"/>
                <w:kern w:val="0"/>
                <w:sz w:val="24"/>
                <w:szCs w:val="24"/>
                <w:highlight w:val="none"/>
              </w:rPr>
              <w:t>812.44</w:t>
            </w:r>
          </w:p>
        </w:tc>
      </w:tr>
      <w:tr>
        <w:tblPrEx>
          <w:tblLayout w:type="fixed"/>
          <w:tblCellMar>
            <w:top w:w="0" w:type="dxa"/>
            <w:left w:w="108" w:type="dxa"/>
            <w:bottom w:w="0" w:type="dxa"/>
            <w:right w:w="108" w:type="dxa"/>
          </w:tblCellMar>
        </w:tblPrEx>
        <w:trPr>
          <w:trHeight w:val="616" w:hRule="atLeast"/>
          <w:jc w:val="center"/>
        </w:trPr>
        <w:tc>
          <w:tcPr>
            <w:tcW w:w="4583" w:type="dxa"/>
            <w:tcBorders>
              <w:top w:val="nil"/>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赣州市章贡区城市建设投资开发有限公司</w:t>
            </w:r>
          </w:p>
        </w:tc>
        <w:tc>
          <w:tcPr>
            <w:tcW w:w="217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c>
          <w:tcPr>
            <w:tcW w:w="238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r>
      <w:tr>
        <w:tblPrEx>
          <w:tblLayout w:type="fixed"/>
          <w:tblCellMar>
            <w:top w:w="0" w:type="dxa"/>
            <w:left w:w="108" w:type="dxa"/>
            <w:bottom w:w="0" w:type="dxa"/>
            <w:right w:w="108" w:type="dxa"/>
          </w:tblCellMar>
        </w:tblPrEx>
        <w:trPr>
          <w:trHeight w:val="599" w:hRule="atLeast"/>
          <w:jc w:val="center"/>
        </w:trPr>
        <w:tc>
          <w:tcPr>
            <w:tcW w:w="4583" w:type="dxa"/>
            <w:tcBorders>
              <w:top w:val="nil"/>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赣州发展投资控股集团有限责任公司</w:t>
            </w:r>
          </w:p>
        </w:tc>
        <w:tc>
          <w:tcPr>
            <w:tcW w:w="217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c>
          <w:tcPr>
            <w:tcW w:w="238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r>
      <w:tr>
        <w:tblPrEx>
          <w:tblLayout w:type="fixed"/>
          <w:tblCellMar>
            <w:top w:w="0" w:type="dxa"/>
            <w:left w:w="108" w:type="dxa"/>
            <w:bottom w:w="0" w:type="dxa"/>
            <w:right w:w="108" w:type="dxa"/>
          </w:tblCellMar>
        </w:tblPrEx>
        <w:trPr>
          <w:trHeight w:val="603"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赣州市威昇实业发展有限公司</w:t>
            </w:r>
          </w:p>
        </w:tc>
        <w:tc>
          <w:tcPr>
            <w:tcW w:w="217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r>
      <w:tr>
        <w:tblPrEx>
          <w:tblLayout w:type="fixed"/>
          <w:tblCellMar>
            <w:top w:w="0" w:type="dxa"/>
            <w:left w:w="108" w:type="dxa"/>
            <w:bottom w:w="0" w:type="dxa"/>
            <w:right w:w="108" w:type="dxa"/>
          </w:tblCellMar>
        </w:tblPrEx>
        <w:trPr>
          <w:trHeight w:val="645" w:hRule="atLeast"/>
          <w:jc w:val="center"/>
        </w:trPr>
        <w:tc>
          <w:tcPr>
            <w:tcW w:w="4583"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赣州市金建贸易有限公司</w:t>
            </w:r>
          </w:p>
        </w:tc>
        <w:tc>
          <w:tcPr>
            <w:tcW w:w="217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781.19</w:t>
            </w:r>
          </w:p>
        </w:tc>
      </w:tr>
    </w:tbl>
    <w:p>
      <w:pPr>
        <w:keepNext w:val="0"/>
        <w:keepLines w:val="0"/>
        <w:pageBreakBefore w:val="0"/>
        <w:widowControl/>
        <w:kinsoku/>
        <w:wordWrap/>
        <w:overflowPunct/>
        <w:topLinePunct w:val="0"/>
        <w:bidi w:val="0"/>
        <w:snapToGrid/>
        <w:spacing w:line="560" w:lineRule="exact"/>
        <w:ind w:left="0" w:leftChars="0" w:right="0" w:rightChars="0" w:firstLine="640" w:firstLineChars="200"/>
        <w:jc w:val="both"/>
        <w:textAlignment w:val="auto"/>
        <w:rPr>
          <w:rFonts w:hint="eastAsia" w:ascii="黑体" w:hAnsi="黑体" w:eastAsia="黑体"/>
          <w:bCs/>
          <w:color w:val="FF0000"/>
          <w:sz w:val="32"/>
          <w:szCs w:val="32"/>
          <w:highlight w:val="none"/>
          <w:lang w:eastAsia="zh-CN"/>
        </w:rPr>
      </w:pPr>
      <w:r>
        <w:rPr>
          <w:rFonts w:hint="eastAsia" w:ascii="黑体" w:hAnsi="黑体" w:eastAsia="黑体"/>
          <w:bCs/>
          <w:color w:val="000000"/>
          <w:sz w:val="32"/>
          <w:szCs w:val="32"/>
          <w:highlight w:val="none"/>
        </w:rPr>
        <w:t>二、增加或减少注册资本情况</w:t>
      </w:r>
    </w:p>
    <w:p>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截至</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年末，</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股金总户数</w:t>
      </w:r>
      <w:r>
        <w:rPr>
          <w:rFonts w:hint="eastAsia" w:ascii="仿宋_GB2312" w:hAnsi="仿宋_GB2312" w:eastAsia="仿宋_GB2312" w:cs="仿宋_GB2312"/>
          <w:color w:val="000000"/>
          <w:sz w:val="32"/>
          <w:szCs w:val="32"/>
          <w:highlight w:val="none"/>
          <w:lang w:val="en-US" w:eastAsia="zh-CN"/>
        </w:rPr>
        <w:t>5635</w:t>
      </w:r>
      <w:r>
        <w:rPr>
          <w:rFonts w:hint="eastAsia" w:ascii="仿宋_GB2312" w:hAnsi="仿宋_GB2312" w:eastAsia="仿宋_GB2312" w:cs="仿宋_GB2312"/>
          <w:color w:val="000000"/>
          <w:sz w:val="32"/>
          <w:szCs w:val="32"/>
          <w:highlight w:val="none"/>
        </w:rPr>
        <w:t>户，总金额87058.53万元，与202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年末无变化。</w:t>
      </w:r>
    </w:p>
    <w:p>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三、重大诉讼、仲裁事项</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未发生对经营活动产生重大影响的诉讼、仲裁事项。</w:t>
      </w:r>
    </w:p>
    <w:p>
      <w:pPr>
        <w:keepNext w:val="0"/>
        <w:keepLines w:val="0"/>
        <w:pageBreakBefore w:val="0"/>
        <w:numPr>
          <w:ilvl w:val="0"/>
          <w:numId w:val="2"/>
        </w:numPr>
        <w:kinsoku/>
        <w:wordWrap/>
        <w:overflowPunct/>
        <w:topLinePunct w:val="0"/>
        <w:bidi w:val="0"/>
        <w:snapToGrid/>
        <w:spacing w:line="560" w:lineRule="exact"/>
        <w:ind w:left="0" w:leftChars="0" w:right="0" w:rightChars="0" w:firstLine="640" w:firstLineChars="200"/>
        <w:jc w:val="both"/>
        <w:textAlignment w:val="auto"/>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rPr>
        <w:t>重大托管、担保、承诺、委托资产管理事项</w:t>
      </w:r>
    </w:p>
    <w:p>
      <w:pPr>
        <w:keepNext w:val="0"/>
        <w:keepLines w:val="0"/>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报告期内，</w:t>
      </w:r>
      <w:r>
        <w:rPr>
          <w:rFonts w:hint="eastAsia" w:ascii="仿宋" w:hAnsi="仿宋" w:eastAsia="仿宋"/>
          <w:color w:val="000000"/>
          <w:sz w:val="32"/>
          <w:szCs w:val="32"/>
          <w:highlight w:val="none"/>
          <w:lang w:eastAsia="zh-CN"/>
        </w:rPr>
        <w:t>本公司</w:t>
      </w:r>
      <w:r>
        <w:rPr>
          <w:rFonts w:hint="eastAsia" w:ascii="仿宋" w:hAnsi="仿宋" w:eastAsia="仿宋"/>
          <w:color w:val="000000"/>
          <w:sz w:val="32"/>
          <w:szCs w:val="32"/>
          <w:highlight w:val="none"/>
        </w:rPr>
        <w:t>无重大托管、担保、承诺、委托资产管理事项。</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五、金融消费者权益保护事项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（一）本公司董事会下设金融消费者权益保护委员会，不断完善消费者权益保护工作机制,健全金融消费权益保护制度。</w:t>
      </w:r>
      <w:r>
        <w:rPr>
          <w:rFonts w:hint="eastAsia" w:hAnsi="仿宋_GB2312" w:eastAsia="仿宋_GB2312" w:cs="仿宋_GB2312"/>
          <w:color w:val="auto"/>
          <w:sz w:val="32"/>
          <w:szCs w:val="32"/>
          <w:lang w:val="zh-CN" w:eastAsia="zh-CN"/>
        </w:rPr>
        <w:t>报告期内，</w:t>
      </w:r>
      <w:r>
        <w:rPr>
          <w:rFonts w:hint="eastAsia" w:hAnsi="仿宋_GB2312" w:eastAsia="仿宋_GB2312" w:cs="仿宋_GB2312"/>
          <w:color w:val="auto"/>
          <w:sz w:val="32"/>
          <w:szCs w:val="32"/>
          <w:lang w:val="en-US" w:eastAsia="zh-CN"/>
        </w:rPr>
        <w:t>修订了《赣州农商银行金融消费者权益保护工作管理办法》《赣州农商银行金融消费者权益保护工作绩效考评办法》《赣州农商银行代理保险业务管理办法》《赣州农商银行实物贵金属业务管理实施细则》；制定《赣州农商银行</w:t>
      </w:r>
      <w:r>
        <w:rPr>
          <w:rFonts w:hint="eastAsia" w:ascii="仿宋_GB2312" w:hAnsi="仿宋_GB2312" w:eastAsia="仿宋_GB2312" w:cs="仿宋_GB2312"/>
          <w:color w:val="auto"/>
          <w:sz w:val="32"/>
          <w:szCs w:val="32"/>
          <w:lang w:val="en-US" w:eastAsia="zh-CN"/>
        </w:rPr>
        <w:t>2023</w:t>
      </w:r>
      <w:r>
        <w:rPr>
          <w:rFonts w:hint="eastAsia" w:hAnsi="仿宋_GB2312" w:eastAsia="仿宋_GB2312" w:cs="仿宋_GB2312"/>
          <w:color w:val="auto"/>
          <w:sz w:val="32"/>
          <w:szCs w:val="32"/>
          <w:lang w:val="en-US" w:eastAsia="zh-CN"/>
        </w:rPr>
        <w:t>年金融消费者权益保护工作要点》《赣州农商银行互联网保险销售行为可回溯</w:t>
      </w:r>
      <w:r>
        <w:rPr>
          <w:rFonts w:hint="eastAsia" w:ascii="仿宋_GB2312" w:hAnsi="仿宋_GB2312" w:eastAsia="仿宋_GB2312" w:cs="仿宋_GB2312"/>
          <w:color w:val="auto"/>
          <w:sz w:val="32"/>
          <w:szCs w:val="32"/>
          <w:lang w:val="en-US" w:eastAsia="zh-CN"/>
        </w:rPr>
        <w:t>管理办法》</w:t>
      </w:r>
      <w:r>
        <w:rPr>
          <w:rFonts w:hint="eastAsia" w:ascii="仿宋_GB2312" w:hAnsi="仿宋_GB2312" w:eastAsia="仿宋_GB2312" w:cs="仿宋_GB2312"/>
          <w:color w:val="000000"/>
          <w:sz w:val="32"/>
          <w:szCs w:val="32"/>
          <w:highlight w:val="none"/>
          <w:lang w:val="zh-CN"/>
        </w:rPr>
        <w:t>，依法合规履行协助执行法律义务，切实维护客户及银行自身合法权益，有效防范合规风险、操作风险。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二）报告期内，本公司加强金融消费者权益保护工作，畅通消费投诉渠道，主动接受社会监督，强化内外部沟通协调，提升金融服务质量，有效维护金融消费者权益，营造消费者保护的良好氛围，逐步建立健全金融消费者权益保护工作机制，梳理金融消费者投诉处理工作流程，完备客户投诉渠道，加大宣传引导力度，提高了客户服务满意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3" w:firstLineChars="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三）报告期内，本公司共受理共受理国家金融监督管理总局江西监管局、省联社96268、人行、国家金融监督管理总局赣州监管分局、12345政务服务便民热线和问政赣州网络平台转办金融消费者权益投诉221件，已办结221件，办结率100%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满意</w:t>
      </w:r>
      <w:r>
        <w:rPr>
          <w:rFonts w:hint="eastAsia" w:ascii="仿宋_GB2312" w:hAnsi="仿宋_GB2312" w:eastAsia="仿宋_GB2312" w:cs="仿宋_GB2312"/>
          <w:color w:val="auto"/>
          <w:sz w:val="32"/>
          <w:szCs w:val="32"/>
          <w:highlight w:val="none"/>
          <w:lang w:val="en-US" w:eastAsia="zh-CN"/>
        </w:rPr>
        <w:t>和无异议件211件,</w:t>
      </w:r>
      <w:r>
        <w:rPr>
          <w:rFonts w:hint="eastAsia" w:ascii="仿宋_GB2312" w:hAnsi="仿宋_GB2312" w:eastAsia="仿宋_GB2312" w:cs="仿宋_GB2312"/>
          <w:color w:val="auto"/>
          <w:sz w:val="32"/>
          <w:szCs w:val="32"/>
          <w:highlight w:val="none"/>
          <w:lang w:val="zh-CN"/>
        </w:rPr>
        <w:t>满意率为</w:t>
      </w:r>
      <w:r>
        <w:rPr>
          <w:rFonts w:hint="eastAsia" w:ascii="仿宋_GB2312" w:hAnsi="仿宋_GB2312" w:eastAsia="仿宋_GB2312" w:cs="仿宋_GB2312"/>
          <w:color w:val="auto"/>
          <w:sz w:val="32"/>
          <w:szCs w:val="32"/>
          <w:highlight w:val="none"/>
          <w:lang w:val="en-US" w:eastAsia="zh-CN"/>
        </w:rPr>
        <w:t>95.48</w:t>
      </w:r>
      <w:r>
        <w:rPr>
          <w:rFonts w:hint="eastAsia" w:ascii="仿宋_GB2312" w:hAnsi="仿宋_GB2312" w:eastAsia="仿宋_GB2312" w:cs="仿宋_GB2312"/>
          <w:color w:val="auto"/>
          <w:sz w:val="32"/>
          <w:szCs w:val="32"/>
          <w:highlight w:val="none"/>
          <w:lang w:val="zh-CN"/>
        </w:rPr>
        <w:t>%。按投诉业务领域划分:投诉</w:t>
      </w:r>
      <w:r>
        <w:rPr>
          <w:rFonts w:hint="eastAsia" w:ascii="仿宋_GB2312" w:hAnsi="仿宋_GB2312" w:eastAsia="仿宋_GB2312" w:cs="仿宋_GB2312"/>
          <w:color w:val="auto"/>
          <w:sz w:val="32"/>
          <w:szCs w:val="32"/>
          <w:highlight w:val="none"/>
          <w:lang w:val="en-US" w:eastAsia="zh-CN"/>
        </w:rPr>
        <w:t>柜面</w:t>
      </w:r>
      <w:r>
        <w:rPr>
          <w:rFonts w:hint="eastAsia" w:ascii="仿宋_GB2312" w:hAnsi="仿宋_GB2312" w:eastAsia="仿宋_GB2312" w:cs="仿宋_GB2312"/>
          <w:color w:val="auto"/>
          <w:sz w:val="32"/>
          <w:szCs w:val="32"/>
          <w:highlight w:val="none"/>
          <w:lang w:val="zh-CN"/>
        </w:rPr>
        <w:t>业务</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lang w:val="zh-CN"/>
        </w:rPr>
        <w:t>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借记卡受限造成客户投诉占柜面业务比重最大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贷款业务</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lang w:val="zh-CN"/>
        </w:rPr>
        <w:t>件</w:t>
      </w:r>
      <w:r>
        <w:rPr>
          <w:rFonts w:hint="eastAsia" w:ascii="仿宋_GB2312" w:hAnsi="仿宋_GB2312" w:eastAsia="仿宋_GB2312" w:cs="仿宋_GB2312"/>
          <w:color w:val="auto"/>
          <w:sz w:val="32"/>
          <w:szCs w:val="32"/>
          <w:highlight w:val="none"/>
          <w:lang w:val="en-US" w:eastAsia="zh-CN"/>
        </w:rPr>
        <w:t>,信贷业务涉及按揭贷款利率调整及提前还款要求减免违约金引发的投诉在2023年上半年属于高发区域，至2023年下半年存量贷款利率调整政策出台后开始回落;电子银行业务31件，收到非本人动账信息的问题占电子银行业务投诉比重最大，我行已通过微信公众号发布相关提示，提示客户更改电话号码后应及时到银行变更信息；信用卡</w:t>
      </w:r>
      <w:r>
        <w:rPr>
          <w:rFonts w:hint="eastAsia" w:ascii="仿宋_GB2312" w:hAnsi="仿宋_GB2312" w:eastAsia="仿宋_GB2312" w:cs="仿宋_GB2312"/>
          <w:color w:val="auto"/>
          <w:sz w:val="32"/>
          <w:szCs w:val="32"/>
          <w:highlight w:val="none"/>
          <w:lang w:val="zh-CN" w:eastAsia="zh-CN"/>
        </w:rPr>
        <w:t>业务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zh-CN" w:eastAsia="zh-CN"/>
        </w:rPr>
        <w:t>件</w:t>
      </w:r>
      <w:r>
        <w:rPr>
          <w:rFonts w:hint="eastAsia" w:ascii="仿宋_GB2312" w:hAnsi="仿宋_GB2312" w:eastAsia="仿宋_GB2312" w:cs="仿宋_GB2312"/>
          <w:color w:val="auto"/>
          <w:sz w:val="32"/>
          <w:szCs w:val="32"/>
          <w:highlight w:val="none"/>
          <w:lang w:val="en-US" w:eastAsia="zh-CN"/>
        </w:rPr>
        <w:t>,主要涉及信用卡分期、收费及额度控制等方面</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按照区域划分，总行投诉4件（1件查实为非本行投诉），占比为1.81%；总行营业部投诉10件，占比为4.52%；章贡片区投诉104件，占比47.06%，南康片区投诉71件，占比32.13%；开发区片区投诉32件，占比14.48%。章贡片区投诉量要高于其他两个片区。投诉形成的主要原因：客户希望通过投诉达成诉求，账户管控趋严造成投诉量增加，短信信息错误引发投诉，对员工服务态度及服务质量等不满引发投诉。</w:t>
      </w:r>
      <w:r>
        <w:rPr>
          <w:rFonts w:hint="eastAsia" w:ascii="仿宋_GB2312" w:hAnsi="仿宋_GB2312" w:eastAsia="仿宋_GB2312" w:cs="仿宋_GB2312"/>
          <w:color w:val="auto"/>
          <w:sz w:val="32"/>
          <w:szCs w:val="32"/>
          <w:highlight w:val="none"/>
          <w:lang w:val="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年本公司未出现与消费者保护相关的重大突发事件和重大负面舆情，未发生违反法律法规、虚假宣传、误导或欺骗消费者而引发大规模投诉或群体性事件，亦未发生个人金融信息泄漏和造成严重社会影响的事件。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（四）报告期内，本公司积极履行社会责任，积极响应人民银行、监</w:t>
      </w:r>
      <w:r>
        <w:rPr>
          <w:rFonts w:hint="eastAsia" w:ascii="仿宋_GB2312" w:hAnsi="仿宋_GB2312" w:eastAsia="仿宋_GB2312" w:cs="仿宋_GB2312"/>
          <w:color w:val="000000"/>
          <w:sz w:val="32"/>
          <w:szCs w:val="32"/>
          <w:highlight w:val="none"/>
          <w:lang w:val="en-US" w:eastAsia="zh-CN"/>
        </w:rPr>
        <w:t>管</w:t>
      </w:r>
      <w:r>
        <w:rPr>
          <w:rFonts w:hint="eastAsia" w:ascii="仿宋_GB2312" w:hAnsi="仿宋_GB2312" w:eastAsia="仿宋_GB2312" w:cs="仿宋_GB2312"/>
          <w:color w:val="000000"/>
          <w:sz w:val="32"/>
          <w:szCs w:val="32"/>
          <w:highlight w:val="none"/>
          <w:lang w:val="zh-CN"/>
        </w:rPr>
        <w:t>部门、省联社的号召，面向广大普通消费者开展了《反电信网络诈骗法》</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“学习雷锋精神、践行征信为民”“‘3.15’金融消费者权益日”</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美好生活 民法典相伴</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“普及金融知识 守住‘钱袋子’”“金融知识</w:t>
      </w:r>
      <w:r>
        <w:rPr>
          <w:rFonts w:hint="eastAsia" w:ascii="仿宋_GB2312" w:hAnsi="仿宋_GB2312" w:eastAsia="仿宋_GB2312" w:cs="仿宋_GB2312"/>
          <w:color w:val="000000"/>
          <w:sz w:val="32"/>
          <w:szCs w:val="32"/>
          <w:highlight w:val="none"/>
          <w:lang w:val="zh-CN" w:eastAsia="zh-CN"/>
        </w:rPr>
        <w:t>万里行</w:t>
      </w: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zh-CN" w:eastAsia="zh-CN"/>
        </w:rPr>
        <w:t>“金融消费者权益保护教育宣传月”“防范非法集资”“存款保险知识宣传月”“征信知识”“反假币宣传月”</w:t>
      </w:r>
      <w:r>
        <w:rPr>
          <w:rFonts w:hint="eastAsia" w:ascii="仿宋_GB2312" w:hAnsi="仿宋_GB2312" w:eastAsia="仿宋_GB2312" w:cs="仿宋_GB2312"/>
          <w:color w:val="000000"/>
          <w:sz w:val="32"/>
          <w:szCs w:val="32"/>
          <w:highlight w:val="none"/>
          <w:lang w:val="zh-CN"/>
        </w:rPr>
        <w:t>等</w:t>
      </w:r>
      <w:r>
        <w:rPr>
          <w:rFonts w:hint="eastAsia" w:ascii="仿宋_GB2312" w:hAnsi="仿宋_GB2312" w:eastAsia="仿宋_GB2312" w:cs="仿宋_GB2312"/>
          <w:color w:val="000000"/>
          <w:sz w:val="32"/>
          <w:szCs w:val="32"/>
          <w:highlight w:val="none"/>
          <w:lang w:val="en-US" w:eastAsia="zh-CN"/>
        </w:rPr>
        <w:t>各类消保宣传</w:t>
      </w:r>
      <w:r>
        <w:rPr>
          <w:rFonts w:hint="eastAsia" w:ascii="仿宋_GB2312" w:hAnsi="仿宋_GB2312" w:eastAsia="仿宋_GB2312" w:cs="仿宋_GB2312"/>
          <w:color w:val="000000"/>
          <w:sz w:val="32"/>
          <w:szCs w:val="32"/>
          <w:highlight w:val="none"/>
          <w:lang w:val="zh-CN"/>
        </w:rPr>
        <w:t>专题活动</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进一步提升了金融消费者的权责意识和风险意识，增强了人民群众识别、防范、抵御非法金融活动的能力，提高了人民群众理性投资意识。</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黑体" w:hAnsi="黑体" w:eastAsia="黑体"/>
          <w:bCs/>
          <w:color w:val="000000"/>
          <w:sz w:val="32"/>
          <w:szCs w:val="32"/>
          <w:highlight w:val="none"/>
          <w:lang w:val="en-US" w:eastAsia="zh-CN"/>
        </w:rPr>
      </w:pPr>
      <w:r>
        <w:rPr>
          <w:rFonts w:hint="eastAsia" w:ascii="黑体" w:hAnsi="黑体" w:eastAsia="黑体"/>
          <w:bCs/>
          <w:color w:val="000000"/>
          <w:sz w:val="32"/>
          <w:szCs w:val="32"/>
          <w:highlight w:val="none"/>
        </w:rPr>
        <w:t>六、高管人员变动重要事项</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经赣州农村商业银行股份有限公司第三届董事会第十四次会议审议通过，解聘陈迎宾赣州农村商业银行股份有限公司第三届董事会董事长职务，聘任刘全华同志为赣州农村商业银行股份有限公司第三届董事会董事长；解聘曾绍敏同志赣州农村商业银行股份有限公司副行长职务。</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经赣州农村商业银行股份有限公司第三届董事会第十七次会议审议通过，解聘黄敬东同志赣州农村商业银行股份有限公司副行长职务。</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七、薪酬管理情况</w:t>
      </w:r>
    </w:p>
    <w:p>
      <w:pPr>
        <w:keepNext w:val="0"/>
        <w:keepLines w:val="0"/>
        <w:pageBreakBefore w:val="0"/>
        <w:kinsoku/>
        <w:wordWrap/>
        <w:overflowPunct/>
        <w:topLinePunct w:val="0"/>
        <w:bidi w:val="0"/>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（一）薪酬管理架构及决策程序</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本公司董事会对薪酬管理负最终责任，董事会下设提名与薪酬委员会负责研究和审查董事及高级管理人员的薪酬政策与方案。提名与薪酬委员会由</w:t>
      </w:r>
      <w:r>
        <w:rPr>
          <w:rFonts w:hint="eastAsia" w:ascii="仿宋_GB2312" w:hAnsi="仿宋" w:eastAsia="仿宋_GB2312" w:cs="微软雅黑"/>
          <w:color w:val="000000"/>
          <w:kern w:val="0"/>
          <w:sz w:val="32"/>
          <w:szCs w:val="32"/>
          <w:highlight w:val="none"/>
          <w:lang w:val="en-US" w:eastAsia="zh-CN"/>
        </w:rPr>
        <w:t>5</w:t>
      </w:r>
      <w:r>
        <w:rPr>
          <w:rFonts w:hint="eastAsia" w:ascii="仿宋_GB2312" w:hAnsi="仿宋" w:eastAsia="仿宋_GB2312" w:cs="微软雅黑"/>
          <w:color w:val="000000"/>
          <w:kern w:val="0"/>
          <w:sz w:val="32"/>
          <w:szCs w:val="32"/>
          <w:highlight w:val="none"/>
          <w:lang w:val="zh-CN"/>
        </w:rPr>
        <w:t>名董事组成，主任委员由独立董事担任。人力资源部为薪酬管理实施部门。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FF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zh-CN"/>
        </w:rPr>
        <w:t>（二）年度薪酬总量、受益人及薪酬结构</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报告期内，本公司薪酬总量为</w:t>
      </w:r>
      <w:r>
        <w:rPr>
          <w:rFonts w:hint="eastAsia" w:ascii="仿宋_GB2312" w:hAnsi="仿宋" w:eastAsia="仿宋_GB2312" w:cs="微软雅黑"/>
          <w:color w:val="000000"/>
          <w:kern w:val="0"/>
          <w:sz w:val="32"/>
          <w:szCs w:val="32"/>
          <w:highlight w:val="none"/>
          <w:lang w:val="en-US" w:eastAsia="zh-CN"/>
        </w:rPr>
        <w:t>18236</w:t>
      </w:r>
      <w:r>
        <w:rPr>
          <w:rFonts w:hint="eastAsia" w:ascii="仿宋_GB2312" w:hAnsi="仿宋" w:eastAsia="仿宋_GB2312" w:cs="微软雅黑"/>
          <w:color w:val="000000"/>
          <w:kern w:val="0"/>
          <w:sz w:val="32"/>
          <w:szCs w:val="32"/>
          <w:highlight w:val="none"/>
          <w:lang w:val="zh-CN"/>
        </w:rPr>
        <w:t>万元。分布结构：基本薪酬</w:t>
      </w:r>
      <w:r>
        <w:rPr>
          <w:rFonts w:hint="eastAsia" w:ascii="仿宋_GB2312" w:hAnsi="仿宋" w:eastAsia="仿宋_GB2312" w:cs="微软雅黑"/>
          <w:color w:val="000000"/>
          <w:kern w:val="0"/>
          <w:sz w:val="32"/>
          <w:szCs w:val="32"/>
          <w:highlight w:val="none"/>
          <w:lang w:val="en-US" w:eastAsia="zh-CN"/>
        </w:rPr>
        <w:t>4526</w:t>
      </w:r>
      <w:r>
        <w:rPr>
          <w:rFonts w:hint="eastAsia" w:ascii="仿宋_GB2312" w:hAnsi="仿宋" w:eastAsia="仿宋_GB2312" w:cs="微软雅黑"/>
          <w:color w:val="000000"/>
          <w:kern w:val="0"/>
          <w:sz w:val="32"/>
          <w:szCs w:val="32"/>
          <w:highlight w:val="none"/>
          <w:lang w:val="zh-CN"/>
        </w:rPr>
        <w:t>万元；绩效薪酬</w:t>
      </w:r>
      <w:r>
        <w:rPr>
          <w:rFonts w:hint="eastAsia" w:ascii="仿宋_GB2312" w:hAnsi="仿宋" w:eastAsia="仿宋_GB2312" w:cs="微软雅黑"/>
          <w:color w:val="000000"/>
          <w:kern w:val="0"/>
          <w:sz w:val="32"/>
          <w:szCs w:val="32"/>
          <w:highlight w:val="none"/>
          <w:lang w:val="en-US" w:eastAsia="zh-CN"/>
        </w:rPr>
        <w:t>13710</w:t>
      </w:r>
      <w:r>
        <w:rPr>
          <w:rFonts w:hint="eastAsia" w:ascii="仿宋_GB2312" w:hAnsi="仿宋" w:eastAsia="仿宋_GB2312" w:cs="微软雅黑"/>
          <w:color w:val="000000"/>
          <w:kern w:val="0"/>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（三）薪酬与业绩衡量、风险调整的标准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本公司薪酬制定坚持“合规管理、风险可控”的原则，统筹业务发展与风险防控，做到稳健经营、合规引领，建立兼顾效益与风险，当期成果与可持续发展的绩效考核指标体系，全面客观地实施绩效考核。坚持“全额挂钩、考核到人”的原则。除员工的基本薪酬以外，绩效薪酬同工同酬，全额与业绩挂钩，将绩效薪酬考核的目标、内容、方法、标准等直接落实到每一个员工，直接将绩效薪酬计发到员工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（四）薪酬延期支付和非现金薪酬情况，包括因故扣回的情况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 w:eastAsia="仿宋_GB2312" w:cs="微软雅黑"/>
          <w:color w:val="auto"/>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根据《商业银行稳健薪酬监管指引》规定,对高级管理人员及关键岗位人员绩效薪酬进行延期支付，延期支付薪酬按有关规定兑付。高级管理人员和关键岗位人员因存在明显过失或未尽到审慎管理义务，导致职责范围内风险超常暴露的，本公司可以追索扣回其相应期限内的绩效薪酬。</w:t>
      </w:r>
      <w:r>
        <w:rPr>
          <w:rFonts w:hint="eastAsia" w:ascii="仿宋_GB2312" w:hAnsi="仿宋" w:eastAsia="仿宋_GB2312" w:cs="微软雅黑"/>
          <w:color w:val="auto"/>
          <w:kern w:val="0"/>
          <w:sz w:val="32"/>
          <w:szCs w:val="32"/>
          <w:highlight w:val="none"/>
          <w:lang w:val="zh-CN"/>
        </w:rPr>
        <w:t>报告期内，本公司未执行非现金薪酬。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（五）董事会、高级管理层和对银行风险有重要影响岗位上的员工的具体薪酬信息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报告期内，本公司董事会、高级管理层等关键管理人员薪酬按照省联社核定标准计发。本公司绩效薪酬分配倾向于对风险有重要影响岗位和一线创造效益的员工。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（六）年度薪酬方案制定、备案及经济风险和社会责任指标完成考核情况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报告期内，本公司制定了《赣州农商银行202</w:t>
      </w:r>
      <w:r>
        <w:rPr>
          <w:rFonts w:hint="eastAsia" w:ascii="仿宋_GB2312" w:hAnsi="仿宋" w:eastAsia="仿宋_GB2312" w:cs="微软雅黑"/>
          <w:color w:val="000000"/>
          <w:kern w:val="0"/>
          <w:sz w:val="32"/>
          <w:szCs w:val="32"/>
          <w:highlight w:val="none"/>
          <w:lang w:val="en-US" w:eastAsia="zh-CN"/>
        </w:rPr>
        <w:t>3</w:t>
      </w:r>
      <w:r>
        <w:rPr>
          <w:rFonts w:hint="eastAsia" w:ascii="仿宋_GB2312" w:hAnsi="仿宋" w:eastAsia="仿宋_GB2312" w:cs="微软雅黑"/>
          <w:color w:val="000000"/>
          <w:kern w:val="0"/>
          <w:sz w:val="32"/>
          <w:szCs w:val="32"/>
          <w:highlight w:val="none"/>
          <w:lang w:val="zh-CN"/>
        </w:rPr>
        <w:t>年员工绩效薪酬考核方案（试行）》《赣州农商银行基层网点202</w:t>
      </w:r>
      <w:r>
        <w:rPr>
          <w:rFonts w:hint="eastAsia" w:ascii="仿宋_GB2312" w:hAnsi="仿宋" w:eastAsia="仿宋_GB2312" w:cs="微软雅黑"/>
          <w:color w:val="000000"/>
          <w:kern w:val="0"/>
          <w:sz w:val="32"/>
          <w:szCs w:val="32"/>
          <w:highlight w:val="none"/>
          <w:lang w:val="en-US" w:eastAsia="zh-CN"/>
        </w:rPr>
        <w:t>3</w:t>
      </w:r>
      <w:r>
        <w:rPr>
          <w:rFonts w:hint="eastAsia" w:ascii="仿宋_GB2312" w:hAnsi="仿宋" w:eastAsia="仿宋_GB2312" w:cs="微软雅黑"/>
          <w:color w:val="000000"/>
          <w:kern w:val="0"/>
          <w:sz w:val="32"/>
          <w:szCs w:val="32"/>
          <w:highlight w:val="none"/>
          <w:lang w:val="zh-CN"/>
        </w:rPr>
        <w:t>年综合考评方案（试行）》《赣州农商银行总行部室及中心支行机关202</w:t>
      </w:r>
      <w:r>
        <w:rPr>
          <w:rFonts w:hint="eastAsia" w:ascii="仿宋_GB2312" w:hAnsi="仿宋" w:eastAsia="仿宋_GB2312" w:cs="微软雅黑"/>
          <w:color w:val="000000"/>
          <w:kern w:val="0"/>
          <w:sz w:val="32"/>
          <w:szCs w:val="32"/>
          <w:highlight w:val="none"/>
          <w:lang w:val="en-US" w:eastAsia="zh-CN"/>
        </w:rPr>
        <w:t>3</w:t>
      </w:r>
      <w:r>
        <w:rPr>
          <w:rFonts w:hint="eastAsia" w:ascii="仿宋_GB2312" w:hAnsi="仿宋" w:eastAsia="仿宋_GB2312" w:cs="微软雅黑"/>
          <w:color w:val="000000"/>
          <w:kern w:val="0"/>
          <w:sz w:val="32"/>
          <w:szCs w:val="32"/>
          <w:highlight w:val="none"/>
          <w:lang w:val="zh-CN"/>
        </w:rPr>
        <w:t>年综合考评方案（试行）》等方案。报告期内，本公司经济、风险和社会责任指标完成预期目标。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（七）超出原定薪酬方案的例外情况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报告期内，本公司无超</w:t>
      </w:r>
      <w:bookmarkStart w:id="0" w:name="_GoBack"/>
      <w:bookmarkEnd w:id="0"/>
      <w:r>
        <w:rPr>
          <w:rFonts w:hint="eastAsia" w:ascii="仿宋_GB2312" w:hAnsi="仿宋" w:eastAsia="仿宋_GB2312" w:cs="微软雅黑"/>
          <w:color w:val="000000"/>
          <w:kern w:val="0"/>
          <w:sz w:val="32"/>
          <w:szCs w:val="32"/>
          <w:highlight w:val="none"/>
          <w:lang w:val="zh-CN"/>
        </w:rPr>
        <w:t>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lang w:val="zh-CN"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eastAsia="zh-CN" w:bidi="ar-SA"/>
        </w:rPr>
      </w:pPr>
      <w:r>
        <w:rPr>
          <w:rFonts w:hint="eastAsia" w:ascii="仿宋_GB2312" w:hAnsi="仿宋" w:eastAsia="仿宋_GB2312" w:cs="微软雅黑"/>
          <w:color w:val="000000"/>
          <w:kern w:val="0"/>
          <w:sz w:val="32"/>
          <w:szCs w:val="32"/>
          <w:highlight w:val="none"/>
          <w:lang w:val="zh-CN" w:eastAsia="zh-CN" w:bidi="ar-SA"/>
        </w:rPr>
        <w:t>附件：赣州农商银行2023年度审计报告</w:t>
      </w:r>
    </w:p>
    <w:p>
      <w:pPr>
        <w:keepNext w:val="0"/>
        <w:keepLines w:val="0"/>
        <w:pageBreakBefore w:val="0"/>
        <w:kinsoku/>
        <w:wordWrap/>
        <w:overflowPunct/>
        <w:topLinePunct w:val="0"/>
        <w:bidi w:val="0"/>
        <w:snapToGrid/>
        <w:spacing w:line="560" w:lineRule="exact"/>
        <w:ind w:left="0" w:leftChars="0" w:right="0" w:rightChars="0"/>
        <w:textAlignment w:val="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mp;#20223">
    <w:altName w:val="Times New Roman"/>
    <w:panose1 w:val="00000000000000000000"/>
    <w:charset w:val="00"/>
    <w:family w:val="roman"/>
    <w:pitch w:val="default"/>
    <w:sig w:usb0="00000000" w:usb1="00000000" w:usb2="00000000" w:usb3="00000000" w:csb0="00040001" w:csb1="00000000"/>
  </w:font>
  <w:font w:name="&amp;#26041">
    <w:altName w:val="Times New Roman"/>
    <w:panose1 w:val="00000000000000000000"/>
    <w:charset w:val="00"/>
    <w:family w:val="roman"/>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swiss"/>
    <w:pitch w:val="default"/>
    <w:sig w:usb0="00000000"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FangSong_GB2312">
    <w:altName w:val="仿宋_GB2312"/>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黑体,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汉仪瑞意宋简">
    <w:altName w:val="宋体"/>
    <w:panose1 w:val="00020600040101010101"/>
    <w:charset w:val="86"/>
    <w:family w:val="auto"/>
    <w:pitch w:val="default"/>
    <w:sig w:usb0="00000000" w:usb1="00000000" w:usb2="00000016"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Latha">
    <w:panose1 w:val="020B0604020202020204"/>
    <w:charset w:val="00"/>
    <w:family w:val="auto"/>
    <w:pitch w:val="default"/>
    <w:sig w:usb0="00100003"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badi MT Condensed Light">
    <w:altName w:val="Arial"/>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 w:name="中國龍行書體">
    <w:altName w:val="Lucida Console"/>
    <w:panose1 w:val="02010609000101010101"/>
    <w:charset w:val="00"/>
    <w:family w:val="auto"/>
    <w:pitch w:val="default"/>
    <w:sig w:usb0="00000000" w:usb1="00000000" w:usb2="00000000" w:usb3="00000000" w:csb0="00000000" w:csb1="00000000"/>
  </w:font>
  <w:font w:name="创艺简中圆">
    <w:altName w:val="Courier New"/>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书体坊郭小语钢笔楷体">
    <w:altName w:val="宋体"/>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ingLiU">
    <w:panose1 w:val="02020509000000000000"/>
    <w:charset w:val="88"/>
    <w:family w:val="modern"/>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方正仿宋简体">
    <w:altName w:val="微软雅黑"/>
    <w:panose1 w:val="02010601030101010101"/>
    <w:charset w:val="86"/>
    <w:family w:val="auto"/>
    <w:pitch w:val="default"/>
    <w:sig w:usb0="00000000" w:usb1="0000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DotumChe">
    <w:panose1 w:val="020B0609000101010101"/>
    <w:charset w:val="81"/>
    <w:family w:val="auto"/>
    <w:pitch w:val="default"/>
    <w:sig w:usb0="B00002AF" w:usb1="69D77CFB" w:usb2="00000030" w:usb3="00000000" w:csb0="4008009F" w:csb1="DFD70000"/>
  </w:font>
  <w:font w:name="Helvetica">
    <w:panose1 w:val="020B0504020202030204"/>
    <w:charset w:val="00"/>
    <w:family w:val="swiss"/>
    <w:pitch w:val="default"/>
    <w:sig w:usb0="00000007" w:usb1="00000000" w:usb2="00000000" w:usb3="00000000" w:csb0="00000093" w:csb1="00000000"/>
  </w:font>
  <w:font w:name="方正黑体简体">
    <w:altName w:val="微软雅黑"/>
    <w:panose1 w:val="02010601030101010101"/>
    <w:charset w:val="86"/>
    <w:family w:val="auto"/>
    <w:pitch w:val="default"/>
    <w:sig w:usb0="00000000" w:usb1="0000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迷你简嘟嘟体">
    <w:altName w:val="宋体"/>
    <w:panose1 w:val="02010604000101010101"/>
    <w:charset w:val="86"/>
    <w:family w:val="auto"/>
    <w:pitch w:val="default"/>
    <w:sig w:usb0="00000000" w:usb1="00000000" w:usb2="00000002" w:usb3="00000000" w:csb0="00040000" w:csb1="00000000"/>
  </w:font>
  <w:font w:name="華康娃娃體(P)">
    <w:altName w:val="PMingLiU"/>
    <w:panose1 w:val="02010600010101010101"/>
    <w:charset w:val="88"/>
    <w:family w:val="auto"/>
    <w:pitch w:val="default"/>
    <w:sig w:usb0="00000000" w:usb1="00000000" w:usb2="00000016" w:usb3="00000000" w:csb0="00100000" w:csb1="00000000"/>
  </w:font>
  <w:font w:name="華康娃娃體">
    <w:altName w:val="Microsoft JhengHei"/>
    <w:panose1 w:val="02010609010101010101"/>
    <w:charset w:val="88"/>
    <w:family w:val="auto"/>
    <w:pitch w:val="default"/>
    <w:sig w:usb0="00000000" w:usb1="00000000" w:usb2="00000016" w:usb3="00000000" w:csb0="00100000" w:csb1="00000000"/>
  </w:font>
  <w:font w:name="汉鼎繁印篆">
    <w:altName w:val="Lucida Console"/>
    <w:panose1 w:val="02010609000101010101"/>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中國龍古印體">
    <w:altName w:val="Lucida Console"/>
    <w:panose1 w:val="02010609000101010101"/>
    <w:charset w:val="00"/>
    <w:family w:val="auto"/>
    <w:pitch w:val="default"/>
    <w:sig w:usb0="00000000" w:usb1="00000000" w:usb2="00000000" w:usb3="00000000" w:csb0="00000000" w:csb1="00000000"/>
  </w:font>
  <w:font w:name="创艺简细圆">
    <w:altName w:val="Latha"/>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创艺简宋体">
    <w:altName w:val="宋体"/>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方正兰亭超细黑简体">
    <w:altName w:val="黑体"/>
    <w:panose1 w:val="02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PingFang SC">
    <w:altName w:val="宋体"/>
    <w:panose1 w:val="020B0400000000000000"/>
    <w:charset w:val="86"/>
    <w:family w:val="swiss"/>
    <w:pitch w:val="default"/>
    <w:sig w:usb0="00000000" w:usb1="00000000" w:usb2="00000017" w:usb3="00000000" w:csb0="0004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MS Mincho">
    <w:panose1 w:val="02020609040205080304"/>
    <w:charset w:val="80"/>
    <w:family w:val="roman"/>
    <w:pitch w:val="default"/>
    <w:sig w:usb0="E00002FF" w:usb1="6AC7FDFB" w:usb2="00000012" w:usb3="00000000" w:csb0="4002009F" w:csb1="DFD70000"/>
  </w:font>
  <w:font w:name="Tw Cen MT Condensed Extra Bold">
    <w:panose1 w:val="020B0803020202020204"/>
    <w:charset w:val="00"/>
    <w:family w:val="auto"/>
    <w:pitch w:val="default"/>
    <w:sig w:usb0="00000003" w:usb1="00000000" w:usb2="00000000" w:usb3="00000000" w:csb0="20000003" w:csb1="00000000"/>
  </w:font>
  <w:font w:name="???????">
    <w:altName w:val="Times New Roman"/>
    <w:panose1 w:val="00000000000000000000"/>
    <w:charset w:val="00"/>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Adobe ?? Std R">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方正粗黑宋简体">
    <w:altName w:val="宋体"/>
    <w:panose1 w:val="02000000000000000000"/>
    <w:charset w:val="86"/>
    <w:family w:val="auto"/>
    <w:pitch w:val="default"/>
    <w:sig w:usb0="00000000" w:usb1="00000000" w:usb2="00000012" w:usb3="00000000" w:csb0="00040001" w:csb1="00000000"/>
  </w:font>
  <w:font w:name="黑体">
    <w:panose1 w:val="02010609060101010101"/>
    <w:charset w:val="50"/>
    <w:family w:val="auto"/>
    <w:pitch w:val="default"/>
    <w:sig w:usb0="800002BF" w:usb1="38CF7CFA" w:usb2="00000016" w:usb3="00000000" w:csb0="00040001" w:csb1="00000000"/>
  </w:font>
  <w:font w:name="TT711Fo00">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Latha"/>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粗圆">
    <w:altName w:val="Latha"/>
    <w:panose1 w:val="00000000000000000000"/>
    <w:charset w:val="00"/>
    <w:family w:val="auto"/>
    <w:pitch w:val="default"/>
    <w:sig w:usb0="00000000" w:usb1="00000000" w:usb2="00000000" w:usb3="00000000" w:csb0="00000000" w:csb1="00000000"/>
  </w:font>
  <w:font w:name="创艺繁综艺">
    <w:altName w:val="Latha"/>
    <w:panose1 w:val="00000000000000000000"/>
    <w:charset w:val="00"/>
    <w:family w:val="auto"/>
    <w:pitch w:val="default"/>
    <w:sig w:usb0="00000000" w:usb1="00000000" w:usb2="00000000" w:usb3="00000000" w:csb0="00000000" w:csb1="00000000"/>
  </w:font>
  <w:font w:name="创艺繁超黑">
    <w:altName w:val="黑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创艺繁魏碑">
    <w:altName w:val="Latha"/>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创艺繁琥珀">
    <w:altName w:val="Latha"/>
    <w:panose1 w:val="00000000000000000000"/>
    <w:charset w:val="00"/>
    <w:family w:val="auto"/>
    <w:pitch w:val="default"/>
    <w:sig w:usb0="00000000" w:usb1="00000000" w:usb2="00000000" w:usb3="00000000" w:csb0="00000000" w:csb1="00000000"/>
  </w:font>
  <w:font w:name="创艺繁线体">
    <w:altName w:val="Latha"/>
    <w:panose1 w:val="00000000000000000000"/>
    <w:charset w:val="00"/>
    <w:family w:val="auto"/>
    <w:pitch w:val="default"/>
    <w:sig w:usb0="00000000" w:usb1="00000000" w:usb2="00000000" w:usb3="00000000" w:csb0="00000000" w:csb1="00000000"/>
  </w:font>
  <w:font w:name="创艺繁细圆">
    <w:altName w:val="Latha"/>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布丁体W12">
    <w:altName w:val="宋体"/>
    <w:panose1 w:val="040B0C09000000000000"/>
    <w:charset w:val="86"/>
    <w:family w:val="auto"/>
    <w:pitch w:val="default"/>
    <w:sig w:usb0="00000000" w:usb1="00000000" w:usb2="00000012"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w:panose1 w:val="020F0502020204030204"/>
    <w:charset w:val="86"/>
    <w:family w:val="swiss"/>
    <w:pitch w:val="default"/>
    <w:sig w:usb0="E00002FF" w:usb1="4000ACFF" w:usb2="00000001" w:usb3="00000000" w:csb0="2000019F" w:csb1="00000000"/>
  </w:font>
  <w:font w:name="font-weight : 400">
    <w:altName w:val="Latha"/>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Gulim">
    <w:panose1 w:val="020B0600000101010101"/>
    <w:charset w:val="81"/>
    <w:family w:val="auto"/>
    <w:pitch w:val="default"/>
    <w:sig w:usb0="B00002AF" w:usb1="69D77CFB" w:usb2="00000030" w:usb3="00000000" w:csb0="4008009F" w:csb1="DFD70000"/>
  </w:font>
  <w:font w:name="Arial Rounded MT Bold">
    <w:panose1 w:val="020F0704030504030204"/>
    <w:charset w:val="00"/>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00" w:usb3="00000000" w:csb0="00000000" w:csb1="00000000"/>
  </w:font>
  <w:font w:name="Lucida Grande">
    <w:altName w:val="Times New Roman"/>
    <w:panose1 w:val="00000000000000000000"/>
    <w:charset w:val="00"/>
    <w:family w:val="auto"/>
    <w:pitch w:val="default"/>
    <w:sig w:usb0="00000000" w:usb1="00000000" w:usb2="00000000" w:usb3="00000000" w:csb0="00000001" w:csb1="00000000"/>
  </w:font>
  <w:font w:name="Andale WT">
    <w:altName w:val="Latha"/>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AdobeHeitiStd-Regular">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mp;quot">
    <w:altName w:val="Times New Roman"/>
    <w:panose1 w:val="00000000000000000000"/>
    <w:charset w:val="00"/>
    <w:family w:val="roman"/>
    <w:pitch w:val="default"/>
    <w:sig w:usb0="00000000" w:usb1="00000000" w:usb2="00000000" w:usb3="00000000" w:csb0="00040001" w:csb1="00000000"/>
  </w:font>
  <w:font w:name="PingFangTC-light">
    <w:altName w:val="微软雅黑"/>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ms sun">
    <w:altName w:val="Times New Roman"/>
    <w:panose1 w:val="00000000000000000000"/>
    <w:charset w:val="00"/>
    <w:family w:val="roman"/>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9F" w:csb1="DFD70000"/>
  </w:font>
  <w:font w:name="汉仪中隶书简">
    <w:altName w:val="隶书"/>
    <w:panose1 w:val="02010600000101010101"/>
    <w:charset w:val="86"/>
    <w:family w:val="auto"/>
    <w:pitch w:val="default"/>
    <w:sig w:usb0="00000000" w:usb1="00000000" w:usb2="00000002" w:usb3="00000000" w:csb0="00040000" w:csb1="00000000"/>
  </w:font>
  <w:font w:name="新蒂黑板报">
    <w:altName w:val="黑体"/>
    <w:panose1 w:val="03000600000000000000"/>
    <w:charset w:val="86"/>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S Reference Specialty">
    <w:panose1 w:val="0500050000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新蒂剪纸体">
    <w:altName w:val="宋体"/>
    <w:panose1 w:val="03000600000000000000"/>
    <w:charset w:val="86"/>
    <w:family w:val="auto"/>
    <w:pitch w:val="default"/>
    <w:sig w:usb0="00000000" w:usb1="00000000" w:usb2="00000000" w:usb3="00000000" w:csb0="00040001" w:csb1="00000000"/>
  </w:font>
  <w:font w:name="方正中楷繁体">
    <w:altName w:val="楷体_GB2312"/>
    <w:panose1 w:val="0201060103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imes">
    <w:altName w:val="Times New Roman"/>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SymbolPS">
    <w:panose1 w:val="05050102010607020607"/>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MS PGothic">
    <w:panose1 w:val="020B0600070205080204"/>
    <w:charset w:val="80"/>
    <w:family w:val="auto"/>
    <w:pitch w:val="default"/>
    <w:sig w:usb0="E00002FF" w:usb1="6AC7FDFB" w:usb2="00000012" w:usb3="00000000" w:csb0="4002009F" w:csb1="DFD70000"/>
  </w:font>
  <w:font w:name="Roman PS">
    <w:altName w:val="Times New Roman"/>
    <w:panose1 w:val="00000000000000000000"/>
    <w:charset w:val="00"/>
    <w:family w:val="roman"/>
    <w:pitch w:val="default"/>
    <w:sig w:usb0="00000000" w:usb1="00000000" w:usb2="00000000" w:usb3="00000000" w:csb0="00000001" w:csb1="00000000"/>
  </w:font>
  <w:font w:name="Adobe 仿宋 Std R">
    <w:altName w:val="仿宋"/>
    <w:panose1 w:val="00000000000000000000"/>
    <w:charset w:val="86"/>
    <w:family w:val="roman"/>
    <w:pitch w:val="default"/>
    <w:sig w:usb0="00000000" w:usb1="00000000" w:usb2="00000016" w:usb3="00000000" w:csb0="00060007" w:csb1="00000000"/>
  </w:font>
  <w:font w:name="iconfont">
    <w:altName w:val="Courier New"/>
    <w:panose1 w:val="00000000000000000000"/>
    <w:charset w:val="00"/>
    <w:family w:val="auto"/>
    <w:pitch w:val="default"/>
    <w:sig w:usb0="00000000" w:usb1="00000000" w:usb2="00000000" w:usb3="00000000" w:csb0="00000000" w:csb1="00000000"/>
  </w:font>
  <w:font w:name="ycl-iconfont">
    <w:altName w:val="Courier New"/>
    <w:panose1 w:val="00000000000000000000"/>
    <w:charset w:val="00"/>
    <w:family w:val="auto"/>
    <w:pitch w:val="default"/>
    <w:sig w:usb0="00000000" w:usb1="00000000" w:usb2="00000000" w:usb3="00000000" w:csb0="00000000" w:csb1="00000000"/>
  </w:font>
  <w:font w:name="MicrosoftYaHei">
    <w:altName w:val="Courier New"/>
    <w:panose1 w:val="00000000000000000000"/>
    <w:charset w:val="00"/>
    <w:family w:val="auto"/>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10" w:usb3="00000000" w:csb0="0004009F" w:csb1="00000000"/>
  </w:font>
  <w:font w:name="Songti SC">
    <w:altName w:val="Segoe Print"/>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PingFang SC Regular">
    <w:altName w:val="微软雅黑"/>
    <w:panose1 w:val="00000000000000000000"/>
    <w:charset w:val="50"/>
    <w:family w:val="auto"/>
    <w:pitch w:val="default"/>
    <w:sig w:usb0="00000000" w:usb1="00000000" w:usb2="00000017" w:usb3="00000000" w:csb0="00040001" w:csb1="00000000"/>
  </w:font>
  <w:font w:name="Meiryo">
    <w:panose1 w:val="020B0604030504040204"/>
    <w:charset w:val="80"/>
    <w:family w:val="swiss"/>
    <w:pitch w:val="default"/>
    <w:sig w:usb0="E10102FF" w:usb1="EAC7FFFF" w:usb2="00010012" w:usb3="00000000" w:csb0="6002009F" w:csb1="DFD70000"/>
  </w:font>
  <w:font w:name="-webkit-standard">
    <w:altName w:val="微软雅黑"/>
    <w:panose1 w:val="00000000000000000000"/>
    <w:charset w:val="00"/>
    <w:family w:val="auto"/>
    <w:pitch w:val="default"/>
    <w:sig w:usb0="00000000" w:usb1="00000000" w:usb2="00000000"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迷你花瓣体">
    <w:altName w:val="宋体"/>
    <w:panose1 w:val="020B0602010101010101"/>
    <w:charset w:val="86"/>
    <w:family w:val="auto"/>
    <w:pitch w:val="default"/>
    <w:sig w:usb0="00000000" w:usb1="00000000" w:usb2="00000000" w:usb3="00000000" w:csb0="00040000" w:csb1="00000000"/>
  </w:font>
  <w:font w:name="长城中行书体">
    <w:altName w:val="Segoe Print"/>
    <w:panose1 w:val="02010609010101010101"/>
    <w:charset w:val="00"/>
    <w:family w:val="auto"/>
    <w:pitch w:val="default"/>
    <w:sig w:usb0="00000000" w:usb1="00000000" w:usb2="00000000" w:usb3="00000000" w:csb0="00000000" w:csb1="00000000"/>
  </w:font>
  <w:font w:name="长城中行书体繁">
    <w:altName w:val="Segoe Print"/>
    <w:panose1 w:val="02010609010101010101"/>
    <w:charset w:val="00"/>
    <w:family w:val="auto"/>
    <w:pitch w:val="default"/>
    <w:sig w:usb0="00000000" w:usb1="00000000" w:usb2="00000000" w:usb3="00000000" w:csb0="00000000" w:csb1="00000000"/>
  </w:font>
  <w:font w:name="Adobe 楷体 Std R">
    <w:altName w:val="楷体_GB2312"/>
    <w:panose1 w:val="0202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PMincho"/>
    <w:panose1 w:val="02020600000000000000"/>
    <w:charset w:val="80"/>
    <w:family w:val="auto"/>
    <w:pitch w:val="default"/>
    <w:sig w:usb0="00000000" w:usb1="00000000" w:usb2="00000010" w:usb3="00000000" w:csb0="602A0005" w:csb1="00000000"/>
  </w:font>
  <w:font w:name="GungsuhChe">
    <w:panose1 w:val="02030609000101010101"/>
    <w:charset w:val="81"/>
    <w:family w:val="auto"/>
    <w:pitch w:val="default"/>
    <w:sig w:usb0="B00002AF" w:usb1="69D77CFB" w:usb2="00000030" w:usb3="00000000" w:csb0="4008009F" w:csb1="DFD7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H">
    <w:altName w:val="MS PMincho"/>
    <w:panose1 w:val="020209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Gothic Pr6N EL">
    <w:altName w:val="MS UI Gothic"/>
    <w:panose1 w:val="020B0200000000000000"/>
    <w:charset w:val="80"/>
    <w:family w:val="auto"/>
    <w:pitch w:val="default"/>
    <w:sig w:usb0="00000000" w:usb1="00000000" w:usb2="00000012" w:usb3="00000000" w:csb0="2002009F"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M">
    <w:altName w:val="MS PMincho"/>
    <w:panose1 w:val="02020600000000000000"/>
    <w:charset w:val="80"/>
    <w:family w:val="auto"/>
    <w:pitch w:val="default"/>
    <w:sig w:usb0="00000000" w:usb1="00000000" w:usb2="00000012" w:usb3="00000000" w:csb0="20020005"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华康布丁体W12(P)">
    <w:altName w:val="宋体"/>
    <w:panose1 w:val="040B0C00000000000000"/>
    <w:charset w:val="86"/>
    <w:family w:val="auto"/>
    <w:pitch w:val="default"/>
    <w:sig w:usb0="00000000" w:usb1="00000000" w:usb2="00000012"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Microsoft YaHei UI">
    <w:panose1 w:val="020B0503020204020204"/>
    <w:charset w:val="86"/>
    <w:family w:val="auto"/>
    <w:pitch w:val="default"/>
    <w:sig w:usb0="80000287" w:usb1="2ACF3C50" w:usb2="00000016" w:usb3="00000000" w:csb0="0004001F" w:csb1="00000000"/>
  </w:font>
  <w:font w:name="Gungsuh">
    <w:panose1 w:val="02030600000101010101"/>
    <w:charset w:val="81"/>
    <w:family w:val="auto"/>
    <w:pitch w:val="default"/>
    <w:sig w:usb0="B00002AF" w:usb1="69D77CFB" w:usb2="00000030" w:usb3="00000000" w:csb0="4008009F" w:csb1="DFD70000"/>
  </w:font>
  <w:font w:name="Kozuka Gothic Pro B">
    <w:altName w:val="MS UI Gothic"/>
    <w:panose1 w:val="020B08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o R">
    <w:altName w:val="MS PMincho"/>
    <w:panose1 w:val="02020400000000000000"/>
    <w:charset w:val="80"/>
    <w:family w:val="auto"/>
    <w:pitch w:val="default"/>
    <w:sig w:usb0="00000000" w:usb1="00000000" w:usb2="00000012" w:usb3="00000000" w:csb0="20020005" w:csb1="00000000"/>
  </w:font>
  <w:font w:name="Kozuka Mincho Pro EL">
    <w:altName w:val="MS PMincho"/>
    <w:panose1 w:val="02020200000000000000"/>
    <w:charset w:val="80"/>
    <w:family w:val="auto"/>
    <w:pitch w:val="default"/>
    <w:sig w:usb0="00000000" w:usb1="00000000" w:usb2="00000012" w:usb3="00000000" w:csb0="20020005" w:csb1="00000000"/>
  </w:font>
  <w:font w:name="_4eff_5b8b_GB2312">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彩虹黑体">
    <w:altName w:val="黑体"/>
    <w:panose1 w:val="03000509000000000000"/>
    <w:charset w:val="86"/>
    <w:family w:val="script"/>
    <w:pitch w:val="default"/>
    <w:sig w:usb0="00000000" w:usb1="00000000" w:usb2="00000010" w:usb3="00000000" w:csb0="00040000" w:csb1="00000000"/>
  </w:font>
  <w:font w:name="彩虹粗仿宋">
    <w:altName w:val="黑体"/>
    <w:panose1 w:val="03000509000000000000"/>
    <w:charset w:val="86"/>
    <w:family w:val="script"/>
    <w:pitch w:val="default"/>
    <w:sig w:usb0="00000000" w:usb1="00000000" w:usb2="00000010" w:usb3="00000000" w:csb0="00040000" w:csb1="00000000"/>
  </w:font>
  <w:font w:name="Helvetica Neue">
    <w:altName w:val="Courier New"/>
    <w:panose1 w:val="00000000000000000000"/>
    <w:charset w:val="00"/>
    <w:family w:val="roman"/>
    <w:pitch w:val="default"/>
    <w:sig w:usb0="00000000" w:usb1="00000000" w:usb2="00000000" w:usb3="00000000" w:csb0="00000000" w:csb1="00000000"/>
  </w:font>
  <w:font w:name="Droid Sans">
    <w:altName w:val="Courier New"/>
    <w:panose1 w:val="00000000000000000000"/>
    <w:charset w:val="00"/>
    <w:family w:val="roman"/>
    <w:pitch w:val="default"/>
    <w:sig w:usb0="00000000" w:usb1="00000000" w:usb2="00000000" w:usb3="00000000" w:csb0="00000000" w:csb1="00000000"/>
  </w:font>
  <w:font w:name="方正银联黑简体">
    <w:altName w:val="黑体"/>
    <w:panose1 w:val="02000000000000000000"/>
    <w:charset w:val="86"/>
    <w:family w:val="auto"/>
    <w:pitch w:val="default"/>
    <w:sig w:usb0="00000000" w:usb1="00000000" w:usb2="00000000"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
    <w:altName w:val="Times New Roman"/>
    <w:panose1 w:val="00000000000000000000"/>
    <w:charset w:val="00"/>
    <w:family w:val="roman"/>
    <w:pitch w:val="default"/>
    <w:sig w:usb0="00000000" w:usb1="00000000" w:usb2="00000000" w:usb3="00000000" w:csb0="00040001" w:csb1="00000000"/>
  </w:font>
  <w:font w:name="New York">
    <w:altName w:val="Georgia"/>
    <w:panose1 w:val="02040503060506020304"/>
    <w:charset w:val="00"/>
    <w:family w:val="swiss"/>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0005E" w:usb3="00000000" w:csb0="00040001" w:csb1="00000000"/>
  </w:font>
  <w:font w:name="仿宋GB2312">
    <w:altName w:val="仿宋_GB2312"/>
    <w:panose1 w:val="00000000000000000000"/>
    <w:charset w:val="00"/>
    <w:family w:val="auto"/>
    <w:pitch w:val="default"/>
    <w:sig w:usb0="00000000" w:usb1="00000000" w:usb2="00000000" w:usb3="00000000" w:csb0="00040001" w:csb1="00000000"/>
  </w:font>
  <w:font w:name="宋体 bold">
    <w:altName w:val="宋体"/>
    <w:panose1 w:val="00000000000000000000"/>
    <w:charset w:val="86"/>
    <w:family w:val="roman"/>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KTJ+ZBTHed-2">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HiraginoSansGB W3">
    <w:altName w:val="Times New Roman"/>
    <w:panose1 w:val="00000000000000000000"/>
    <w:charset w:val="00"/>
    <w:family w:val="roman"/>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Georgia">
    <w:panose1 w:val="02040502050405020303"/>
    <w:charset w:val="00"/>
    <w:family w:val="auto"/>
    <w:pitch w:val="default"/>
    <w:sig w:usb0="00000287" w:usb1="00000000" w:usb2="00000000" w:usb3="00000000" w:csb0="200000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86"/>
    <w:family w:val="swiss"/>
    <w:pitch w:val="default"/>
    <w:sig w:usb0="80001AFF" w:usb1="0000396B" w:usb2="00000000" w:usb3="00000000" w:csb0="200000BF" w:csb1="D7F70000"/>
  </w:font>
  <w:font w:name="PingFang SC">
    <w:altName w:val="Courier New"/>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01"/>
    <w:family w:val="swiss"/>
    <w:pitch w:val="default"/>
    <w:sig w:usb0="E00002FF" w:usb1="4000ACFF" w:usb2="00000001" w:usb3="00000000" w:csb0="2000019F" w:csb1="00000000"/>
  </w:font>
  <w:font w:name="Estrangelo Edessa">
    <w:panose1 w:val="03080600000000000000"/>
    <w:charset w:val="01"/>
    <w:family w:val="roman"/>
    <w:pitch w:val="default"/>
    <w:sig w:usb0="80002043" w:usb1="00000000" w:usb2="00000080" w:usb3="00000000" w:csb0="00000001" w:csb1="00000000"/>
  </w:font>
  <w:font w:name="Dark Courier">
    <w:altName w:val="Simplified Arabic Fixed"/>
    <w:panose1 w:val="02070409020205020404"/>
    <w:charset w:val="00"/>
    <w:family w:val="auto"/>
    <w:pitch w:val="default"/>
    <w:sig w:usb0="00000000" w:usb1="00000000" w:usb2="00000000" w:usb3="00000000" w:csb0="00000093" w:csb1="00000000"/>
  </w:font>
  <w:font w:name="Simplified Arabic Fixed">
    <w:panose1 w:val="02070309020205020404"/>
    <w:charset w:val="00"/>
    <w:family w:val="auto"/>
    <w:pitch w:val="default"/>
    <w:sig w:usb0="00002003" w:usb1="00000000" w:usb2="00000000" w:usb3="00000000" w:csb0="00000041" w:csb1="2008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urier">
    <w:panose1 w:val="02060409020205020404"/>
    <w:charset w:val="00"/>
    <w:family w:val="auto"/>
    <w:pitch w:val="default"/>
    <w:sig w:usb0="00000007" w:usb1="00000000" w:usb2="00000000" w:usb3="00000000" w:csb0="00000093"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txbxContent>
              </v:textbox>
            </v:shape>
          </w:pict>
        </mc:Fallback>
      </mc:AlternateContent>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jc w:val="right"/>
                            <w:rPr>
                              <w:rFonts w:ascii="宋体" w:hAnsi="宋体"/>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6 -</w:t>
                          </w:r>
                          <w:r>
                            <w:rPr>
                              <w:rFonts w:hint="eastAsia" w:asciiTheme="majorEastAsia" w:hAnsiTheme="majorEastAsia" w:eastAsiaTheme="majorEastAsia" w:cstheme="major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fill on="f" focussize="0,0"/>
              <v:stroke on="f"/>
              <v:imagedata o:title=""/>
              <o:lock v:ext="edit" aspectratio="f"/>
              <v:textbox inset="0mm,0mm,0mm,0mm" style="mso-fit-shape-to-text:t;">
                <w:txbxContent>
                  <w:p>
                    <w:pPr>
                      <w:pStyle w:val="5"/>
                      <w:jc w:val="right"/>
                      <w:rPr>
                        <w:rFonts w:ascii="宋体" w:hAnsi="宋体"/>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6 -</w:t>
                    </w:r>
                    <w:r>
                      <w:rPr>
                        <w:rFonts w:hint="eastAsia" w:asciiTheme="majorEastAsia" w:hAnsiTheme="majorEastAsia" w:eastAsiaTheme="majorEastAsia" w:cstheme="majorEastAsia"/>
                        <w:sz w:val="24"/>
                        <w:szCs w:val="24"/>
                      </w:rPr>
                      <w:fldChar w:fldCharType="end"/>
                    </w:r>
                  </w:p>
                </w:txbxContent>
              </v:textbox>
            </v:shape>
          </w:pict>
        </mc:Fallback>
      </mc:AlternateContent>
    </w:r>
  </w:p>
  <w:p>
    <w:pPr>
      <w:pStyle w:val="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664E7"/>
    <w:multiLevelType w:val="singleLevel"/>
    <w:tmpl w:val="853664E7"/>
    <w:lvl w:ilvl="0" w:tentative="0">
      <w:start w:val="1"/>
      <w:numFmt w:val="chineseCounting"/>
      <w:suff w:val="space"/>
      <w:lvlText w:val="第%1章"/>
      <w:lvlJc w:val="left"/>
      <w:rPr>
        <w:rFonts w:hint="eastAsia"/>
      </w:rPr>
    </w:lvl>
  </w:abstractNum>
  <w:abstractNum w:abstractNumId="1">
    <w:nsid w:val="65E7E5F3"/>
    <w:multiLevelType w:val="singleLevel"/>
    <w:tmpl w:val="65E7E5F3"/>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A335E4"/>
    <w:rsid w:val="0B7779E5"/>
    <w:rsid w:val="0C9B7A08"/>
    <w:rsid w:val="0DF91F9A"/>
    <w:rsid w:val="11D84D4E"/>
    <w:rsid w:val="196D18A5"/>
    <w:rsid w:val="22441A4D"/>
    <w:rsid w:val="236575BE"/>
    <w:rsid w:val="253E1B24"/>
    <w:rsid w:val="266C779D"/>
    <w:rsid w:val="291D27A0"/>
    <w:rsid w:val="2B380426"/>
    <w:rsid w:val="2B482426"/>
    <w:rsid w:val="2C6B06C8"/>
    <w:rsid w:val="2E127A5B"/>
    <w:rsid w:val="3043689D"/>
    <w:rsid w:val="33BB2271"/>
    <w:rsid w:val="33CA0E8E"/>
    <w:rsid w:val="3C02216B"/>
    <w:rsid w:val="3F086039"/>
    <w:rsid w:val="3F443515"/>
    <w:rsid w:val="4177400B"/>
    <w:rsid w:val="423258E2"/>
    <w:rsid w:val="42374EE5"/>
    <w:rsid w:val="46F678BC"/>
    <w:rsid w:val="4A434187"/>
    <w:rsid w:val="4C1D2ABB"/>
    <w:rsid w:val="4D352AE8"/>
    <w:rsid w:val="4DD455BE"/>
    <w:rsid w:val="4EC904EB"/>
    <w:rsid w:val="4F487C4A"/>
    <w:rsid w:val="50F0191A"/>
    <w:rsid w:val="54030E87"/>
    <w:rsid w:val="58EE5219"/>
    <w:rsid w:val="5A251730"/>
    <w:rsid w:val="5ACC7BE5"/>
    <w:rsid w:val="5CEE1682"/>
    <w:rsid w:val="61257AF9"/>
    <w:rsid w:val="62260063"/>
    <w:rsid w:val="65AB3F64"/>
    <w:rsid w:val="66844547"/>
    <w:rsid w:val="66D9191C"/>
    <w:rsid w:val="69CC091B"/>
    <w:rsid w:val="6C910992"/>
    <w:rsid w:val="798F2C49"/>
    <w:rsid w:val="7B16583F"/>
    <w:rsid w:val="7C39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Date"/>
    <w:basedOn w:val="1"/>
    <w:next w:val="1"/>
    <w:qFormat/>
    <w:uiPriority w:val="0"/>
    <w:rPr>
      <w:b/>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1"/>
    <w:basedOn w:val="1"/>
    <w:qFormat/>
    <w:uiPriority w:val="0"/>
    <w:pPr>
      <w:ind w:firstLine="420" w:firstLineChars="200"/>
    </w:pPr>
    <w:rPr>
      <w:rFonts w:ascii="Calibri" w:hAnsi="Calibri"/>
      <w:szCs w:val="22"/>
    </w:rPr>
  </w:style>
  <w:style w:type="paragraph" w:customStyle="1" w:styleId="11">
    <w:name w:val="Table Paragraph"/>
    <w:basedOn w:val="1"/>
    <w:qFormat/>
    <w:uiPriority w:val="99"/>
    <w:rPr>
      <w:rFonts w:ascii="Arial" w:hAnsi="Arial" w:cs="Arial"/>
      <w:szCs w:val="20"/>
    </w:rPr>
  </w:style>
  <w:style w:type="paragraph" w:customStyle="1" w:styleId="12">
    <w:name w:val="BodyText1I"/>
    <w:basedOn w:val="13"/>
    <w:qFormat/>
    <w:uiPriority w:val="0"/>
    <w:pPr>
      <w:ind w:firstLine="420" w:firstLineChars="100"/>
    </w:pPr>
  </w:style>
  <w:style w:type="paragraph" w:customStyle="1" w:styleId="13">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2024-03-28T07:03:00Z</dcterms:created>
  <dc:creator>匿名用户</dc:creator>
  <cp:lastModifiedBy>Administrator</cp:lastModifiedBy>
  <cp:lastPrinted>2024-06-25T06:59:00Z</cp:lastPrinted>
  <dcterms:modified xsi:type="dcterms:W3CDTF">2024-06-25T09:41:12Z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