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大标宋简体" w:hAnsi="华文中宋" w:eastAsia="方正大标宋简体" w:cs="华文中宋"/>
          <w:b w:val="0"/>
          <w:bCs w:val="0"/>
          <w:kern w:val="2"/>
          <w:sz w:val="44"/>
          <w:szCs w:val="44"/>
        </w:rPr>
      </w:pPr>
      <w:r>
        <w:rPr>
          <w:rFonts w:hint="eastAsia" w:ascii="方正仿宋_GBK" w:hAnsi="方正仿宋_GBK" w:eastAsia="方正仿宋_GBK" w:cs="方正仿宋_GBK"/>
          <w:sz w:val="30"/>
          <w:szCs w:val="30"/>
        </w:rPr>
        <w:t>附件</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w:t>
      </w:r>
    </w:p>
    <w:p>
      <w:pPr>
        <w:pStyle w:val="2"/>
        <w:widowControl/>
        <w:spacing w:beforeAutospacing="0" w:afterAutospacing="0" w:line="700" w:lineRule="exact"/>
        <w:jc w:val="center"/>
        <w:textAlignment w:val="baseline"/>
        <w:rPr>
          <w:rFonts w:hint="default" w:ascii="方正大标宋简体" w:hAnsi="华文中宋" w:eastAsia="方正大标宋简体" w:cs="华文中宋"/>
          <w:b w:val="0"/>
          <w:bCs w:val="0"/>
          <w:kern w:val="2"/>
          <w:sz w:val="44"/>
          <w:szCs w:val="44"/>
        </w:rPr>
      </w:pPr>
      <w:r>
        <w:rPr>
          <w:rFonts w:ascii="方正大标宋简体" w:hAnsi="华文中宋" w:eastAsia="方正大标宋简体" w:cs="华文中宋"/>
          <w:b w:val="0"/>
          <w:bCs w:val="0"/>
          <w:kern w:val="2"/>
          <w:sz w:val="44"/>
          <w:szCs w:val="44"/>
        </w:rPr>
        <w:t>江西</w:t>
      </w:r>
      <w:r>
        <w:rPr>
          <w:rFonts w:cs="宋体"/>
          <w:b w:val="0"/>
          <w:bCs w:val="0"/>
          <w:kern w:val="2"/>
          <w:sz w:val="44"/>
          <w:szCs w:val="44"/>
        </w:rPr>
        <w:t>•</w:t>
      </w:r>
      <w:r>
        <w:rPr>
          <w:rFonts w:ascii="方正大标宋简体" w:hAnsi="方正大标宋简体" w:eastAsia="方正大标宋简体" w:cs="方正大标宋简体"/>
          <w:b w:val="0"/>
          <w:bCs w:val="0"/>
          <w:kern w:val="2"/>
          <w:sz w:val="44"/>
          <w:szCs w:val="44"/>
        </w:rPr>
        <w:t>农商银行</w:t>
      </w:r>
      <w:r>
        <w:rPr>
          <w:rFonts w:hint="eastAsia" w:ascii="方正大标宋简体" w:hAnsi="方正大标宋简体" w:eastAsia="方正大标宋简体" w:cs="方正大标宋简体"/>
          <w:b w:val="0"/>
          <w:bCs w:val="0"/>
          <w:kern w:val="2"/>
          <w:sz w:val="44"/>
          <w:szCs w:val="44"/>
          <w:lang w:val="en-US" w:eastAsia="zh-CN"/>
        </w:rPr>
        <w:t>智慧食堂场景受理终端及辅助设备</w:t>
      </w:r>
      <w:r>
        <w:rPr>
          <w:rFonts w:ascii="方正大标宋简体" w:hAnsi="华文中宋" w:eastAsia="方正大标宋简体" w:cs="华文中宋"/>
          <w:b w:val="0"/>
          <w:bCs w:val="0"/>
          <w:kern w:val="2"/>
          <w:sz w:val="44"/>
          <w:szCs w:val="44"/>
        </w:rPr>
        <w:t>技术规格标准</w:t>
      </w:r>
    </w:p>
    <w:p>
      <w:pPr>
        <w:spacing w:line="560" w:lineRule="exact"/>
        <w:rPr>
          <w:rFonts w:ascii="仿宋_GB2312" w:hAnsi="微软雅黑" w:eastAsia="仿宋_GB2312" w:cs="微软雅黑"/>
          <w:sz w:val="32"/>
          <w:szCs w:val="32"/>
        </w:rPr>
      </w:pPr>
    </w:p>
    <w:p>
      <w:pPr>
        <w:numPr>
          <w:ilvl w:val="0"/>
          <w:numId w:val="0"/>
        </w:numPr>
        <w:spacing w:line="380" w:lineRule="exact"/>
        <w:rPr>
          <w:rFonts w:hint="eastAsia" w:ascii="黑体" w:hAnsi="黑体" w:eastAsia="黑体" w:cs="微软雅黑"/>
          <w:sz w:val="32"/>
          <w:szCs w:val="32"/>
          <w:lang w:val="en-US" w:eastAsia="zh-CN"/>
        </w:rPr>
      </w:pPr>
    </w:p>
    <w:p>
      <w:pPr>
        <w:numPr>
          <w:ilvl w:val="0"/>
          <w:numId w:val="1"/>
        </w:numPr>
        <w:spacing w:line="380" w:lineRule="exact"/>
        <w:rPr>
          <w:rFonts w:hint="default" w:ascii="黑体" w:hAnsi="黑体" w:eastAsia="黑体" w:cs="微软雅黑"/>
          <w:sz w:val="32"/>
          <w:szCs w:val="32"/>
          <w:lang w:val="en-US" w:eastAsia="zh-CN"/>
        </w:rPr>
      </w:pPr>
      <w:r>
        <w:rPr>
          <w:rFonts w:hint="eastAsia" w:ascii="黑体" w:hAnsi="黑体" w:eastAsia="黑体" w:cs="微软雅黑"/>
          <w:sz w:val="32"/>
          <w:szCs w:val="32"/>
          <w:lang w:val="en-US" w:eastAsia="zh-CN"/>
        </w:rPr>
        <w:t>智慧食堂设备参数</w:t>
      </w:r>
    </w:p>
    <w:p>
      <w:pPr>
        <w:spacing w:line="380" w:lineRule="exact"/>
        <w:rPr>
          <w:rFonts w:ascii="黑体" w:hAnsi="黑体" w:eastAsia="黑体" w:cs="微软雅黑"/>
          <w:sz w:val="32"/>
          <w:szCs w:val="32"/>
        </w:rPr>
      </w:pPr>
    </w:p>
    <w:tbl>
      <w:tblPr>
        <w:tblStyle w:val="7"/>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53"/>
        <w:gridCol w:w="1500"/>
        <w:gridCol w:w="4788"/>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253" w:type="dxa"/>
            <w:vAlign w:val="center"/>
          </w:tcPr>
          <w:p>
            <w:pPr>
              <w:jc w:val="center"/>
              <w:rPr>
                <w:rFonts w:hint="default" w:ascii="宋体" w:hAnsi="宋体" w:eastAsia="宋体" w:cs="宋体"/>
                <w:b/>
                <w:bCs/>
                <w:szCs w:val="21"/>
                <w:highlight w:val="none"/>
                <w:lang w:val="en-US"/>
              </w:rPr>
            </w:pPr>
            <w:r>
              <w:rPr>
                <w:rFonts w:hint="eastAsia" w:ascii="宋体" w:hAnsi="宋体" w:eastAsia="宋体" w:cs="宋体"/>
                <w:b/>
                <w:bCs/>
                <w:szCs w:val="21"/>
                <w:highlight w:val="none"/>
                <w:lang w:val="en-US" w:eastAsia="zh-CN"/>
              </w:rPr>
              <w:t>设备类型</w:t>
            </w:r>
          </w:p>
        </w:tc>
        <w:tc>
          <w:tcPr>
            <w:tcW w:w="1500" w:type="dxa"/>
            <w:vAlign w:val="center"/>
          </w:tcPr>
          <w:p>
            <w:pPr>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功能</w:t>
            </w:r>
          </w:p>
        </w:tc>
        <w:tc>
          <w:tcPr>
            <w:tcW w:w="4788" w:type="dxa"/>
            <w:vAlign w:val="center"/>
          </w:tcPr>
          <w:p>
            <w:pPr>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rPr>
              <w:t>技术参数</w:t>
            </w:r>
            <w:r>
              <w:rPr>
                <w:rFonts w:hint="eastAsia" w:ascii="宋体" w:hAnsi="宋体" w:eastAsia="宋体" w:cs="宋体"/>
                <w:b/>
                <w:bCs/>
                <w:szCs w:val="21"/>
                <w:highlight w:val="none"/>
                <w:lang w:val="en-US" w:eastAsia="zh-CN"/>
              </w:rPr>
              <w:t>及标准</w:t>
            </w:r>
          </w:p>
        </w:tc>
        <w:tc>
          <w:tcPr>
            <w:tcW w:w="851" w:type="dxa"/>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w:t>
            </w:r>
          </w:p>
        </w:tc>
        <w:tc>
          <w:tcPr>
            <w:tcW w:w="1253" w:type="dxa"/>
            <w:vMerge w:val="restart"/>
            <w:vAlign w:val="center"/>
          </w:tcPr>
          <w:p>
            <w:pPr>
              <w:widowControl/>
              <w:jc w:val="center"/>
              <w:rPr>
                <w:rFonts w:hint="default"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卡/码/脸支付终端(挂式/卧式)</w:t>
            </w: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操作系统</w:t>
            </w:r>
          </w:p>
        </w:tc>
        <w:tc>
          <w:tcPr>
            <w:tcW w:w="4788" w:type="dxa"/>
            <w:vAlign w:val="center"/>
          </w:tcPr>
          <w:p>
            <w:pPr>
              <w:numPr>
                <w:ilvl w:val="0"/>
                <w:numId w:val="2"/>
              </w:numP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安卓操作系统</w:t>
            </w:r>
            <w:r>
              <w:rPr>
                <w:rFonts w:hint="eastAsia" w:ascii="宋体" w:hAnsi="宋体" w:eastAsia="宋体" w:cs="宋体"/>
                <w:b w:val="0"/>
                <w:bCs w:val="0"/>
                <w:szCs w:val="21"/>
                <w:highlight w:val="none"/>
                <w:lang w:val="en-US" w:eastAsia="zh-CN"/>
              </w:rPr>
              <w:t>7.1或</w:t>
            </w:r>
            <w:r>
              <w:rPr>
                <w:rFonts w:hint="eastAsia" w:ascii="宋体" w:hAnsi="宋体" w:eastAsia="宋体" w:cs="宋体"/>
                <w:szCs w:val="21"/>
                <w:highlight w:val="none"/>
                <w:lang w:val="en-US" w:eastAsia="zh-CN"/>
              </w:rPr>
              <w:t>以上</w:t>
            </w:r>
          </w:p>
        </w:tc>
        <w:tc>
          <w:tcPr>
            <w:tcW w:w="851" w:type="dxa"/>
            <w:vAlign w:val="center"/>
          </w:tcPr>
          <w:p>
            <w:pPr>
              <w:jc w:val="center"/>
              <w:rPr>
                <w:rFonts w:hint="default" w:ascii="宋体" w:hAnsi="宋体" w:eastAsia="宋体" w:cs="宋体"/>
                <w:b/>
                <w:bCs/>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default"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屏幕</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主屏≥7英寸，副屏≥5英寸</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处理器</w:t>
            </w:r>
          </w:p>
        </w:tc>
        <w:tc>
          <w:tcPr>
            <w:tcW w:w="4788" w:type="dxa"/>
            <w:vAlign w:val="center"/>
          </w:tcPr>
          <w:p>
            <w:pPr>
              <w:numPr>
                <w:ilvl w:val="0"/>
                <w:numId w:val="2"/>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CPU:</w:t>
            </w:r>
            <w:r>
              <w:rPr>
                <w:rFonts w:ascii="宋体" w:hAnsi="宋体" w:eastAsia="宋体" w:cs="宋体"/>
                <w:sz w:val="21"/>
                <w:szCs w:val="21"/>
                <w:highlight w:val="none"/>
              </w:rPr>
              <w:t>四核</w:t>
            </w:r>
            <w:r>
              <w:rPr>
                <w:rFonts w:hint="eastAsia" w:ascii="宋体" w:hAnsi="宋体" w:eastAsia="宋体" w:cs="宋体"/>
                <w:sz w:val="21"/>
                <w:szCs w:val="21"/>
                <w:highlight w:val="none"/>
                <w:lang w:val="en-US" w:eastAsia="zh-CN"/>
              </w:rPr>
              <w:t>以上</w:t>
            </w:r>
          </w:p>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 w:val="21"/>
                <w:szCs w:val="21"/>
                <w:highlight w:val="none"/>
                <w:lang w:val="en-US" w:eastAsia="zh-CN"/>
              </w:rPr>
              <w:t>主频：不低于</w:t>
            </w:r>
            <w:r>
              <w:rPr>
                <w:rFonts w:ascii="宋体" w:hAnsi="宋体" w:eastAsia="宋体" w:cs="宋体"/>
                <w:sz w:val="21"/>
                <w:szCs w:val="21"/>
                <w:highlight w:val="none"/>
              </w:rPr>
              <w:t>1.8GHz</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内存</w:t>
            </w:r>
          </w:p>
        </w:tc>
        <w:tc>
          <w:tcPr>
            <w:tcW w:w="4788" w:type="dxa"/>
            <w:shd w:val="clear" w:color="auto" w:fill="auto"/>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DDR：不低于2GB</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Flash</w:t>
            </w:r>
          </w:p>
        </w:tc>
        <w:tc>
          <w:tcPr>
            <w:tcW w:w="4788" w:type="dxa"/>
            <w:shd w:val="clear" w:color="auto" w:fill="auto"/>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EMMC：不低于8GB</w:t>
            </w:r>
          </w:p>
        </w:tc>
        <w:tc>
          <w:tcPr>
            <w:tcW w:w="851" w:type="dxa"/>
            <w:vAlign w:val="center"/>
          </w:tcPr>
          <w:p>
            <w:pPr>
              <w:jc w:val="center"/>
              <w:rPr>
                <w:rFonts w:hint="default" w:ascii="宋体" w:hAnsi="宋体" w:eastAsia="宋体" w:cs="宋体"/>
                <w:b/>
                <w:bCs/>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节电待机</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ascii="PingFangSC-Regular" w:hAnsi="PingFangSC-Regular" w:eastAsia="PingFangSC-Regular" w:cs="PingFangSC-Regular"/>
                <w:i w:val="0"/>
                <w:iCs w:val="0"/>
                <w:caps w:val="0"/>
                <w:color w:val="333333"/>
                <w:spacing w:val="0"/>
                <w:sz w:val="21"/>
                <w:szCs w:val="21"/>
                <w:highlight w:val="none"/>
                <w:shd w:val="clear" w:fill="FFFFFF"/>
              </w:rPr>
              <w:t>具有待机休眠功能，到达设定时间未操作，自动进入智能省电模式，降低功耗</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default" w:ascii="PingFangSC-Regular" w:hAnsi="PingFangSC-Regular" w:eastAsia="PingFangSC-Regular" w:cs="PingFangSC-Regular"/>
                <w:i w:val="0"/>
                <w:iCs w:val="0"/>
                <w:caps w:val="0"/>
                <w:color w:val="333333"/>
                <w:spacing w:val="0"/>
                <w:sz w:val="21"/>
                <w:szCs w:val="21"/>
                <w:highlight w:val="none"/>
                <w:shd w:val="clear" w:fill="FFFFFF"/>
              </w:rPr>
              <w:t>通讯接口</w:t>
            </w:r>
          </w:p>
        </w:tc>
        <w:tc>
          <w:tcPr>
            <w:tcW w:w="4788" w:type="dxa"/>
            <w:vAlign w:val="center"/>
          </w:tcPr>
          <w:p>
            <w:pPr>
              <w:numPr>
                <w:ilvl w:val="0"/>
                <w:numId w:val="2"/>
              </w:numPr>
              <w:ind w:left="420" w:leftChars="0" w:hanging="420" w:firstLineChars="0"/>
              <w:rPr>
                <w:rFonts w:ascii="PingFangSC-Regular" w:hAnsi="PingFangSC-Regular" w:eastAsia="PingFangSC-Regular" w:cs="PingFangSC-Regular"/>
                <w:i w:val="0"/>
                <w:iCs w:val="0"/>
                <w:caps w:val="0"/>
                <w:color w:val="333333"/>
                <w:spacing w:val="0"/>
                <w:sz w:val="21"/>
                <w:szCs w:val="21"/>
                <w:highlight w:val="none"/>
                <w:shd w:val="clear" w:fill="FFFFFF"/>
              </w:rPr>
            </w:pPr>
            <w:r>
              <w:rPr>
                <w:rFonts w:hint="eastAsia" w:ascii="宋体" w:hAnsi="宋体" w:eastAsia="宋体" w:cs="宋体"/>
                <w:szCs w:val="21"/>
                <w:highlight w:val="none"/>
                <w:lang w:val="en-US" w:eastAsia="zh-CN"/>
              </w:rPr>
              <w:t xml:space="preserve">TCP/IP、WIFI、蓝牙，4G全网通(含流量费) </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default"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支付渠道</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微信支付、支付宝支付、银联支付、卡消费、二维码支付</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识别方式</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刷卡、一卡通二维码、第三方码（微信、支付宝、银联等原生支付码）；</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键盘类型</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密码键盘为电容触摸按键,操作员键盘为机械按键</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网口接口</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支持以太网口</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TCP/IP通信协议</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TCP/IP通信协议支持</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strike w:val="0"/>
                <w:kern w:val="0"/>
                <w:szCs w:val="21"/>
                <w:highlight w:val="none"/>
                <w:lang w:val="en-US" w:eastAsia="zh-CN"/>
              </w:rPr>
            </w:pPr>
            <w:r>
              <w:rPr>
                <w:rFonts w:hint="eastAsia" w:cs="仿宋" w:asciiTheme="minorEastAsia" w:hAnsiTheme="minorEastAsia"/>
                <w:bCs/>
                <w:iCs/>
                <w:strike w:val="0"/>
                <w:kern w:val="0"/>
                <w:szCs w:val="21"/>
                <w:highlight w:val="none"/>
                <w:lang w:val="en-US" w:eastAsia="zh-CN"/>
              </w:rPr>
              <w:t>通信接口</w:t>
            </w:r>
          </w:p>
        </w:tc>
        <w:tc>
          <w:tcPr>
            <w:tcW w:w="4788" w:type="dxa"/>
            <w:vAlign w:val="center"/>
          </w:tcPr>
          <w:p>
            <w:pPr>
              <w:numPr>
                <w:ilvl w:val="0"/>
                <w:numId w:val="2"/>
              </w:numPr>
              <w:rPr>
                <w:rFonts w:hint="eastAsia" w:ascii="宋体" w:hAnsi="宋体" w:eastAsia="宋体" w:cs="宋体"/>
                <w:strike w:val="0"/>
                <w:szCs w:val="21"/>
                <w:highlight w:val="none"/>
                <w:lang w:val="en-US" w:eastAsia="zh-CN"/>
              </w:rPr>
            </w:pPr>
            <w:r>
              <w:rPr>
                <w:rFonts w:hint="eastAsia" w:ascii="宋体" w:hAnsi="宋体" w:eastAsia="宋体" w:cs="宋体"/>
                <w:strike w:val="0"/>
                <w:szCs w:val="21"/>
                <w:highlight w:val="none"/>
                <w:lang w:val="en-US" w:eastAsia="zh-CN"/>
              </w:rPr>
              <w:t>RS232，USB，以太网等接口</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摄像头</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不低于200万像素高清宽动态摄像头或带3D结构光摄像头，支持双目活体人脸识别</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ascii="宋体" w:hAnsi="宋体" w:eastAsia="宋体" w:cs="宋体"/>
                <w:szCs w:val="21"/>
                <w:highlight w:val="none"/>
                <w:lang w:val="en-US" w:eastAsia="zh-CN"/>
              </w:rPr>
              <w:t>人脸识别速度</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人脸识别速度小于0.6秒</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人脸识别准确率</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人脸识别准确率不低于99%</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摄像头环境光线</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在环境照明度不低于0.1lux时，终端设备摄像头正常进行人脸识别准确。</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卡介质受理</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支持卡片类型：支持13.56MHz非接触式卡片，符合ISO/IEC 14443A/B标准M1卡、CPU卡</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default"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交易查询</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支持查看本设备10万条交易记录以及已使用的数量及使用的情况；</w:t>
            </w:r>
          </w:p>
          <w:p>
            <w:pPr>
              <w:numPr>
                <w:ilvl w:val="0"/>
                <w:numId w:val="2"/>
              </w:numPr>
              <w:rPr>
                <w:rFonts w:hint="eastAsia" w:ascii="宋体" w:hAnsi="宋体" w:eastAsia="宋体" w:cs="宋体"/>
                <w:szCs w:val="21"/>
                <w:highlight w:val="none"/>
                <w:lang w:val="en-US" w:eastAsia="zh-CN"/>
              </w:rPr>
            </w:pPr>
            <w:r>
              <w:rPr>
                <w:rFonts w:hint="default" w:ascii="PingFangSC-Regular" w:hAnsi="PingFangSC-Regular" w:eastAsia="PingFangSC-Regular" w:cs="PingFangSC-Regular"/>
                <w:i w:val="0"/>
                <w:iCs w:val="0"/>
                <w:caps w:val="0"/>
                <w:color w:val="333333"/>
                <w:spacing w:val="0"/>
                <w:sz w:val="21"/>
                <w:szCs w:val="21"/>
                <w:highlight w:val="none"/>
                <w:shd w:val="clear" w:fill="FFFFFF"/>
              </w:rPr>
              <w:t>支持查看本设备脱机交易未上传流水总笔数和总金额；</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离线识别</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具备脱网工作能力，网络恢复后能保证最终数据的一致性；支持离线模式下的刷卡、扫码、人脸识别支付，离线人脸比对支持≥1：50000；</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语音播报</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支持语音提示</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防尘和防水性</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符合IP65的等级防护标准</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设备系统时间</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设备有独立的系统时间：年、月、日、时、分、秒、星期</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脱机断网设备数据查询</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设备离线无网络状态下，可以正常进行本机设备数据查询，对本设备脱机交易未联网上传流水总笔数和总金额查询</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升级方式</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TCP/IP，串口，U盘，内置的应用程序支持在线升级</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default"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设置人脸参数</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终端支持设置人脸参数，包括活体检测率可调，人脸相似度可调，摄像头曝光度可调，人脸识别距离可调</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default"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识别介质配置</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终端可配置身份认证媒介，选择是否开启刷卡、扫码以及人脸识别三种方式，可同时开启也可选择开启几种所需的认证方式</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default"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通刷设置</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支持启用和不启用跨平台通刷，当设置跨平台通刷是，刷跨平台的卡时会在姓名显示项下额外显示一行该卡所在单位和单位信息</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CQC或者3C认证</w:t>
            </w:r>
          </w:p>
        </w:tc>
        <w:tc>
          <w:tcPr>
            <w:tcW w:w="4788" w:type="dxa"/>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支持，提供产品认证书和试验报告</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w:t>
            </w:r>
          </w:p>
        </w:tc>
        <w:tc>
          <w:tcPr>
            <w:tcW w:w="1253" w:type="dxa"/>
            <w:vMerge w:val="restart"/>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卡/码/脸双屏台式支付终端</w:t>
            </w: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操作系统</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安卓操作系统</w:t>
            </w:r>
            <w:r>
              <w:rPr>
                <w:rFonts w:hint="eastAsia" w:ascii="宋体" w:hAnsi="宋体" w:eastAsia="宋体" w:cs="宋体"/>
                <w:b w:val="0"/>
                <w:bCs w:val="0"/>
                <w:szCs w:val="21"/>
                <w:highlight w:val="none"/>
                <w:lang w:val="en-US" w:eastAsia="zh-CN"/>
              </w:rPr>
              <w:t>7.1或</w:t>
            </w:r>
            <w:r>
              <w:rPr>
                <w:rFonts w:hint="eastAsia" w:ascii="宋体" w:hAnsi="宋体" w:eastAsia="宋体" w:cs="宋体"/>
                <w:szCs w:val="21"/>
                <w:highlight w:val="none"/>
                <w:lang w:val="en-US" w:eastAsia="zh-CN"/>
              </w:rPr>
              <w:t>以上</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架构模式</w:t>
            </w:r>
          </w:p>
        </w:tc>
        <w:tc>
          <w:tcPr>
            <w:tcW w:w="4788" w:type="dxa"/>
            <w:vAlign w:val="center"/>
          </w:tcPr>
          <w:p>
            <w:pPr>
              <w:numPr>
                <w:ilvl w:val="0"/>
                <w:numId w:val="2"/>
              </w:numP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设备采用物联网云平台架构设计，无须增设本地前置服务器等设备，设备可独立与云平台之间数据交互。</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处理器</w:t>
            </w:r>
          </w:p>
        </w:tc>
        <w:tc>
          <w:tcPr>
            <w:tcW w:w="4788" w:type="dxa"/>
            <w:shd w:val="clear" w:color="auto" w:fill="auto"/>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CPU不低于双核,主频不低于1.8GHz</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内存</w:t>
            </w:r>
          </w:p>
        </w:tc>
        <w:tc>
          <w:tcPr>
            <w:tcW w:w="4788" w:type="dxa"/>
            <w:shd w:val="clear" w:color="auto" w:fill="auto"/>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DDR：不低于2GB</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Flash</w:t>
            </w:r>
          </w:p>
        </w:tc>
        <w:tc>
          <w:tcPr>
            <w:tcW w:w="4788" w:type="dxa"/>
            <w:shd w:val="clear" w:color="auto" w:fill="auto"/>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EMMC：不低于8GB</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节电待机</w:t>
            </w:r>
          </w:p>
        </w:tc>
        <w:tc>
          <w:tcPr>
            <w:tcW w:w="4788" w:type="dxa"/>
            <w:shd w:val="clear" w:color="auto" w:fill="auto"/>
            <w:vAlign w:val="center"/>
          </w:tcPr>
          <w:p>
            <w:pPr>
              <w:numPr>
                <w:ilvl w:val="0"/>
                <w:numId w:val="2"/>
              </w:numPr>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i w:val="0"/>
                <w:iCs w:val="0"/>
                <w:caps w:val="0"/>
                <w:spacing w:val="0"/>
                <w:sz w:val="21"/>
                <w:szCs w:val="21"/>
                <w:highlight w:val="none"/>
                <w:shd w:val="clear"/>
              </w:rPr>
              <w:t>具有待机休眠功能，到达设定时间未操作，自动进入智能省电模式，降低功耗</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显示屏</w:t>
            </w:r>
          </w:p>
        </w:tc>
        <w:tc>
          <w:tcPr>
            <w:tcW w:w="4788" w:type="dxa"/>
            <w:shd w:val="clear" w:color="auto" w:fill="auto"/>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主显示屏：不小于11.6寸，副显示屏：不小于9寸液晶屏。</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通讯接口</w:t>
            </w:r>
          </w:p>
        </w:tc>
        <w:tc>
          <w:tcPr>
            <w:tcW w:w="4788" w:type="dxa"/>
            <w:shd w:val="clear" w:color="auto" w:fill="auto"/>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TCP/IP、WIFI、蓝牙，4G全网通</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键盘类型</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电容触摸屏数字按键</w:t>
            </w:r>
          </w:p>
          <w:p>
            <w:pPr>
              <w:numPr>
                <w:ilvl w:val="0"/>
                <w:numId w:val="2"/>
              </w:numP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支持外接数字键盘</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升级方式</w:t>
            </w:r>
          </w:p>
        </w:tc>
        <w:tc>
          <w:tcPr>
            <w:tcW w:w="4788" w:type="dxa"/>
            <w:vAlign w:val="center"/>
          </w:tcPr>
          <w:p>
            <w:pPr>
              <w:numPr>
                <w:ilvl w:val="0"/>
                <w:numId w:val="2"/>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TCP/IP，串口，U盘，内置的应用程序支持在线升级</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识别方式</w:t>
            </w:r>
          </w:p>
        </w:tc>
        <w:tc>
          <w:tcPr>
            <w:tcW w:w="4788" w:type="dxa"/>
            <w:shd w:val="clear" w:color="auto" w:fill="auto"/>
            <w:vAlign w:val="center"/>
          </w:tcPr>
          <w:p>
            <w:pPr>
              <w:numPr>
                <w:ilvl w:val="0"/>
                <w:numId w:val="2"/>
              </w:numPr>
              <w:rPr>
                <w:rFonts w:hint="eastAsia" w:ascii="宋体" w:hAnsi="宋体" w:eastAsia="宋体" w:cs="宋体"/>
                <w:szCs w:val="21"/>
                <w:highlight w:val="none"/>
                <w:lang w:val="en-US" w:eastAsia="zh-CN"/>
              </w:rPr>
            </w:pPr>
            <w:r>
              <w:rPr>
                <w:rFonts w:hint="default" w:ascii="PingFangSC-Regular" w:hAnsi="PingFangSC-Regular" w:eastAsia="PingFangSC-Regular" w:cs="PingFangSC-Regular"/>
                <w:i w:val="0"/>
                <w:iCs w:val="0"/>
                <w:caps w:val="0"/>
                <w:color w:val="333333"/>
                <w:spacing w:val="0"/>
                <w:sz w:val="21"/>
                <w:szCs w:val="21"/>
                <w:highlight w:val="none"/>
                <w:shd w:val="clear" w:fill="FFFFFF"/>
              </w:rPr>
              <w:t>刷卡、一卡通二维码、第三方码（微信、支付宝、银联等原生支付码）；</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网口接口</w:t>
            </w:r>
          </w:p>
        </w:tc>
        <w:tc>
          <w:tcPr>
            <w:tcW w:w="4788" w:type="dxa"/>
            <w:shd w:val="clear" w:color="auto" w:fill="auto"/>
            <w:vAlign w:val="center"/>
          </w:tcPr>
          <w:p>
            <w:pPr>
              <w:numPr>
                <w:ilvl w:val="0"/>
                <w:numId w:val="2"/>
              </w:numPr>
              <w:ind w:left="420" w:leftChars="0" w:hanging="420" w:firstLineChars="0"/>
              <w:rPr>
                <w:rFonts w:hint="default" w:ascii="PingFangSC-Regular" w:hAnsi="PingFangSC-Regular" w:eastAsia="PingFangSC-Regular" w:cs="PingFangSC-Regular"/>
                <w:i w:val="0"/>
                <w:iCs w:val="0"/>
                <w:caps w:val="0"/>
                <w:color w:val="333333"/>
                <w:spacing w:val="0"/>
                <w:sz w:val="21"/>
                <w:szCs w:val="21"/>
                <w:highlight w:val="none"/>
                <w:shd w:val="clear" w:fill="FFFFFF"/>
              </w:rPr>
            </w:pPr>
            <w:r>
              <w:rPr>
                <w:rFonts w:hint="eastAsia" w:ascii="宋体" w:hAnsi="宋体" w:eastAsia="宋体" w:cs="宋体"/>
                <w:szCs w:val="21"/>
                <w:highlight w:val="none"/>
                <w:lang w:val="en-US" w:eastAsia="zh-CN"/>
              </w:rPr>
              <w:t>支持以太网口</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cs="仿宋" w:asciiTheme="minorEastAsia" w:hAnsiTheme="minorEastAsia"/>
                <w:bCs/>
                <w:iCs/>
                <w:kern w:val="0"/>
                <w:szCs w:val="21"/>
                <w:highlight w:val="none"/>
                <w:lang w:val="en-US" w:eastAsia="zh-CN"/>
              </w:rPr>
              <w:t>TCP/IP通信协议</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TCP/IP通信协议支持</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strike w:val="0"/>
                <w:kern w:val="0"/>
                <w:sz w:val="21"/>
                <w:szCs w:val="21"/>
                <w:highlight w:val="none"/>
                <w:lang w:val="en-US" w:eastAsia="zh-CN" w:bidi="ar-SA"/>
              </w:rPr>
            </w:pPr>
            <w:r>
              <w:rPr>
                <w:rFonts w:hint="eastAsia" w:cs="仿宋" w:asciiTheme="minorEastAsia" w:hAnsiTheme="minorEastAsia"/>
                <w:bCs/>
                <w:iCs/>
                <w:strike w:val="0"/>
                <w:kern w:val="0"/>
                <w:szCs w:val="21"/>
                <w:highlight w:val="none"/>
                <w:lang w:val="en-US" w:eastAsia="zh-CN"/>
              </w:rPr>
              <w:t>通信接口</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trike w:val="0"/>
                <w:kern w:val="2"/>
                <w:sz w:val="21"/>
                <w:szCs w:val="21"/>
                <w:highlight w:val="none"/>
                <w:lang w:val="en-US" w:eastAsia="zh-CN" w:bidi="ar-SA"/>
              </w:rPr>
            </w:pPr>
            <w:r>
              <w:rPr>
                <w:rFonts w:hint="eastAsia" w:ascii="宋体" w:hAnsi="宋体" w:eastAsia="宋体" w:cs="宋体"/>
                <w:strike w:val="0"/>
                <w:szCs w:val="21"/>
                <w:highlight w:val="none"/>
                <w:lang w:val="en-US" w:eastAsia="zh-CN"/>
              </w:rPr>
              <w:t>RS232，USB，以太网等接口</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strike w:val="0"/>
                <w:kern w:val="0"/>
                <w:szCs w:val="21"/>
                <w:highlight w:val="none"/>
                <w:lang w:val="en-US" w:eastAsia="zh-CN"/>
              </w:rPr>
            </w:pPr>
            <w:r>
              <w:rPr>
                <w:rFonts w:hint="eastAsia" w:cs="仿宋" w:asciiTheme="minorEastAsia" w:hAnsiTheme="minorEastAsia" w:eastAsiaTheme="minorEastAsia"/>
                <w:bCs/>
                <w:iCs/>
                <w:kern w:val="0"/>
                <w:sz w:val="21"/>
                <w:szCs w:val="21"/>
                <w:highlight w:val="none"/>
                <w:lang w:val="en-US" w:eastAsia="zh-CN" w:bidi="ar-SA"/>
              </w:rPr>
              <w:t>支付渠道</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trike w:val="0"/>
                <w:szCs w:val="21"/>
                <w:highlight w:val="none"/>
                <w:lang w:val="en-US" w:eastAsia="zh-CN"/>
              </w:rPr>
            </w:pPr>
            <w:r>
              <w:rPr>
                <w:rFonts w:hint="eastAsia" w:ascii="宋体" w:hAnsi="宋体" w:eastAsia="宋体" w:cs="宋体"/>
                <w:kern w:val="2"/>
                <w:sz w:val="21"/>
                <w:szCs w:val="21"/>
                <w:highlight w:val="none"/>
                <w:lang w:val="en-US" w:eastAsia="zh-CN" w:bidi="ar-SA"/>
              </w:rPr>
              <w:t>微信支付、支付宝支付、银联支付、卡消费、二维码支付；</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cs="仿宋" w:asciiTheme="minorEastAsia" w:hAnsiTheme="minorEastAsia"/>
                <w:bCs/>
                <w:iCs/>
                <w:kern w:val="0"/>
                <w:szCs w:val="21"/>
                <w:highlight w:val="none"/>
                <w:lang w:val="en-US" w:eastAsia="zh-CN"/>
              </w:rPr>
              <w:t>摄像头</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不低于200万像素高清宽动态摄像头或带3D结构光摄像头，支持双目活体人脸识别</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ascii="宋体" w:hAnsi="宋体" w:eastAsia="宋体" w:cs="宋体"/>
                <w:szCs w:val="21"/>
                <w:highlight w:val="none"/>
                <w:lang w:val="en-US" w:eastAsia="zh-CN"/>
              </w:rPr>
              <w:t>人脸识别速度</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人脸识别速度小于0.6秒</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cs="仿宋" w:asciiTheme="minorEastAsia" w:hAnsiTheme="minorEastAsia"/>
                <w:bCs/>
                <w:iCs/>
                <w:kern w:val="0"/>
                <w:szCs w:val="21"/>
                <w:highlight w:val="none"/>
                <w:lang w:val="en-US" w:eastAsia="zh-CN"/>
              </w:rPr>
              <w:t>人脸识别准确率</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人脸识别准确率不低于99%</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cs="仿宋" w:asciiTheme="minorEastAsia" w:hAnsiTheme="minorEastAsia"/>
                <w:bCs/>
                <w:iCs/>
                <w:kern w:val="0"/>
                <w:szCs w:val="21"/>
                <w:highlight w:val="none"/>
                <w:lang w:val="en-US" w:eastAsia="zh-CN"/>
              </w:rPr>
              <w:t>人脸识别范围</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识别距离0.3～1.3m范围</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cs="仿宋" w:asciiTheme="minorEastAsia" w:hAnsiTheme="minorEastAsia"/>
                <w:bCs/>
                <w:iCs/>
                <w:kern w:val="0"/>
                <w:szCs w:val="21"/>
                <w:highlight w:val="none"/>
                <w:lang w:val="en-US" w:eastAsia="zh-CN"/>
              </w:rPr>
              <w:t>摄像头环境光线</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在环境照明度不低于0.1lux时，终端设备摄像头正常进行人脸识别准确。</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cs="仿宋" w:asciiTheme="minorEastAsia" w:hAnsiTheme="minorEastAsia"/>
                <w:bCs/>
                <w:iCs/>
                <w:kern w:val="0"/>
                <w:szCs w:val="21"/>
                <w:highlight w:val="none"/>
                <w:lang w:val="en-US" w:eastAsia="zh-CN"/>
              </w:rPr>
              <w:t>卡介质受理</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支持卡片类型：支持13.56MHz非接触式卡片，符合ISO/IEC 14443A/B标准M1卡、CPU卡、</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cs="仿宋" w:asciiTheme="minorEastAsia" w:hAnsiTheme="minorEastAsia"/>
                <w:bCs/>
                <w:iCs/>
                <w:kern w:val="0"/>
                <w:szCs w:val="21"/>
                <w:highlight w:val="none"/>
                <w:lang w:val="en-US" w:eastAsia="zh-CN"/>
              </w:rPr>
              <w:t>离线识别</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具备脱网工作能力，网络恢复后能保证最终数据的一致性；支持离线模式下的刷卡、扫码、人脸识别支付，离线人脸比对支持≥1：50000；</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cs="仿宋" w:asciiTheme="minorEastAsia" w:hAnsiTheme="minorEastAsia"/>
                <w:bCs/>
                <w:iCs/>
                <w:kern w:val="0"/>
                <w:szCs w:val="21"/>
                <w:highlight w:val="none"/>
                <w:lang w:val="en-US" w:eastAsia="zh-CN"/>
              </w:rPr>
              <w:t>语音播报</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支持语音提示。</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cs="仿宋" w:asciiTheme="minorEastAsia" w:hAnsiTheme="minorEastAsia"/>
                <w:bCs/>
                <w:iCs/>
                <w:kern w:val="0"/>
                <w:szCs w:val="21"/>
                <w:highlight w:val="none"/>
                <w:lang w:val="en-US" w:eastAsia="zh-CN"/>
              </w:rPr>
              <w:t>防尘和防水性</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符合IP65的等级防护标准</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cs="仿宋" w:asciiTheme="minorEastAsia" w:hAnsiTheme="minorEastAsia"/>
                <w:bCs/>
                <w:iCs/>
                <w:kern w:val="0"/>
                <w:szCs w:val="21"/>
                <w:highlight w:val="none"/>
                <w:lang w:val="en-US" w:eastAsia="zh-CN"/>
              </w:rPr>
              <w:t>设备系统时间</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设备有独立的系统时间：年、月、日、时、分、秒、星期</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交易查询</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支持查看本设备10万条交易记录以及已使用的数量及使用的情况；</w:t>
            </w:r>
          </w:p>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支持查看本设备脱机交易未上传流水总笔数和总金额</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eastAsiaTheme="minorEastAsia"/>
                <w:bCs/>
                <w:iCs/>
                <w:kern w:val="0"/>
                <w:sz w:val="21"/>
                <w:szCs w:val="21"/>
                <w:highlight w:val="none"/>
                <w:lang w:val="en-US" w:eastAsia="zh-CN" w:bidi="ar-SA"/>
              </w:rPr>
            </w:pPr>
            <w:r>
              <w:rPr>
                <w:rFonts w:hint="eastAsia" w:cs="仿宋" w:asciiTheme="minorEastAsia" w:hAnsiTheme="minorEastAsia"/>
                <w:bCs/>
                <w:iCs/>
                <w:kern w:val="0"/>
                <w:szCs w:val="21"/>
                <w:highlight w:val="none"/>
                <w:lang w:val="en-US" w:eastAsia="zh-CN"/>
              </w:rPr>
              <w:t>设置人脸参数</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终端支持设置人脸参数，包括活体检测率可调，人脸相似度可调，摄像头曝光度可调，人脸识别距离可调</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识别介质配置</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终端可配置身份认证媒介，选择是否开启刷卡、扫码以及人脸识别三种方式，可同时开启也可选择开启几种所需的认证方式</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通刷设置</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支持启用和不启用跨平台通刷，当设置跨平台通刷是，刷跨平台的卡时会在姓名显示项下额外显示一行该卡所在单位和单位信息</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CQC或者3C认证</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支持，提供产品认证书和试验报告</w:t>
            </w:r>
          </w:p>
        </w:tc>
        <w:tc>
          <w:tcPr>
            <w:tcW w:w="851" w:type="dxa"/>
            <w:vAlign w:val="center"/>
          </w:tcPr>
          <w:p>
            <w:pPr>
              <w:jc w:val="both"/>
              <w:rPr>
                <w:rFonts w:hint="default" w:ascii="宋体" w:hAnsi="宋体" w:eastAsia="宋体" w:cs="宋体"/>
                <w:b/>
                <w:bCs/>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w:t>
            </w:r>
          </w:p>
        </w:tc>
        <w:tc>
          <w:tcPr>
            <w:tcW w:w="1253" w:type="dxa"/>
            <w:vMerge w:val="restart"/>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卡/码/脸支付终端(面板机)</w:t>
            </w: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操作系统</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基于</w:t>
            </w:r>
            <w:r>
              <w:rPr>
                <w:rFonts w:hint="eastAsia" w:ascii="宋体" w:hAnsi="宋体" w:eastAsia="宋体" w:cs="宋体"/>
                <w:szCs w:val="21"/>
                <w:highlight w:val="none"/>
                <w:lang w:val="en-US" w:eastAsia="zh-CN"/>
              </w:rPr>
              <w:t>Android 7.1或以上</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架构模式</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设备采用物联网云平台架构设计，无须增设本地前置服务器等设备，设备可独立与云平台之间数据交互。</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处理器</w:t>
            </w:r>
          </w:p>
        </w:tc>
        <w:tc>
          <w:tcPr>
            <w:tcW w:w="4788" w:type="dxa"/>
            <w:shd w:val="clear" w:color="auto" w:fill="auto"/>
            <w:vAlign w:val="center"/>
          </w:tcPr>
          <w:p>
            <w:pPr>
              <w:numPr>
                <w:ilvl w:val="0"/>
                <w:numId w:val="2"/>
              </w:num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CPU:不低于双</w:t>
            </w:r>
            <w:r>
              <w:rPr>
                <w:rFonts w:ascii="宋体" w:hAnsi="宋体" w:eastAsia="宋体" w:cs="宋体"/>
                <w:color w:val="000000" w:themeColor="text1"/>
                <w:sz w:val="21"/>
                <w:szCs w:val="21"/>
                <w:highlight w:val="none"/>
                <w14:textFill>
                  <w14:solidFill>
                    <w14:schemeClr w14:val="tx1"/>
                  </w14:solidFill>
                </w14:textFill>
              </w:rPr>
              <w:t>核</w:t>
            </w:r>
          </w:p>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主频：不低于</w:t>
            </w:r>
            <w:r>
              <w:rPr>
                <w:rFonts w:ascii="宋体" w:hAnsi="宋体" w:eastAsia="宋体" w:cs="宋体"/>
                <w:color w:val="000000" w:themeColor="text1"/>
                <w:sz w:val="21"/>
                <w:szCs w:val="21"/>
                <w:highlight w:val="none"/>
                <w14:textFill>
                  <w14:solidFill>
                    <w14:schemeClr w14:val="tx1"/>
                  </w14:solidFill>
                </w14:textFill>
              </w:rPr>
              <w:t>1.8GHz</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内存</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DDR：不低于2GB</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Flash</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EMMC：不低于8GB</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显示屏</w:t>
            </w:r>
          </w:p>
        </w:tc>
        <w:tc>
          <w:tcPr>
            <w:tcW w:w="4788"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120" w:lineRule="auto"/>
              <w:ind w:left="420" w:hanging="420"/>
              <w:jc w:val="left"/>
              <w:textAlignment w:val="auto"/>
              <w:rPr>
                <w:rFonts w:hint="eastAsia" w:ascii="华文楷体" w:hAnsi="华文楷体" w:eastAsia="华文楷体" w:cs="华文楷体"/>
                <w:kern w:val="2"/>
                <w:sz w:val="21"/>
                <w:szCs w:val="21"/>
                <w:highlight w:val="none"/>
                <w:lang w:val="en-US" w:eastAsia="zh-CN" w:bidi="ar-SA"/>
              </w:rPr>
            </w:pPr>
            <w:r>
              <w:rPr>
                <w:rFonts w:hint="eastAsia" w:ascii="宋体" w:hAnsi="宋体" w:eastAsia="宋体" w:cs="宋体"/>
                <w:sz w:val="21"/>
                <w:szCs w:val="21"/>
                <w:highlight w:val="none"/>
                <w:lang w:val="en-US" w:eastAsia="zh-CN"/>
              </w:rPr>
              <w:t>不低于8英寸宽温IPS屏显示</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通讯接口</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TCP/IP、WIFI、蓝牙，4G全网通</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自带键盘类型</w:t>
            </w:r>
          </w:p>
        </w:tc>
        <w:tc>
          <w:tcPr>
            <w:tcW w:w="4788" w:type="dxa"/>
            <w:shd w:val="clear" w:color="auto" w:fill="auto"/>
            <w:vAlign w:val="center"/>
          </w:tcPr>
          <w:p>
            <w:pPr>
              <w:numPr>
                <w:ilvl w:val="0"/>
                <w:numId w:val="2"/>
              </w:numPr>
              <w:ind w:left="420" w:leftChars="0" w:hanging="420" w:firstLineChars="0"/>
              <w:rPr>
                <w:rFonts w:hint="eastAsia" w:ascii="华文楷体" w:hAnsi="华文楷体" w:eastAsia="华文楷体" w:cs="华文楷体"/>
                <w:sz w:val="21"/>
                <w:szCs w:val="21"/>
                <w:highlight w:val="none"/>
                <w:lang w:val="en-US" w:eastAsia="zh-CN"/>
              </w:rPr>
            </w:pPr>
            <w:r>
              <w:rPr>
                <w:rFonts w:hint="eastAsia" w:ascii="宋体" w:hAnsi="宋体" w:eastAsia="宋体" w:cs="宋体"/>
                <w:sz w:val="21"/>
                <w:szCs w:val="21"/>
                <w:highlight w:val="none"/>
                <w:lang w:val="en-US" w:eastAsia="zh-CN"/>
              </w:rPr>
              <w:t>电容触摸屏数字按键</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升级方式</w:t>
            </w:r>
          </w:p>
        </w:tc>
        <w:tc>
          <w:tcPr>
            <w:tcW w:w="4788" w:type="dxa"/>
            <w:shd w:val="clear" w:color="auto" w:fill="auto"/>
            <w:vAlign w:val="center"/>
          </w:tcPr>
          <w:p>
            <w:pPr>
              <w:numPr>
                <w:ilvl w:val="0"/>
                <w:numId w:val="2"/>
              </w:numPr>
              <w:ind w:left="420" w:leftChars="0" w:hanging="420" w:firstLineChars="0"/>
              <w:rPr>
                <w:rFonts w:hint="eastAsia" w:ascii="华文楷体" w:hAnsi="华文楷体" w:eastAsia="华文楷体" w:cs="华文楷体"/>
                <w:sz w:val="21"/>
                <w:szCs w:val="21"/>
                <w:highlight w:val="none"/>
                <w:lang w:val="en-US" w:eastAsia="zh-CN"/>
              </w:rPr>
            </w:pPr>
            <w:r>
              <w:rPr>
                <w:rFonts w:hint="eastAsia" w:ascii="宋体" w:hAnsi="宋体" w:eastAsia="宋体" w:cs="宋体"/>
                <w:sz w:val="21"/>
                <w:szCs w:val="21"/>
                <w:highlight w:val="none"/>
                <w:lang w:val="en-US" w:eastAsia="zh-CN"/>
              </w:rPr>
              <w:t>TCP/IP，串口，U盘</w:t>
            </w:r>
            <w:r>
              <w:rPr>
                <w:rFonts w:hint="eastAsia" w:ascii="宋体" w:hAnsi="宋体" w:eastAsia="宋体" w:cs="宋体"/>
                <w:szCs w:val="21"/>
                <w:highlight w:val="none"/>
                <w:lang w:val="en-US" w:eastAsia="zh-CN"/>
              </w:rPr>
              <w:t>，内置的应用程序支持在线升级</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识别方式</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刷卡、一卡通二维码、第三方码（微信、支付宝、银联等原生支付码）；</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网口接口</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支持以太网口</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TCP/IP通信协议</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TCP/IP通信协议支持</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strike w:val="0"/>
                <w:kern w:val="0"/>
                <w:szCs w:val="21"/>
                <w:highlight w:val="none"/>
                <w:lang w:val="en-US" w:eastAsia="zh-CN"/>
              </w:rPr>
              <w:t>通信接口</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trike w:val="0"/>
                <w:szCs w:val="21"/>
                <w:highlight w:val="none"/>
                <w:lang w:val="en-US" w:eastAsia="zh-CN"/>
              </w:rPr>
              <w:t>RS232，USB，以太网等接口</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支付渠道</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微信支付、支付宝支付、银联支付、卡消费、二维码支付；</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摄像头</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不低于200万像素高清宽动态摄像头或带3D结构光摄像头，支持双目活体人脸识别</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ascii="宋体" w:hAnsi="宋体" w:eastAsia="宋体" w:cs="宋体"/>
                <w:szCs w:val="21"/>
                <w:highlight w:val="none"/>
                <w:lang w:val="en-US" w:eastAsia="zh-CN"/>
              </w:rPr>
              <w:t>人脸识别速度</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人脸识别速度小于0.6秒</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人脸识别准确率</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人脸识别准确率不低于99%</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人脸识别范围</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识别距离0.3～1.3m范围内</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摄像头环境光线</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在环境照明度不低于0.1lux时，终端设备摄像头正常进行人脸识别准确。</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卡介质受理</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支持卡片类型：支持13.56MHz非接触式卡片，符合ISO/IEC 14443A/B标准M1卡、CPU卡</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离线识别</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具备脱网工作能力，网络恢复后能保证最终数据的一致性；支持离线模式下的刷卡、扫码、人脸识别支付，离线人脸比对支持≥1：50000；</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语音播报</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支持语音提示</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支架</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配支架，可与闸机搭配安装</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防尘和防水性</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符合IP65的等级防护标准</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设备系统时间</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设备有独立的系统时间：年、月、日、时、分、秒、星期</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脱机断网数据查询</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支持查看本设备10万条交易记录以及已使用的数量及使用的情况；</w:t>
            </w:r>
          </w:p>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支持查看本设备脱机交易未上传流水总笔数和总金额；</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设置人脸参数</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终端支持设置人脸参数，包括活体检测率可调，人脸相似度可调，摄像头曝光度可调，人脸识别距离可调</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通刷设置</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支持启用和不启用跨平台通刷，当设置跨平台通刷是，刷跨平台的卡时会在姓名显示项下额外显示一行该卡所在单位和单位信息</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CQC或者3C认证</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支持，提供产品认证书和试验报告</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识别介质配置</w:t>
            </w:r>
          </w:p>
        </w:tc>
        <w:tc>
          <w:tcPr>
            <w:tcW w:w="4788" w:type="dxa"/>
            <w:shd w:val="clear" w:color="auto" w:fill="auto"/>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终端可配置身份认证介质，选择是否开启识别刷卡、扫码以及人脸识别三种方式，可同时全部启用也可选择开启几种所需的认证方式。配置生效后关机重新开机，配置没有失效。</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Merge w:val="restart"/>
            <w:vAlign w:val="center"/>
          </w:tcPr>
          <w:p>
            <w:pPr>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w:t>
            </w:r>
          </w:p>
        </w:tc>
        <w:tc>
          <w:tcPr>
            <w:tcW w:w="1253" w:type="dxa"/>
            <w:vMerge w:val="restart"/>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通道闸机（单机芯/双机芯)</w:t>
            </w: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产品外观</w:t>
            </w:r>
          </w:p>
        </w:tc>
        <w:tc>
          <w:tcPr>
            <w:tcW w:w="4788" w:type="dxa"/>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设备尺寸不小于1200mm*300mm*980mm；</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default"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产品组合功能</w:t>
            </w:r>
          </w:p>
        </w:tc>
        <w:tc>
          <w:tcPr>
            <w:tcW w:w="4788" w:type="dxa"/>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设备有单机芯和双机芯组合模式，满足2个单机芯组合单门和1个双机芯加2个单机芯组合出双门</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结构检查</w:t>
            </w:r>
          </w:p>
        </w:tc>
        <w:tc>
          <w:tcPr>
            <w:tcW w:w="4788" w:type="dxa"/>
            <w:vAlign w:val="center"/>
          </w:tcPr>
          <w:p>
            <w:pPr>
              <w:numPr>
                <w:ilvl w:val="0"/>
                <w:numId w:val="2"/>
              </w:numPr>
              <w:ind w:left="420" w:leftChars="0" w:hanging="420" w:firstLineChars="0"/>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打开设备机身外壳应使用专用工具机身应具备牢固的安装结构拦挡部分</w:t>
            </w: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应采用不易破碎且不易伤人的材料或结构拦挡部分运动应灵活，无阻滞现象</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机芯驱动方式</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采用</w:t>
            </w:r>
            <w:r>
              <w:rPr>
                <w:rFonts w:hint="default" w:ascii="宋体" w:hAnsi="宋体" w:eastAsia="宋体" w:cs="宋体"/>
                <w:szCs w:val="21"/>
                <w:highlight w:val="none"/>
                <w:lang w:val="en-US" w:eastAsia="zh-CN"/>
              </w:rPr>
              <w:t>直流无刷电机</w:t>
            </w:r>
          </w:p>
        </w:tc>
        <w:tc>
          <w:tcPr>
            <w:tcW w:w="851" w:type="dxa"/>
            <w:vAlign w:val="center"/>
          </w:tcPr>
          <w:p>
            <w:pPr>
              <w:jc w:val="center"/>
              <w:rPr>
                <w:rFonts w:hint="eastAsia" w:ascii="宋体" w:hAnsi="宋体" w:eastAsia="宋体" w:cs="宋体"/>
                <w:b/>
                <w:bCs/>
                <w:szCs w:val="21"/>
                <w:highlight w:val="none"/>
              </w:rPr>
            </w:pPr>
          </w:p>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设备材料检测</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304不锈钢板冲压成型，防锈、耐用闸机主体材料为 304</w:t>
            </w:r>
            <w:r>
              <w:rPr>
                <w:rFonts w:hint="eastAsia" w:ascii="宋体" w:hAnsi="宋体" w:eastAsia="宋体" w:cs="宋体"/>
                <w:szCs w:val="21"/>
                <w:highlight w:val="none"/>
                <w:lang w:val="en-US" w:eastAsia="zh-CN"/>
              </w:rPr>
              <w:t>规格</w:t>
            </w:r>
            <w:r>
              <w:rPr>
                <w:rFonts w:hint="default" w:ascii="宋体" w:hAnsi="宋体" w:eastAsia="宋体" w:cs="宋体"/>
                <w:szCs w:val="21"/>
                <w:highlight w:val="none"/>
                <w:lang w:val="en-US" w:eastAsia="zh-CN"/>
              </w:rPr>
              <w:t>优质不锈钢，厚度不低于 1.</w:t>
            </w:r>
            <w:r>
              <w:rPr>
                <w:rFonts w:hint="eastAsia" w:ascii="宋体" w:hAnsi="宋体" w:eastAsia="宋体" w:cs="宋体"/>
                <w:szCs w:val="21"/>
                <w:highlight w:val="none"/>
                <w:lang w:val="en-US" w:eastAsia="zh-CN"/>
              </w:rPr>
              <w:t>2</w:t>
            </w:r>
            <w:r>
              <w:rPr>
                <w:rFonts w:hint="default" w:ascii="宋体" w:hAnsi="宋体" w:eastAsia="宋体" w:cs="宋体"/>
                <w:szCs w:val="21"/>
                <w:highlight w:val="none"/>
                <w:lang w:val="en-US" w:eastAsia="zh-CN"/>
              </w:rPr>
              <w:t>mm</w:t>
            </w:r>
            <w:r>
              <w:rPr>
                <w:rFonts w:hint="eastAsia" w:ascii="宋体" w:hAnsi="宋体" w:eastAsia="宋体" w:cs="宋体"/>
                <w:szCs w:val="21"/>
                <w:highlight w:val="none"/>
                <w:lang w:val="en-US" w:eastAsia="zh-CN"/>
              </w:rPr>
              <w:t>。</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设备连续性</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无故障次数(摆动次数)不低于</w:t>
            </w:r>
            <w:r>
              <w:rPr>
                <w:rFonts w:hint="eastAsia" w:ascii="宋体" w:hAnsi="宋体" w:eastAsia="宋体" w:cs="宋体"/>
                <w:szCs w:val="21"/>
                <w:highlight w:val="none"/>
                <w:lang w:val="en-US" w:eastAsia="zh-CN"/>
              </w:rPr>
              <w:t>5</w:t>
            </w:r>
            <w:r>
              <w:rPr>
                <w:rFonts w:hint="default" w:ascii="宋体" w:hAnsi="宋体" w:eastAsia="宋体" w:cs="宋体"/>
                <w:szCs w:val="21"/>
                <w:highlight w:val="none"/>
                <w:lang w:val="en-US" w:eastAsia="zh-CN"/>
              </w:rPr>
              <w:t>00万次</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default" w:ascii="PingFangSC-Regular" w:hAnsi="PingFangSC-Regular" w:eastAsia="PingFangSC-Regular" w:cs="PingFangSC-Regular"/>
                <w:i w:val="0"/>
                <w:iCs w:val="0"/>
                <w:caps w:val="0"/>
                <w:color w:val="333333"/>
                <w:spacing w:val="0"/>
                <w:sz w:val="21"/>
                <w:szCs w:val="21"/>
                <w:highlight w:val="none"/>
                <w:shd w:val="clear" w:fill="FFFFFF"/>
              </w:rPr>
              <w:t>外壳防碰撞的防护等级</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设备机身外壳的人员通行检测部分、指示部分≥IK04，其他表面≥IK07；</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设备外壳等级保护</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室外设备IP54防水防尘</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漏电断电防护</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自带漏电和断电开关装置，自带漏电开关装置和断电自动打开装置</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允许通行/禁止通行功能</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1.设备在接收人工操作或出入口控制系统允许通 行/禁止通行的输入信号后，应进入允许通行状态/禁止通行状态:</w:t>
            </w:r>
          </w:p>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设备在禁止通行状态下，接收到允许通行信号，转换至允许通行状态后，在以下情况应自动返回到禁止通行状态:--在允许通行时间内，检测到人员已按指定方向通过通道时超出允许通行时间，检测到通道内无人员 通行时。</w:t>
            </w:r>
          </w:p>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3.设备应能设置为持续处于允许通行状态/禁止通行状态</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警示功能</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在发生以下情况之一时，设备应警示:--未收到允许通行信号，设备检测到人员进入通道;-未收到允许通行信号，设备检测到人员翻越通道--接收到允许通行信号，设备检测到人员逆向进入通道--设备开机自检不通过:拦挡部分运行不到位;--人员通过通道的实际时间超过了设定的允许通 行时间。</w:t>
            </w:r>
          </w:p>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2.设备处于警示状态时，应能设置为不接受允许通行指令。</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应急放行检测</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设备具备消防联动接口，可联动消防信号触发开门设备在断电或发生故障后应能处于无拦挡状态</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防尾随功能</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设备应具备防尾随功能</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开发闸间隔时间控制</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闸机设备的开启时间和关闭时间≤1s；可以进行时间参数的配置调节</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闸板运行速度</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闸板运行速度≤1S/90°,有三个中高低等级可调</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防夹功能</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color w:val="auto"/>
                <w:szCs w:val="21"/>
                <w:highlight w:val="none"/>
                <w:lang w:val="en-US" w:eastAsia="zh-CN"/>
              </w:rPr>
              <w:t>具备</w:t>
            </w:r>
            <w:r>
              <w:rPr>
                <w:rFonts w:hint="eastAsia" w:ascii="宋体" w:hAnsi="宋体" w:eastAsia="宋体" w:cs="宋体"/>
                <w:szCs w:val="21"/>
                <w:highlight w:val="none"/>
                <w:lang w:val="en-US" w:eastAsia="zh-CN"/>
              </w:rPr>
              <w:t>红外线对射防嵌入功能、防夹人</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自检功能</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设备应具备控制、驱动、拦挡和视觉/听觉指示等部分的自检功能，并有相应的动作或指示</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bookmarkStart w:id="0" w:name="_GoBack"/>
            <w:bookmarkEnd w:id="0"/>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Merge w:val="restart"/>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道闸工作模式</w:t>
            </w:r>
          </w:p>
        </w:tc>
        <w:tc>
          <w:tcPr>
            <w:tcW w:w="4788" w:type="dxa"/>
            <w:vMerge w:val="restart"/>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通道闸工作模式，可自由设定闸机模式，支持老化模式、双向刷卡、双向自由、双向禁止、进向刷卡+出向自由、进向刷卡+出向禁止、进向自由+出向刷卡、进向自由+出向禁止、进向禁止+出向自由、进向禁止+出向刷卡</w:t>
            </w: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vMerge w:val="continue"/>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p>
        </w:tc>
        <w:tc>
          <w:tcPr>
            <w:tcW w:w="4788" w:type="dxa"/>
            <w:vMerge w:val="continue"/>
            <w:shd w:val="clear" w:color="auto" w:fill="auto"/>
            <w:vAlign w:val="center"/>
          </w:tcPr>
          <w:p>
            <w:pPr>
              <w:numPr>
                <w:ilvl w:val="0"/>
                <w:numId w:val="0"/>
              </w:numPr>
              <w:ind w:leftChars="0"/>
              <w:rPr>
                <w:rFonts w:hint="default" w:ascii="宋体" w:hAnsi="宋体" w:eastAsia="宋体" w:cs="宋体"/>
                <w:szCs w:val="21"/>
                <w:highlight w:val="none"/>
                <w:lang w:val="en-US" w:eastAsia="zh-CN"/>
              </w:rPr>
            </w:pPr>
          </w:p>
        </w:tc>
        <w:tc>
          <w:tcPr>
            <w:tcW w:w="851" w:type="dxa"/>
            <w:vAlign w:val="center"/>
          </w:tcPr>
          <w:p>
            <w:pPr>
              <w:jc w:val="center"/>
              <w:rPr>
                <w:rFonts w:hint="eastAsia" w:ascii="宋体" w:hAnsi="宋体" w:eastAsia="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hint="eastAsia" w:ascii="宋体" w:hAnsi="宋体" w:eastAsia="宋体" w:cs="宋体"/>
                <w:b/>
                <w:bCs/>
                <w:szCs w:val="21"/>
                <w:highlight w:val="none"/>
                <w:lang w:val="en-US" w:eastAsia="zh-CN"/>
              </w:rPr>
            </w:pPr>
          </w:p>
        </w:tc>
        <w:tc>
          <w:tcPr>
            <w:tcW w:w="1253" w:type="dxa"/>
            <w:vMerge w:val="continue"/>
            <w:vAlign w:val="center"/>
          </w:tcPr>
          <w:p>
            <w:pPr>
              <w:widowControl/>
              <w:jc w:val="center"/>
              <w:rPr>
                <w:rFonts w:hint="eastAsia" w:cs="仿宋" w:asciiTheme="minorEastAsia" w:hAnsiTheme="minorEastAsia"/>
                <w:bCs/>
                <w:iCs/>
                <w:kern w:val="0"/>
                <w:szCs w:val="21"/>
                <w:highlight w:val="none"/>
                <w:lang w:val="en-US" w:eastAsia="zh-CN"/>
              </w:rPr>
            </w:pPr>
          </w:p>
        </w:tc>
        <w:tc>
          <w:tcPr>
            <w:tcW w:w="1500" w:type="dxa"/>
            <w:shd w:val="clear" w:color="auto" w:fill="auto"/>
            <w:vAlign w:val="center"/>
          </w:tcPr>
          <w:p>
            <w:pPr>
              <w:widowControl/>
              <w:jc w:val="center"/>
              <w:rPr>
                <w:rFonts w:hint="eastAsia" w:cs="仿宋" w:asciiTheme="minorEastAsia" w:hAnsiTheme="minorEastAsia"/>
                <w:bCs/>
                <w:iCs/>
                <w:kern w:val="0"/>
                <w:szCs w:val="21"/>
                <w:highlight w:val="none"/>
                <w:lang w:val="en-US" w:eastAsia="zh-CN"/>
              </w:rPr>
            </w:pPr>
            <w:r>
              <w:rPr>
                <w:rFonts w:hint="eastAsia" w:cs="仿宋" w:asciiTheme="minorEastAsia" w:hAnsiTheme="minorEastAsia"/>
                <w:bCs/>
                <w:iCs/>
                <w:kern w:val="0"/>
                <w:szCs w:val="21"/>
                <w:highlight w:val="none"/>
                <w:lang w:val="en-US" w:eastAsia="zh-CN"/>
              </w:rPr>
              <w:t>语音播报</w:t>
            </w:r>
          </w:p>
        </w:tc>
        <w:tc>
          <w:tcPr>
            <w:tcW w:w="4788" w:type="dxa"/>
            <w:shd w:val="clear" w:color="auto" w:fill="auto"/>
            <w:vAlign w:val="center"/>
          </w:tcPr>
          <w:p>
            <w:pPr>
              <w:numPr>
                <w:ilvl w:val="0"/>
                <w:numId w:val="2"/>
              </w:numPr>
              <w:ind w:left="420" w:leftChars="0" w:hanging="42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支持语音播报</w:t>
            </w:r>
          </w:p>
        </w:tc>
        <w:tc>
          <w:tcPr>
            <w:tcW w:w="851" w:type="dxa"/>
            <w:vAlign w:val="center"/>
          </w:tcPr>
          <w:p>
            <w:pPr>
              <w:jc w:val="center"/>
              <w:rPr>
                <w:rFonts w:hint="eastAsia" w:ascii="宋体" w:hAnsi="宋体" w:eastAsia="宋体" w:cs="宋体"/>
                <w:b/>
                <w:bCs/>
                <w:szCs w:val="21"/>
                <w:highlight w:val="none"/>
              </w:rPr>
            </w:pPr>
          </w:p>
        </w:tc>
      </w:tr>
    </w:tbl>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01740"/>
    <w:multiLevelType w:val="singleLevel"/>
    <w:tmpl w:val="BB401740"/>
    <w:lvl w:ilvl="0" w:tentative="0">
      <w:start w:val="1"/>
      <w:numFmt w:val="bullet"/>
      <w:lvlText w:val=""/>
      <w:lvlJc w:val="left"/>
      <w:pPr>
        <w:ind w:left="420" w:hanging="420"/>
      </w:pPr>
      <w:rPr>
        <w:rFonts w:hint="default" w:ascii="Wingdings" w:hAnsi="Wingdings"/>
      </w:rPr>
    </w:lvl>
  </w:abstractNum>
  <w:abstractNum w:abstractNumId="1">
    <w:nsid w:val="453F36FC"/>
    <w:multiLevelType w:val="multilevel"/>
    <w:tmpl w:val="453F36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9DAF800"/>
    <w:multiLevelType w:val="singleLevel"/>
    <w:tmpl w:val="79DAF80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B0"/>
    <w:rsid w:val="00006753"/>
    <w:rsid w:val="000219B4"/>
    <w:rsid w:val="00030000"/>
    <w:rsid w:val="00034909"/>
    <w:rsid w:val="000668CD"/>
    <w:rsid w:val="000712D7"/>
    <w:rsid w:val="000A5616"/>
    <w:rsid w:val="00107080"/>
    <w:rsid w:val="0011306F"/>
    <w:rsid w:val="001377D1"/>
    <w:rsid w:val="001845F7"/>
    <w:rsid w:val="001F38D0"/>
    <w:rsid w:val="002B1656"/>
    <w:rsid w:val="002F2EDF"/>
    <w:rsid w:val="002F5646"/>
    <w:rsid w:val="0030192F"/>
    <w:rsid w:val="003034D6"/>
    <w:rsid w:val="003174A7"/>
    <w:rsid w:val="00335D58"/>
    <w:rsid w:val="00342E94"/>
    <w:rsid w:val="0036373F"/>
    <w:rsid w:val="003F24C8"/>
    <w:rsid w:val="00411B7E"/>
    <w:rsid w:val="004D7D27"/>
    <w:rsid w:val="00516D01"/>
    <w:rsid w:val="006A76F4"/>
    <w:rsid w:val="007804D4"/>
    <w:rsid w:val="008026A6"/>
    <w:rsid w:val="00832DCD"/>
    <w:rsid w:val="008744B0"/>
    <w:rsid w:val="00893413"/>
    <w:rsid w:val="008A34AA"/>
    <w:rsid w:val="008C2D7B"/>
    <w:rsid w:val="008C714D"/>
    <w:rsid w:val="0094693B"/>
    <w:rsid w:val="0095204C"/>
    <w:rsid w:val="009B39D6"/>
    <w:rsid w:val="00A35411"/>
    <w:rsid w:val="00A7028A"/>
    <w:rsid w:val="00A80820"/>
    <w:rsid w:val="00A96528"/>
    <w:rsid w:val="00A96D22"/>
    <w:rsid w:val="00AF0982"/>
    <w:rsid w:val="00CE331B"/>
    <w:rsid w:val="00D0410B"/>
    <w:rsid w:val="00D6286C"/>
    <w:rsid w:val="00D80648"/>
    <w:rsid w:val="00EA50B5"/>
    <w:rsid w:val="00EB594D"/>
    <w:rsid w:val="00EC08DC"/>
    <w:rsid w:val="00F14BF2"/>
    <w:rsid w:val="00F47838"/>
    <w:rsid w:val="00FE5B39"/>
    <w:rsid w:val="01222699"/>
    <w:rsid w:val="01EF2669"/>
    <w:rsid w:val="02990FD0"/>
    <w:rsid w:val="042D4C6A"/>
    <w:rsid w:val="04521626"/>
    <w:rsid w:val="045C66B2"/>
    <w:rsid w:val="05145E61"/>
    <w:rsid w:val="057D5890"/>
    <w:rsid w:val="05C0366A"/>
    <w:rsid w:val="05EE11D4"/>
    <w:rsid w:val="06C70D2A"/>
    <w:rsid w:val="06F6767B"/>
    <w:rsid w:val="074F2436"/>
    <w:rsid w:val="0756034F"/>
    <w:rsid w:val="08444D9F"/>
    <w:rsid w:val="096D7D04"/>
    <w:rsid w:val="09706A8B"/>
    <w:rsid w:val="09B052F6"/>
    <w:rsid w:val="0A351CCC"/>
    <w:rsid w:val="0AB4389F"/>
    <w:rsid w:val="0ACF2922"/>
    <w:rsid w:val="0ADD6C61"/>
    <w:rsid w:val="0B0645A2"/>
    <w:rsid w:val="0B2B0F5F"/>
    <w:rsid w:val="0B403483"/>
    <w:rsid w:val="0B5E2A33"/>
    <w:rsid w:val="0BAA50B0"/>
    <w:rsid w:val="0D3C3906"/>
    <w:rsid w:val="0D420CAA"/>
    <w:rsid w:val="0D737F1F"/>
    <w:rsid w:val="0DF04F6A"/>
    <w:rsid w:val="0ECD6ED7"/>
    <w:rsid w:val="0EF600DE"/>
    <w:rsid w:val="0FD15480"/>
    <w:rsid w:val="10123C11"/>
    <w:rsid w:val="11A61B83"/>
    <w:rsid w:val="120C7329"/>
    <w:rsid w:val="12252451"/>
    <w:rsid w:val="1252421A"/>
    <w:rsid w:val="12B80076"/>
    <w:rsid w:val="131A3C63"/>
    <w:rsid w:val="13921C65"/>
    <w:rsid w:val="139748B1"/>
    <w:rsid w:val="13F6014E"/>
    <w:rsid w:val="14BF5D26"/>
    <w:rsid w:val="14D05219"/>
    <w:rsid w:val="14EA1CE0"/>
    <w:rsid w:val="15111B9F"/>
    <w:rsid w:val="15E23D82"/>
    <w:rsid w:val="1634517A"/>
    <w:rsid w:val="174F244F"/>
    <w:rsid w:val="17AF3703"/>
    <w:rsid w:val="18127F8E"/>
    <w:rsid w:val="18D347C9"/>
    <w:rsid w:val="1E0508CE"/>
    <w:rsid w:val="1FCA14B3"/>
    <w:rsid w:val="203C40A8"/>
    <w:rsid w:val="21155C52"/>
    <w:rsid w:val="21931DA4"/>
    <w:rsid w:val="22FB0071"/>
    <w:rsid w:val="2316669C"/>
    <w:rsid w:val="23BF3632"/>
    <w:rsid w:val="241C2B70"/>
    <w:rsid w:val="24283062"/>
    <w:rsid w:val="248A54AE"/>
    <w:rsid w:val="250848CE"/>
    <w:rsid w:val="2524677D"/>
    <w:rsid w:val="27431FFA"/>
    <w:rsid w:val="27575417"/>
    <w:rsid w:val="27C625A2"/>
    <w:rsid w:val="27D51569"/>
    <w:rsid w:val="29EA31D2"/>
    <w:rsid w:val="2A3414E3"/>
    <w:rsid w:val="2AFF308F"/>
    <w:rsid w:val="2B28065B"/>
    <w:rsid w:val="2BA647AD"/>
    <w:rsid w:val="2BD32211"/>
    <w:rsid w:val="2C9762B4"/>
    <w:rsid w:val="2CC35E7E"/>
    <w:rsid w:val="2D832A39"/>
    <w:rsid w:val="2E1C1933"/>
    <w:rsid w:val="2E924FB5"/>
    <w:rsid w:val="2EBA0500"/>
    <w:rsid w:val="2EEC200B"/>
    <w:rsid w:val="2F281EA2"/>
    <w:rsid w:val="31AD2123"/>
    <w:rsid w:val="31F1357D"/>
    <w:rsid w:val="327D4177"/>
    <w:rsid w:val="33394B99"/>
    <w:rsid w:val="33427542"/>
    <w:rsid w:val="334E12BB"/>
    <w:rsid w:val="338C7B87"/>
    <w:rsid w:val="33B2575C"/>
    <w:rsid w:val="33D70290"/>
    <w:rsid w:val="340A166E"/>
    <w:rsid w:val="341D4E0B"/>
    <w:rsid w:val="3439693A"/>
    <w:rsid w:val="36041685"/>
    <w:rsid w:val="3801126E"/>
    <w:rsid w:val="38173412"/>
    <w:rsid w:val="38176C95"/>
    <w:rsid w:val="3A183E5C"/>
    <w:rsid w:val="3A316F85"/>
    <w:rsid w:val="3A675260"/>
    <w:rsid w:val="3AEF3B4E"/>
    <w:rsid w:val="3B336130"/>
    <w:rsid w:val="3BBE7A10"/>
    <w:rsid w:val="3BDF4C51"/>
    <w:rsid w:val="3C2564BB"/>
    <w:rsid w:val="3CD91462"/>
    <w:rsid w:val="3D564875"/>
    <w:rsid w:val="3D604F4D"/>
    <w:rsid w:val="3D8B5930"/>
    <w:rsid w:val="3D983F61"/>
    <w:rsid w:val="3E8D432B"/>
    <w:rsid w:val="3EAE0C2E"/>
    <w:rsid w:val="3F071A76"/>
    <w:rsid w:val="40664714"/>
    <w:rsid w:val="4111625A"/>
    <w:rsid w:val="411A534C"/>
    <w:rsid w:val="414932AA"/>
    <w:rsid w:val="42F14560"/>
    <w:rsid w:val="45290D07"/>
    <w:rsid w:val="45920125"/>
    <w:rsid w:val="45C9347F"/>
    <w:rsid w:val="46B07F22"/>
    <w:rsid w:val="46F22E53"/>
    <w:rsid w:val="47461F7B"/>
    <w:rsid w:val="47A32315"/>
    <w:rsid w:val="47B61335"/>
    <w:rsid w:val="48734F6C"/>
    <w:rsid w:val="48AA50C6"/>
    <w:rsid w:val="48C2729E"/>
    <w:rsid w:val="493F7B37"/>
    <w:rsid w:val="498E69BD"/>
    <w:rsid w:val="4AB54221"/>
    <w:rsid w:val="4BA9472E"/>
    <w:rsid w:val="4BD258F2"/>
    <w:rsid w:val="4CFB182D"/>
    <w:rsid w:val="4DA25B6E"/>
    <w:rsid w:val="4FB77E7F"/>
    <w:rsid w:val="4FD8578D"/>
    <w:rsid w:val="4FFB1EB7"/>
    <w:rsid w:val="506B4CFC"/>
    <w:rsid w:val="51635294"/>
    <w:rsid w:val="52A90E2E"/>
    <w:rsid w:val="52EF48D9"/>
    <w:rsid w:val="543B723B"/>
    <w:rsid w:val="548F1F48"/>
    <w:rsid w:val="55A12B34"/>
    <w:rsid w:val="55DE0971"/>
    <w:rsid w:val="56563956"/>
    <w:rsid w:val="56A02C2D"/>
    <w:rsid w:val="56B55151"/>
    <w:rsid w:val="56C9056E"/>
    <w:rsid w:val="56E57E9E"/>
    <w:rsid w:val="576A00F7"/>
    <w:rsid w:val="588C0537"/>
    <w:rsid w:val="5998070C"/>
    <w:rsid w:val="59C36FD2"/>
    <w:rsid w:val="5A024538"/>
    <w:rsid w:val="5A9D4737"/>
    <w:rsid w:val="5AEC7D39"/>
    <w:rsid w:val="5AEF612B"/>
    <w:rsid w:val="5CCD5CD0"/>
    <w:rsid w:val="5CDB71E4"/>
    <w:rsid w:val="5D1773C9"/>
    <w:rsid w:val="5E7C0E8F"/>
    <w:rsid w:val="5F7143B2"/>
    <w:rsid w:val="5F8F32D6"/>
    <w:rsid w:val="60335FE2"/>
    <w:rsid w:val="603D68F1"/>
    <w:rsid w:val="60CE61B7"/>
    <w:rsid w:val="610931A1"/>
    <w:rsid w:val="61903D20"/>
    <w:rsid w:val="61A813C7"/>
    <w:rsid w:val="625E1DEF"/>
    <w:rsid w:val="627D4A66"/>
    <w:rsid w:val="63A16F83"/>
    <w:rsid w:val="647E77FB"/>
    <w:rsid w:val="64AA19B4"/>
    <w:rsid w:val="65293587"/>
    <w:rsid w:val="665A717C"/>
    <w:rsid w:val="66D1483C"/>
    <w:rsid w:val="67CA2856"/>
    <w:rsid w:val="68A128B9"/>
    <w:rsid w:val="68D77510"/>
    <w:rsid w:val="690E546B"/>
    <w:rsid w:val="69143AF1"/>
    <w:rsid w:val="6A790E3A"/>
    <w:rsid w:val="6AA42F83"/>
    <w:rsid w:val="6BC27ED8"/>
    <w:rsid w:val="6BF151A3"/>
    <w:rsid w:val="6BF6798B"/>
    <w:rsid w:val="6DE13567"/>
    <w:rsid w:val="6E34575E"/>
    <w:rsid w:val="6E540211"/>
    <w:rsid w:val="6E7C5B52"/>
    <w:rsid w:val="6ED0040E"/>
    <w:rsid w:val="6FCC6779"/>
    <w:rsid w:val="6FD6290B"/>
    <w:rsid w:val="6FFB1846"/>
    <w:rsid w:val="70400CB6"/>
    <w:rsid w:val="7058635C"/>
    <w:rsid w:val="709B394E"/>
    <w:rsid w:val="70D43728"/>
    <w:rsid w:val="71306040"/>
    <w:rsid w:val="72BE454D"/>
    <w:rsid w:val="72CD4B67"/>
    <w:rsid w:val="73345810"/>
    <w:rsid w:val="7475039B"/>
    <w:rsid w:val="74CB3F05"/>
    <w:rsid w:val="74D50E64"/>
    <w:rsid w:val="751D55A6"/>
    <w:rsid w:val="75B82FB1"/>
    <w:rsid w:val="766643CE"/>
    <w:rsid w:val="76DB1E0E"/>
    <w:rsid w:val="77074244"/>
    <w:rsid w:val="78070277"/>
    <w:rsid w:val="79173937"/>
    <w:rsid w:val="79395171"/>
    <w:rsid w:val="7A591836"/>
    <w:rsid w:val="7B7956A0"/>
    <w:rsid w:val="7B8D2142"/>
    <w:rsid w:val="7BB93866"/>
    <w:rsid w:val="7DF8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basedOn w:val="9"/>
    <w:link w:val="2"/>
    <w:semiHidden/>
    <w:qFormat/>
    <w:uiPriority w:val="0"/>
    <w:rPr>
      <w:rFonts w:ascii="宋体" w:hAnsi="宋体" w:eastAsia="宋体" w:cs="Times New Roman"/>
      <w:b/>
      <w:bCs/>
      <w:kern w:val="0"/>
      <w:sz w:val="36"/>
      <w:szCs w:val="36"/>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首行缩进"/>
    <w:basedOn w:val="1"/>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3478</Words>
  <Characters>3971</Characters>
  <Lines>36</Lines>
  <Paragraphs>10</Paragraphs>
  <TotalTime>1</TotalTime>
  <ScaleCrop>false</ScaleCrop>
  <LinksUpToDate>false</LinksUpToDate>
  <CharactersWithSpaces>3996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2025-04-27T10:12:00Z</dcterms:created>
  <dc:creator>网络金融部综合岗</dc:creator>
  <cp:lastModifiedBy>吕思文</cp:lastModifiedBy>
  <cp:lastPrinted>2025-05-09T00:54:00Z</cp:lastPrinted>
  <dcterms:modified xsi:type="dcterms:W3CDTF">2025-07-11T07:06:06Z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eyJoZGlkIjoiNWEwMzllOWM0YTlkMDFlYzJlYjQzNTkyZmIwYmFkMjgifQ==</vt:lpwstr>
  </property>
  <property fmtid="{D5CDD505-2E9C-101B-9397-08002B2CF9AE}" pid="3" name="KSOProductBuildVer">
    <vt:lpwstr>2052-11.8.2.12094</vt:lpwstr>
  </property>
  <property fmtid="{D5CDD505-2E9C-101B-9397-08002B2CF9AE}" pid="4" name="ICV">
    <vt:lpwstr>A87711D5B28D4A1FB78DEE929E8B59F6_13</vt:lpwstr>
  </property>
</Properties>
</file>