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龙南农商银行2024年四季度关联交易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信息披露报告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根据《银行保险机构关联交易管理办法》（中国银保监会2022年1号）的有关规定，现将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农村商业银行股份有限公司（以下简称“本行”）2024年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季度关联交易情况披露如下：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一、范围界定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本行关联方范围是按照《银行保险机构关联交易管理办法》第五条至第八条的相关规定进行确认。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本行自然人关联方335户，法人关联方41户。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全部关联方关联交易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56笔，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授信金额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22069.7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2024年9月末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资本净额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145996.38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万元，全部关联方关联交易授信金额占本行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末资本净额的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15.12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、重大关联交易情况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，授信总金额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9300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6.37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本季度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Tahoma" w:eastAsia="仿宋_GB2312"/>
          <w:kern w:val="0"/>
          <w:sz w:val="32"/>
          <w:szCs w:val="32"/>
        </w:rPr>
        <w:t>发生授信类重大关联交易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一般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关联交易情况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12月31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52笔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12769.7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8.75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本季度发生授信类一般关联交易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3630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其中关联法人交易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3460万元；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关联自然人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交易3笔，交易金额170万元。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报告期内，本行与关联方的关联交易遵循商业原则，以不优于对非关联方同类交易的条件进行；授信类型关联交易根据本行现行的授信管理办法、关联交易管理办法，结合客户评级和风险情况确定相应价格，以确保本行关联交易定价的合法性和公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特此批露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                  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江西龙南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 xml:space="preserve">　　                         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93B7"/>
    <w:multiLevelType w:val="singleLevel"/>
    <w:tmpl w:val="6AA293B7"/>
    <w:lvl w:ilvl="0" w:tentative="0">
      <w:start w:val="4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056"/>
    <w:rsid w:val="08E11E4F"/>
    <w:rsid w:val="093D6E82"/>
    <w:rsid w:val="13F23028"/>
    <w:rsid w:val="169958D7"/>
    <w:rsid w:val="185B1D11"/>
    <w:rsid w:val="20DC4AD0"/>
    <w:rsid w:val="23923197"/>
    <w:rsid w:val="27A663F6"/>
    <w:rsid w:val="3D7B43B0"/>
    <w:rsid w:val="4B253112"/>
    <w:rsid w:val="59132461"/>
    <w:rsid w:val="638D0661"/>
    <w:rsid w:val="69207AA5"/>
    <w:rsid w:val="6A497594"/>
    <w:rsid w:val="6D3746E5"/>
    <w:rsid w:val="71377654"/>
    <w:rsid w:val="78F07AC9"/>
    <w:rsid w:val="7D641999"/>
    <w:rsid w:val="7D9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匿名用户</cp:lastModifiedBy>
  <dcterms:modified xsi:type="dcterms:W3CDTF">2025-01-15T13:29:40Z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