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157" w:beforeLines="50" w:after="157" w:afterLines="50" w:line="240" w:lineRule="auto"/>
        <w:ind w:firstLine="1807" w:firstLineChars="500"/>
        <w:jc w:val="both"/>
        <w:textAlignment w:val="auto"/>
        <w:rPr>
          <w:rStyle w:val="12"/>
          <w:rFonts w:hint="default" w:ascii="黑体" w:hAnsi="黑体" w:eastAsia="黑体" w:cs="黑体"/>
          <w:b/>
          <w:bCs w:val="0"/>
          <w:i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auto"/>
          <w:kern w:val="2"/>
          <w:sz w:val="36"/>
          <w:szCs w:val="36"/>
          <w:lang w:val="en-US" w:eastAsia="zh-CN" w:bidi="ar-SA"/>
        </w:rPr>
        <w:t>龙南农商银行闲置资产</w:t>
      </w:r>
      <w:r>
        <w:rPr>
          <w:rStyle w:val="12"/>
          <w:rFonts w:hint="eastAsia" w:ascii="黑体" w:hAnsi="黑体" w:eastAsia="黑体" w:cs="黑体"/>
          <w:b/>
          <w:bCs w:val="0"/>
          <w:i w:val="0"/>
          <w:color w:val="auto"/>
          <w:spacing w:val="0"/>
          <w:w w:val="100"/>
          <w:kern w:val="2"/>
          <w:sz w:val="36"/>
          <w:szCs w:val="36"/>
          <w:lang w:val="en-US" w:eastAsia="zh-CN" w:bidi="ar-SA"/>
        </w:rPr>
        <w:t>拍卖预告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受委托，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本中心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定于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近期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龙南农商银行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auto"/>
          <w:sz w:val="28"/>
          <w:szCs w:val="28"/>
        </w:rPr>
        <w:instrText xml:space="preserve"> HYPERLINK "http://www.jxsggzy.cn/web/）通过网上竞价公开拍卖" </w:instrTex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separate"/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u w:val="none"/>
        </w:rPr>
        <w:t>公开</w:t>
      </w:r>
      <w:r>
        <w:rPr>
          <w:rFonts w:hint="eastAsia" w:ascii="仿宋" w:hAnsi="仿宋" w:eastAsia="仿宋" w:cs="仿宋"/>
          <w:color w:val="auto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拍卖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龙南市龙定大道商住用房壹栋</w:t>
      </w:r>
      <w:r>
        <w:rPr>
          <w:rStyle w:val="11"/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，现将有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关事项公告如下：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1" w:firstLineChars="228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拍卖标的：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位于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龙南市龙南镇龙定大道（原金钩水沟批发市场旁，原金钩信用社）店房壹栋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，六层，钢混结构，建筑面积约为945.06㎡，占地面积156.8㎡（出让土地），其中一楼店铺面积约131.82 ㎡，2-6楼面积约813.24 ㎡），房屋内外墙为墙漆，天棚为吊顶，地面为瓷砖，玻璃推拉门，房屋通水电，通风采光效果良好。整体起拍价238.5万元，竞买保证金20万元。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lang w:val="en-US" w:eastAsia="zh-CN"/>
              </w:rPr>
              <w:drawing>
                <wp:inline distT="0" distB="0" distL="114300" distR="114300">
                  <wp:extent cx="2847975" cy="3797300"/>
                  <wp:effectExtent l="0" t="0" r="9525" b="12700"/>
                  <wp:docPr id="7" name="图片 7" descr="dab6a1f2104002322e7ec4608f99ce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ab6a1f2104002322e7ec4608f99cec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379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lang w:val="en-US" w:eastAsia="zh-CN"/>
              </w:rPr>
              <w:br w:type="page"/>
            </w:r>
          </w:p>
        </w:tc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867660" cy="3823335"/>
                  <wp:effectExtent l="0" t="0" r="8890" b="5715"/>
                  <wp:docPr id="14" name="图片 14" descr="a675321343c6570ca451cc33461df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675321343c6570ca451cc33461df60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382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867660" cy="3823335"/>
                  <wp:effectExtent l="0" t="0" r="8890" b="5715"/>
                  <wp:docPr id="15" name="图片 15" descr="6dae8dc4fc580c07f4c268795678b8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dae8dc4fc580c07f4c268795678b8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382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2867660" cy="3823335"/>
                  <wp:effectExtent l="0" t="0" r="8890" b="5715"/>
                  <wp:docPr id="16" name="图片 16" descr="73b9af4be95769b4535953d402fded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73b9af4be95769b4535953d402fdede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660" cy="382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757" w:type="dxa"/>
          </w:tcPr>
          <w:p>
            <w:pPr>
              <w:widowControl w:val="0"/>
              <w:rPr>
                <w:rFonts w:hint="eastAsia" w:ascii="黑体" w:hAnsi="黑体" w:eastAsia="黑体" w:cs="黑体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特别提醒：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竞买人需在拍卖之前详细查询当地房产部门过户相关政策，是否符合当地房屋竞买资格要求，过户风险自行承担。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拍卖标的物以现状进行拍卖，其外观、结构、固定装修及内在质量以移交时的现状为准。房地产的实际面积以过户时登记机关确定为准。拍卖人对房屋外观、质量问题、结构调整、固定装修损坏、房地产面积差异等不作担保，由买受人自行承担相关责任，由此产生的问题也不影响拍卖成交结果及成交价格。如有房屋结构与发证时发生改变的，由竞买人自行到相关职能部门了解能否办理过户手续；修复的相关费用由买受人承担。竞买人务必在拍卖前仔细审查拍卖标的物，调查标的物是否存在瑕疵，认真研究其现实状况，请竞买人慎重决定竞买行为，竞买人一旦作出竞买决定，即表明已完全了解，并接受标的物现状和一切已知及未知的瑕疵。未看样的竞买人视为对本标的实物现状的确认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二、拍卖方式 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采取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现场举牌竞价，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增价拍卖方式进行，价高者得。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、标的展示时间、地点：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公告之日起至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拍卖会前，标的所在地。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竞买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人的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竞买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 xml:space="preserve">条件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凡符合法律规定的自然人、法人或其他组织均可报名参加竞买（法律、法规另有规定的除外)。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接受联合</w:t>
      </w:r>
      <w:r>
        <w:rPr>
          <w:rFonts w:hint="eastAsia" w:cs="仿宋"/>
          <w:color w:val="auto"/>
          <w:sz w:val="28"/>
          <w:szCs w:val="28"/>
          <w:lang w:val="en-US" w:eastAsia="zh-CN"/>
        </w:rPr>
        <w:t>体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竞买</w:t>
      </w:r>
      <w:r>
        <w:rPr>
          <w:rFonts w:hint="eastAsia" w:cs="仿宋"/>
          <w:color w:val="auto"/>
          <w:sz w:val="28"/>
          <w:szCs w:val="28"/>
          <w:lang w:eastAsia="zh-CN"/>
        </w:rPr>
        <w:t>（</w:t>
      </w:r>
      <w:r>
        <w:rPr>
          <w:rFonts w:hint="eastAsia" w:cs="仿宋"/>
          <w:color w:val="auto"/>
          <w:sz w:val="28"/>
          <w:szCs w:val="28"/>
          <w:lang w:val="en-US" w:eastAsia="zh-CN"/>
        </w:rPr>
        <w:t>需提供联合体竞买人各自按份占有的比例，并按此比例承担相应的付款义务及权利，不动产登记证书亦是按此登记）</w:t>
      </w:r>
      <w:r>
        <w:rPr>
          <w:rFonts w:hint="eastAsia" w:cs="仿宋"/>
          <w:color w:val="auto"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、法律法规规定的其他条件。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咨询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地址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及联系方式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1、赣州市章贡区红旗大道46号2栋101室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2、龙南市龙城明珠售楼部（龙城明珠西门南80米）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13979762656李先生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13803573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303李先生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wordWrap w:val="0"/>
        <w:ind w:right="160"/>
        <w:jc w:val="right"/>
        <w:rPr>
          <w:rFonts w:hint="eastAsia" w:ascii="仿宋_GB2312" w:eastAsia="仿宋_GB2312"/>
          <w:b/>
          <w:sz w:val="32"/>
          <w:szCs w:val="32"/>
        </w:rPr>
      </w:pPr>
    </w:p>
    <w:p>
      <w:pPr>
        <w:wordWrap w:val="0"/>
        <w:ind w:right="160"/>
        <w:jc w:val="right"/>
        <w:rPr>
          <w:rFonts w:hint="eastAsia" w:ascii="仿宋_GB2312" w:eastAsia="仿宋_GB2312"/>
          <w:b/>
          <w:sz w:val="32"/>
          <w:szCs w:val="32"/>
        </w:rPr>
      </w:pPr>
    </w:p>
    <w:p>
      <w:pPr>
        <w:wordWrap w:val="0"/>
        <w:ind w:right="16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/>
          <w:b/>
          <w:sz w:val="32"/>
          <w:szCs w:val="32"/>
        </w:rPr>
        <w:t>赣州拍卖中心</w:t>
      </w:r>
    </w:p>
    <w:p>
      <w:pPr>
        <w:jc w:val="center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80"/>
        <w:jc w:val="both"/>
        <w:textAlignment w:val="auto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480"/>
        <w:jc w:val="both"/>
        <w:textAlignment w:val="auto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firstLine="5798" w:firstLineChars="2071"/>
        <w:jc w:val="both"/>
        <w:textAlignment w:val="auto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rStyle w:val="12"/>
          <w:rFonts w:hint="eastAsia" w:ascii="仿宋" w:hAnsi="仿宋" w:eastAsia="仿宋" w:cs="仿宋"/>
          <w:b w:val="0"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jc w:val="both"/>
        <w:textAlignment w:val="auto"/>
        <w:rPr>
          <w:rStyle w:val="12"/>
          <w:rFonts w:hint="eastAsia" w:ascii="仿宋" w:hAnsi="仿宋" w:eastAsia="仿宋" w:cs="仿宋"/>
          <w:b/>
          <w:bCs/>
          <w:i w:val="0"/>
          <w:color w:val="auto"/>
          <w:spacing w:val="0"/>
          <w:w w:val="100"/>
          <w:kern w:val="0"/>
          <w:sz w:val="28"/>
          <w:szCs w:val="28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240" w:right="1304" w:bottom="1118" w:left="1304" w:header="851" w:footer="992" w:gutter="0"/>
      <w:lnNumType w:countBy="0"/>
      <w:pgNumType w:fmt="numberInDash" w:start="1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/>
      <w:pBdr>
        <w:top w:val="none" w:color="000000" w:sz="0" w:space="1"/>
        <w:left w:val="none" w:color="000000" w:sz="0" w:space="4"/>
        <w:bottom w:val="none" w:color="auto" w:sz="0" w:space="0"/>
        <w:right w:val="none" w:color="000000" w:sz="0" w:space="4"/>
      </w:pBdr>
      <w:snapToGrid w:val="0"/>
      <w:spacing w:line="240" w:lineRule="auto"/>
      <w:jc w:val="both"/>
      <w:rPr>
        <w:rStyle w:val="12"/>
        <w:rFonts w:ascii="Times New Roman" w:hAnsi="Times New Roman"/>
        <w:kern w:val="2"/>
        <w:sz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C589E"/>
    <w:multiLevelType w:val="singleLevel"/>
    <w:tmpl w:val="3E0C589E"/>
    <w:lvl w:ilvl="0" w:tentative="0">
      <w:start w:val="1"/>
      <w:numFmt w:val="chineseCounting"/>
      <w:suff w:val="nothing"/>
      <w:lvlText w:val="%1、"/>
      <w:lvlJc w:val="left"/>
      <w:pPr>
        <w:ind w:left="700" w:leftChars="0" w:firstLine="0" w:firstLineChars="0"/>
      </w:pPr>
      <w:rPr>
        <w:rFonts w:hint="eastAsia"/>
      </w:rPr>
    </w:lvl>
  </w:abstractNum>
  <w:abstractNum w:abstractNumId="1">
    <w:nsid w:val="42A4DFCD"/>
    <w:multiLevelType w:val="singleLevel"/>
    <w:tmpl w:val="42A4DF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NjU2ZGVhMGQ3OGFlMmMyZTZhNjhiOTU3NGNlZWQifQ=="/>
  </w:docVars>
  <w:rsids>
    <w:rsidRoot w:val="00000000"/>
    <w:rsid w:val="00385FB9"/>
    <w:rsid w:val="01D505DE"/>
    <w:rsid w:val="03791698"/>
    <w:rsid w:val="03C37FC5"/>
    <w:rsid w:val="05EE467B"/>
    <w:rsid w:val="06F90F7E"/>
    <w:rsid w:val="0790598C"/>
    <w:rsid w:val="0A6A44EC"/>
    <w:rsid w:val="0D705975"/>
    <w:rsid w:val="0E62321F"/>
    <w:rsid w:val="11BD75F7"/>
    <w:rsid w:val="12514716"/>
    <w:rsid w:val="1796247C"/>
    <w:rsid w:val="192F4936"/>
    <w:rsid w:val="1B735DC4"/>
    <w:rsid w:val="1C6F14EE"/>
    <w:rsid w:val="1CDF61FB"/>
    <w:rsid w:val="1F1B063B"/>
    <w:rsid w:val="20C8532C"/>
    <w:rsid w:val="20FB77F4"/>
    <w:rsid w:val="230010F2"/>
    <w:rsid w:val="231A2E97"/>
    <w:rsid w:val="233538F6"/>
    <w:rsid w:val="23804767"/>
    <w:rsid w:val="23821B72"/>
    <w:rsid w:val="25D70FE2"/>
    <w:rsid w:val="2867690C"/>
    <w:rsid w:val="29761551"/>
    <w:rsid w:val="2B277A98"/>
    <w:rsid w:val="2D9E6AD1"/>
    <w:rsid w:val="2F157E33"/>
    <w:rsid w:val="2F464330"/>
    <w:rsid w:val="2FC8458A"/>
    <w:rsid w:val="303F7F29"/>
    <w:rsid w:val="334E39F5"/>
    <w:rsid w:val="342D74C3"/>
    <w:rsid w:val="37C64260"/>
    <w:rsid w:val="391B4A7F"/>
    <w:rsid w:val="39515BE8"/>
    <w:rsid w:val="3B251BE5"/>
    <w:rsid w:val="3BD12109"/>
    <w:rsid w:val="3EC55271"/>
    <w:rsid w:val="41533A79"/>
    <w:rsid w:val="439C056B"/>
    <w:rsid w:val="4B61087C"/>
    <w:rsid w:val="4E7C511C"/>
    <w:rsid w:val="50546455"/>
    <w:rsid w:val="55717AA9"/>
    <w:rsid w:val="588B2C30"/>
    <w:rsid w:val="58E619D1"/>
    <w:rsid w:val="5B1178FA"/>
    <w:rsid w:val="5B720713"/>
    <w:rsid w:val="647F4CED"/>
    <w:rsid w:val="64B452BD"/>
    <w:rsid w:val="64D67929"/>
    <w:rsid w:val="65AD07B4"/>
    <w:rsid w:val="68B9734E"/>
    <w:rsid w:val="68C63C95"/>
    <w:rsid w:val="691E73F9"/>
    <w:rsid w:val="69482477"/>
    <w:rsid w:val="69AF0748"/>
    <w:rsid w:val="713170E7"/>
    <w:rsid w:val="728A11EE"/>
    <w:rsid w:val="72B168C2"/>
    <w:rsid w:val="731A6C33"/>
    <w:rsid w:val="75D234A1"/>
    <w:rsid w:val="779D7E32"/>
    <w:rsid w:val="78E229F3"/>
    <w:rsid w:val="7A434CC1"/>
    <w:rsid w:val="7B44656C"/>
    <w:rsid w:val="7BD705C9"/>
    <w:rsid w:val="7C18432E"/>
    <w:rsid w:val="7FC16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autoRedefine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snapToGrid w:val="0"/>
      <w:spacing w:line="300" w:lineRule="auto"/>
      <w:ind w:firstLine="556"/>
    </w:pPr>
    <w:rPr>
      <w:rFonts w:ascii="仿宋_GB2312" w:hAnsi="Times New Roman" w:cs="Times New Roman"/>
      <w:kern w:val="0"/>
      <w:szCs w:val="20"/>
    </w:r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Date"/>
    <w:basedOn w:val="1"/>
    <w:autoRedefine/>
    <w:qFormat/>
    <w:uiPriority w:val="0"/>
    <w:pPr>
      <w:ind w:left="100" w:leftChars="2500"/>
      <w:jc w:val="both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kern w:val="2"/>
      <w:sz w:val="18"/>
      <w:lang w:val="en-US" w:eastAsia="zh-CN" w:bidi="ar-SA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autoRedefine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NormalCharacter"/>
    <w:link w:val="1"/>
    <w:autoRedefine/>
    <w:qFormat/>
    <w:uiPriority w:val="0"/>
  </w:style>
  <w:style w:type="table" w:customStyle="1" w:styleId="13">
    <w:name w:val="TableNormal"/>
    <w:autoRedefine/>
    <w:semiHidden/>
    <w:qFormat/>
    <w:uiPriority w:val="0"/>
  </w:style>
  <w:style w:type="character" w:customStyle="1" w:styleId="14">
    <w:name w:val="PageNumber"/>
    <w:basedOn w:val="12"/>
    <w:link w:val="1"/>
    <w:autoRedefine/>
    <w:qFormat/>
    <w:uiPriority w:val="0"/>
  </w:style>
  <w:style w:type="character" w:customStyle="1" w:styleId="15">
    <w:name w:val="UserStyle_0"/>
    <w:basedOn w:val="12"/>
    <w:link w:val="1"/>
    <w:autoRedefine/>
    <w:qFormat/>
    <w:uiPriority w:val="0"/>
  </w:style>
  <w:style w:type="character" w:customStyle="1" w:styleId="16">
    <w:name w:val="UserStyle_1"/>
    <w:link w:val="17"/>
    <w:autoRedefine/>
    <w:qFormat/>
    <w:uiPriority w:val="0"/>
    <w:rPr>
      <w:kern w:val="2"/>
      <w:sz w:val="18"/>
      <w:szCs w:val="18"/>
    </w:rPr>
  </w:style>
  <w:style w:type="paragraph" w:customStyle="1" w:styleId="17">
    <w:name w:val="Acetate"/>
    <w:basedOn w:val="1"/>
    <w:link w:val="16"/>
    <w:autoRedefine/>
    <w:qFormat/>
    <w:uiPriority w:val="0"/>
    <w:pPr>
      <w:jc w:val="both"/>
    </w:pPr>
    <w:rPr>
      <w:kern w:val="2"/>
      <w:sz w:val="18"/>
      <w:szCs w:val="18"/>
      <w:lang w:val="en-US" w:eastAsia="zh-CN" w:bidi="ar-SA"/>
    </w:rPr>
  </w:style>
  <w:style w:type="paragraph" w:customStyle="1" w:styleId="18">
    <w:name w:val="UserStyle_2"/>
    <w:basedOn w:val="1"/>
    <w:autoRedefine/>
    <w:qFormat/>
    <w:uiPriority w:val="0"/>
    <w:pPr>
      <w:widowControl/>
      <w:jc w:val="both"/>
    </w:pPr>
    <w:rPr>
      <w:kern w:val="0"/>
      <w:sz w:val="21"/>
      <w:szCs w:val="21"/>
      <w:lang w:val="en-US" w:eastAsia="zh-CN" w:bidi="ar-SA"/>
    </w:rPr>
  </w:style>
  <w:style w:type="paragraph" w:customStyle="1" w:styleId="19">
    <w:name w:val="PlainText"/>
    <w:basedOn w:val="1"/>
    <w:autoRedefine/>
    <w:qFormat/>
    <w:uiPriority w:val="0"/>
    <w:pPr>
      <w:jc w:val="both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customStyle="1" w:styleId="20">
    <w:name w:val="UserStyle_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 w:val="en-US" w:eastAsia="zh-CN" w:bidi="ar-SA"/>
    </w:rPr>
  </w:style>
  <w:style w:type="table" w:customStyle="1" w:styleId="21">
    <w:name w:val="TableGrid"/>
    <w:basedOn w:val="13"/>
    <w:autoRedefine/>
    <w:qFormat/>
    <w:uiPriority w:val="0"/>
  </w:style>
  <w:style w:type="paragraph" w:customStyle="1" w:styleId="22">
    <w:name w:val="Default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Calibri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1026</Words>
  <Characters>1121</Characters>
  <Lines>0</Lines>
  <Paragraphs>0</Paragraphs>
  <TotalTime>1</TotalTime>
  <ScaleCrop>false</ScaleCrop>
  <LinksUpToDate>false</LinksUpToDate>
  <CharactersWithSpaces>1217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2021-09-12T00:54:00Z</dcterms:created>
  <dc:creator>Administrator</dc:creator>
  <cp:lastModifiedBy>lnnsh</cp:lastModifiedBy>
  <cp:lastPrinted>2026-03-30T01:00:00Z</cp:lastPrinted>
  <dcterms:modified xsi:type="dcterms:W3CDTF">2026-04-01T01:19:52Z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1692F9673A834CD089D1C2B2E290872B_13</vt:lpwstr>
  </property>
  <property fmtid="{D5CDD505-2E9C-101B-9397-08002B2CF9AE}" pid="4" name="KSOTemplateDocerSaveRecord">
    <vt:lpwstr>eyJoZGlkIjoiMmRlYmM0YWQzYmYyMTdkZTgzZDEzYzdkZjQyOWExODkiLCJ1c2VySWQiOiI2NDQ2MzE5MjMifQ==</vt:lpwstr>
  </property>
</Properties>
</file>