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1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  <w14:ligatures w14:val="none"/>
        </w:rPr>
        <w:t>全南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14:ligatures w14:val="none"/>
        </w:rPr>
        <w:t>农商银行202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  <w14:ligatures w14:val="none"/>
        </w:rPr>
        <w:t>4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14:ligatures w14:val="none"/>
        </w:rPr>
        <w:t>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  <w14:ligatures w14:val="none"/>
        </w:rPr>
        <w:t>二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14:ligatures w14:val="none"/>
        </w:rPr>
        <w:t>季度资本充足率信息披露</w:t>
      </w:r>
    </w:p>
    <w:p>
      <w:pPr>
        <w:widowControl/>
        <w:ind w:left="900" w:right="900"/>
        <w:jc w:val="left"/>
        <w:rPr>
          <w:rFonts w:hint="eastAsia" w:ascii="宋体" w:hAnsi="宋体" w:eastAsia="宋体" w:cs="宋体"/>
          <w:kern w:val="0"/>
          <w:sz w:val="18"/>
          <w:szCs w:val="18"/>
          <w14:ligatures w14:val="none"/>
        </w:rPr>
      </w:pPr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pict>
          <v:rect id="_x0000_i1025" o:spt="1" style="height:1.5pt;width:0pt;" fillcolor="#EEEEEE" filled="t" stroked="f" coordsize="21600,21600" o:hr="t" o:hrstd="t" o:hrnoshade="t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widowControl/>
        <w:shd w:val="clear" w:color="auto" w:fill="FFFFFF"/>
        <w:spacing w:line="360" w:lineRule="atLeast"/>
        <w:rPr>
          <w:rFonts w:hint="eastAsia" w:ascii="宋体" w:hAnsi="宋体" w:eastAsia="宋体" w:cs="宋体"/>
          <w:color w:val="343333"/>
          <w:kern w:val="0"/>
          <w:sz w:val="18"/>
          <w:szCs w:val="18"/>
          <w14:ligatures w14:val="none"/>
        </w:rPr>
      </w:pP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一、资本构成</w:t>
      </w:r>
    </w:p>
    <w:p>
      <w:pPr>
        <w:widowControl/>
        <w:shd w:val="clear" w:color="auto" w:fill="FFFFFF"/>
        <w:spacing w:line="360" w:lineRule="atLeast"/>
        <w:rPr>
          <w:rFonts w:hint="eastAsia" w:ascii="宋体" w:hAnsi="宋体" w:eastAsia="宋体" w:cs="宋体"/>
          <w:color w:val="343333"/>
          <w:kern w:val="0"/>
          <w:sz w:val="18"/>
          <w:szCs w:val="18"/>
          <w14:ligatures w14:val="none"/>
        </w:rPr>
      </w:pP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  截至202</w:t>
      </w:r>
      <w:r>
        <w:rPr>
          <w:rFonts w:hint="eastAsia" w:ascii="宋体" w:hAnsi="宋体" w:eastAsia="宋体" w:cs="宋体"/>
          <w:color w:val="343333"/>
          <w:kern w:val="0"/>
          <w:szCs w:val="21"/>
          <w:lang w:val="en-US" w:eastAsia="zh-CN"/>
          <w14:ligatures w14:val="none"/>
        </w:rPr>
        <w:t>4</w:t>
      </w: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年</w:t>
      </w:r>
      <w:r>
        <w:rPr>
          <w:rFonts w:hint="eastAsia" w:ascii="Calibri" w:hAnsi="Calibri" w:eastAsia="宋体" w:cs="Calibri"/>
          <w:color w:val="343333"/>
          <w:kern w:val="0"/>
          <w:szCs w:val="21"/>
          <w:lang w:val="en-US" w:eastAsia="zh-CN"/>
          <w14:ligatures w14:val="none"/>
        </w:rPr>
        <w:t>6</w:t>
      </w: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月末，本行的资本由核心一级资本及二级资本构成，核心一级资本由实收资本、资本公积、盈余公积、一般风险准备、未分配利润及其他综合收益构成；二级资本只有超额贷款损失准备。具体构成如下表：</w:t>
      </w:r>
    </w:p>
    <w:p>
      <w:pPr>
        <w:widowControl/>
        <w:shd w:val="clear" w:color="auto" w:fill="FFFFFF"/>
        <w:spacing w:line="360" w:lineRule="atLeast"/>
        <w:rPr>
          <w:rFonts w:hint="eastAsia" w:ascii="宋体" w:hAnsi="宋体" w:eastAsia="宋体" w:cs="宋体"/>
          <w:color w:val="343333"/>
          <w:kern w:val="0"/>
          <w:sz w:val="18"/>
          <w:szCs w:val="18"/>
          <w14:ligatures w14:val="none"/>
        </w:rPr>
      </w:pP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                            单位：万元</w:t>
      </w:r>
    </w:p>
    <w:tbl>
      <w:tblPr>
        <w:tblStyle w:val="7"/>
        <w:tblW w:w="8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0"/>
        <w:gridCol w:w="3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资本构成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202</w:t>
            </w: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lang w:val="en-US" w:eastAsia="zh-CN"/>
                <w14:ligatures w14:val="none"/>
              </w:rPr>
              <w:t>4</w:t>
            </w: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年</w:t>
            </w: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:lang w:val="en-US" w:eastAsia="zh-CN"/>
                <w14:ligatures w14:val="none"/>
              </w:rPr>
              <w:t>6</w:t>
            </w: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   1.核心一级资本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lang w:val="en-US" w:eastAsia="zh-CN"/>
                <w14:ligatures w14:val="none"/>
              </w:rPr>
              <w:t>55864.2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     1.1 实收资本可计入部分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lang w:val="en-US" w:eastAsia="zh-CN"/>
                <w14:ligatures w14:val="none"/>
              </w:rPr>
              <w:t>15344.05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     1.2 资本公积可计入部分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lang w:val="en-US" w:eastAsia="zh-CN"/>
                <w14:ligatures w14:val="none"/>
              </w:rPr>
              <w:t>425.49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     1.3 盈余公积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lang w:val="en-US" w:eastAsia="zh-CN"/>
                <w14:ligatures w14:val="none"/>
              </w:rPr>
              <w:t>7720.39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     1.4 一般风险准备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lang w:val="en-US" w:eastAsia="zh-CN"/>
                <w14:ligatures w14:val="none"/>
              </w:rPr>
              <w:t>12160.37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     1.5 未分配利润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lang w:val="en-US" w:eastAsia="zh-CN"/>
                <w14:ligatures w14:val="none"/>
              </w:rPr>
              <w:t>19647.71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     1.6 其他综合收益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lang w:val="en-US" w:eastAsia="zh-CN"/>
                <w14:ligatures w14:val="none"/>
              </w:rPr>
              <w:t>566.19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   2.核心一级资本监管扣除项目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14:ligatures w14:val="none"/>
              </w:rPr>
              <w:t>203.66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   3.核心一级资本净额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lang w:val="en-US" w:eastAsia="zh-CN"/>
                <w14:ligatures w14:val="none"/>
              </w:rPr>
              <w:t>55660.54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   4.一级资本净额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lang w:val="en-US" w:eastAsia="zh-CN"/>
                <w14:ligatures w14:val="none"/>
              </w:rPr>
              <w:t>55660.54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   5.二级资本</w:t>
            </w:r>
            <w:r>
              <w:rPr>
                <w:rFonts w:ascii="Calibri" w:hAnsi="Calibri" w:eastAsia="宋体" w:cs="Calibri"/>
                <w:color w:val="343333"/>
                <w:kern w:val="0"/>
                <w:szCs w:val="21"/>
                <w14:ligatures w14:val="none"/>
              </w:rPr>
              <w:t>(</w:t>
            </w: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超额贷款损失准备</w:t>
            </w:r>
            <w:r>
              <w:rPr>
                <w:rFonts w:ascii="Calibri" w:hAnsi="Calibri" w:eastAsia="宋体" w:cs="Calibri"/>
                <w:color w:val="343333"/>
                <w:kern w:val="0"/>
                <w:szCs w:val="21"/>
                <w14:ligatures w14:val="none"/>
              </w:rPr>
              <w:t>)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lang w:val="en-US" w:eastAsia="zh-CN"/>
                <w14:ligatures w14:val="none"/>
              </w:rPr>
              <w:t>4896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4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Cs w:val="21"/>
                <w14:ligatures w14:val="none"/>
              </w:rPr>
              <w:t>   6.总资本净额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43333"/>
                <w:kern w:val="0"/>
                <w:sz w:val="21"/>
                <w:szCs w:val="21"/>
                <w:lang w:val="en-US" w:eastAsia="zh-CN"/>
                <w14:ligatures w14:val="none"/>
              </w:rPr>
              <w:t>60556.54</w:t>
            </w:r>
          </w:p>
        </w:tc>
      </w:tr>
    </w:tbl>
    <w:p>
      <w:pPr>
        <w:widowControl/>
        <w:shd w:val="clear" w:color="auto" w:fill="FFFFFF"/>
        <w:spacing w:line="360" w:lineRule="atLeast"/>
        <w:rPr>
          <w:rFonts w:hint="eastAsia" w:ascii="宋体" w:hAnsi="宋体" w:eastAsia="宋体" w:cs="宋体"/>
          <w:color w:val="343333"/>
          <w:kern w:val="0"/>
          <w:sz w:val="18"/>
          <w:szCs w:val="18"/>
          <w14:ligatures w14:val="none"/>
        </w:rPr>
      </w:pP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二、风险加权资产构成</w:t>
      </w:r>
    </w:p>
    <w:p>
      <w:pPr>
        <w:widowControl/>
        <w:shd w:val="clear" w:color="auto" w:fill="FFFFFF"/>
        <w:spacing w:line="360" w:lineRule="atLeast"/>
        <w:rPr>
          <w:rFonts w:hint="eastAsia" w:ascii="宋体" w:hAnsi="宋体" w:eastAsia="宋体" w:cs="宋体"/>
          <w:color w:val="343333"/>
          <w:kern w:val="0"/>
          <w:sz w:val="18"/>
          <w:szCs w:val="18"/>
          <w14:ligatures w14:val="none"/>
        </w:rPr>
      </w:pP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  本行的风险加权资产由表内风险加权资产、表外风险加权资产及操作风险加权资产三部份构成。202</w:t>
      </w:r>
      <w:r>
        <w:rPr>
          <w:rFonts w:hint="eastAsia" w:ascii="宋体" w:hAnsi="宋体" w:eastAsia="宋体" w:cs="宋体"/>
          <w:color w:val="343333"/>
          <w:kern w:val="0"/>
          <w:szCs w:val="21"/>
          <w:lang w:val="en-US" w:eastAsia="zh-CN"/>
          <w14:ligatures w14:val="none"/>
        </w:rPr>
        <w:t>4</w:t>
      </w: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年</w:t>
      </w:r>
      <w:r>
        <w:rPr>
          <w:rFonts w:hint="eastAsia" w:ascii="宋体" w:hAnsi="宋体" w:eastAsia="宋体" w:cs="宋体"/>
          <w:color w:val="343333"/>
          <w:kern w:val="0"/>
          <w:szCs w:val="21"/>
          <w:lang w:val="en-US" w:eastAsia="zh-CN"/>
          <w14:ligatures w14:val="none"/>
        </w:rPr>
        <w:t>二</w:t>
      </w: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季度，本行应用资本底线及校准后的风险加权资产合计</w:t>
      </w:r>
      <w:r>
        <w:rPr>
          <w:rFonts w:hint="eastAsia" w:ascii="宋体" w:hAnsi="宋体" w:eastAsia="宋体" w:cs="宋体"/>
          <w:color w:val="343333"/>
          <w:kern w:val="0"/>
          <w:szCs w:val="21"/>
          <w:lang w:val="en-US" w:eastAsia="zh-CN"/>
          <w14:ligatures w14:val="none"/>
        </w:rPr>
        <w:t>436338.64</w:t>
      </w: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万元，其中表内风险加权资产</w:t>
      </w:r>
      <w:r>
        <w:rPr>
          <w:rFonts w:hint="eastAsia" w:ascii="Calibri" w:hAnsi="Calibri" w:eastAsia="宋体" w:cs="Calibri"/>
          <w:color w:val="343333"/>
          <w:kern w:val="0"/>
          <w:szCs w:val="21"/>
          <w:lang w:val="en-US" w:eastAsia="zh-CN"/>
          <w14:ligatures w14:val="none"/>
        </w:rPr>
        <w:t>394957.44</w:t>
      </w: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万元，主要由存放中央银行款项、贷款、债券投资、购买同业存单、存放同业款项、长期股权投资、买入返售、应收利息、其他应收款项及固定资产净额等构成；表外风险加权资产</w:t>
      </w:r>
      <w:r>
        <w:rPr>
          <w:rFonts w:hint="eastAsia" w:ascii="宋体" w:hAnsi="宋体" w:eastAsia="宋体" w:cs="宋体"/>
          <w:color w:val="343333"/>
          <w:kern w:val="0"/>
          <w:szCs w:val="21"/>
          <w:lang w:val="en-US" w:eastAsia="zh-CN"/>
          <w14:ligatures w14:val="none"/>
        </w:rPr>
        <w:t>1618.2</w:t>
      </w: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万元，</w:t>
      </w:r>
      <w:r>
        <w:rPr>
          <w:rFonts w:hint="eastAsia" w:ascii="宋体" w:hAnsi="宋体" w:eastAsia="宋体" w:cs="宋体"/>
          <w:color w:val="343333"/>
          <w:kern w:val="0"/>
          <w:szCs w:val="21"/>
          <w:lang w:val="en-US" w:eastAsia="zh-CN"/>
          <w14:ligatures w14:val="none"/>
        </w:rPr>
        <w:t>主要是</w:t>
      </w: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风险权重</w:t>
      </w:r>
      <w:r>
        <w:rPr>
          <w:rFonts w:ascii="Calibri" w:hAnsi="Calibri" w:eastAsia="宋体" w:cs="Calibri"/>
          <w:color w:val="343333"/>
          <w:kern w:val="0"/>
          <w:szCs w:val="21"/>
          <w14:ligatures w14:val="none"/>
        </w:rPr>
        <w:t>75%</w:t>
      </w: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的未使用的信用卡授信额度；操作风险加权资产</w:t>
      </w:r>
      <w:r>
        <w:rPr>
          <w:rFonts w:hint="eastAsia" w:ascii="宋体" w:hAnsi="宋体" w:eastAsia="宋体" w:cs="宋体"/>
          <w:color w:val="343333"/>
          <w:kern w:val="0"/>
          <w:szCs w:val="21"/>
          <w:lang w:val="en-US" w:eastAsia="zh-CN"/>
          <w14:ligatures w14:val="none"/>
        </w:rPr>
        <w:t>39763</w:t>
      </w: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万元，为采用“基本指标法（以最近三年的总收入为基本指标）”计量的加权操作风险。</w:t>
      </w:r>
    </w:p>
    <w:p>
      <w:pPr>
        <w:widowControl/>
        <w:shd w:val="clear" w:color="auto" w:fill="FFFFFF"/>
        <w:spacing w:line="360" w:lineRule="atLeast"/>
        <w:rPr>
          <w:rFonts w:hint="eastAsia" w:ascii="宋体" w:hAnsi="宋体" w:eastAsia="宋体" w:cs="宋体"/>
          <w:color w:val="343333"/>
          <w:kern w:val="0"/>
          <w:sz w:val="18"/>
          <w:szCs w:val="18"/>
          <w14:ligatures w14:val="none"/>
        </w:rPr>
      </w:pP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三、资本充足率</w:t>
      </w:r>
    </w:p>
    <w:p>
      <w:pPr>
        <w:widowControl/>
        <w:shd w:val="clear" w:color="auto" w:fill="FFFFFF"/>
        <w:spacing w:line="360" w:lineRule="atLeast"/>
        <w:rPr>
          <w:rFonts w:hint="eastAsia" w:ascii="宋体" w:hAnsi="宋体" w:eastAsia="宋体" w:cs="宋体"/>
          <w:color w:val="343333"/>
          <w:kern w:val="0"/>
          <w:sz w:val="18"/>
          <w:szCs w:val="18"/>
          <w14:ligatures w14:val="none"/>
        </w:rPr>
      </w:pP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  202</w:t>
      </w:r>
      <w:r>
        <w:rPr>
          <w:rFonts w:hint="eastAsia" w:ascii="宋体" w:hAnsi="宋体" w:eastAsia="宋体" w:cs="宋体"/>
          <w:color w:val="343333"/>
          <w:kern w:val="0"/>
          <w:szCs w:val="21"/>
          <w:lang w:val="en-US" w:eastAsia="zh-CN"/>
          <w14:ligatures w14:val="none"/>
        </w:rPr>
        <w:t>4</w:t>
      </w: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年</w:t>
      </w:r>
      <w:r>
        <w:rPr>
          <w:rFonts w:hint="eastAsia" w:ascii="宋体" w:hAnsi="宋体" w:eastAsia="宋体" w:cs="宋体"/>
          <w:color w:val="343333"/>
          <w:kern w:val="0"/>
          <w:szCs w:val="21"/>
          <w:lang w:val="en-US" w:eastAsia="zh-CN"/>
          <w14:ligatures w14:val="none"/>
        </w:rPr>
        <w:t>二</w:t>
      </w: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季度末，本行核心一级资本充足率及一级资本充足</w:t>
      </w:r>
      <w:bookmarkStart w:id="0" w:name="_GoBack"/>
      <w:bookmarkEnd w:id="0"/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率均为</w:t>
      </w:r>
      <w:r>
        <w:rPr>
          <w:rFonts w:hint="eastAsia" w:ascii="宋体" w:hAnsi="宋体" w:eastAsia="宋体" w:cs="宋体"/>
          <w:color w:val="343333"/>
          <w:kern w:val="0"/>
          <w:szCs w:val="21"/>
          <w:lang w:val="en-US" w:eastAsia="zh-CN"/>
          <w14:ligatures w14:val="none"/>
        </w:rPr>
        <w:t>12.76</w:t>
      </w: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%，资本充足率</w:t>
      </w:r>
      <w:r>
        <w:rPr>
          <w:rFonts w:ascii="Calibri" w:hAnsi="Calibri" w:eastAsia="宋体" w:cs="Calibri"/>
          <w:color w:val="343333"/>
          <w:kern w:val="0"/>
          <w:szCs w:val="21"/>
          <w14:ligatures w14:val="none"/>
        </w:rPr>
        <w:t>1</w:t>
      </w:r>
      <w:r>
        <w:rPr>
          <w:rFonts w:hint="eastAsia" w:ascii="Calibri" w:hAnsi="Calibri" w:eastAsia="宋体" w:cs="Calibri"/>
          <w:color w:val="343333"/>
          <w:kern w:val="0"/>
          <w:szCs w:val="21"/>
          <w:lang w:val="en-US" w:eastAsia="zh-CN"/>
          <w14:ligatures w14:val="none"/>
        </w:rPr>
        <w:t>3.88</w:t>
      </w:r>
      <w:r>
        <w:rPr>
          <w:rFonts w:ascii="Calibri" w:hAnsi="Calibri" w:eastAsia="宋体" w:cs="Calibri"/>
          <w:color w:val="343333"/>
          <w:kern w:val="0"/>
          <w:szCs w:val="21"/>
          <w14:ligatures w14:val="none"/>
        </w:rPr>
        <w:t>%</w:t>
      </w: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。</w:t>
      </w:r>
    </w:p>
    <w:p>
      <w:pPr>
        <w:widowControl/>
        <w:shd w:val="clear" w:color="auto" w:fill="FFFFFF"/>
        <w:spacing w:line="360" w:lineRule="atLeast"/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                       </w:t>
      </w:r>
    </w:p>
    <w:p>
      <w:pPr>
        <w:widowControl/>
        <w:shd w:val="clear" w:color="auto" w:fill="FFFFFF"/>
        <w:spacing w:line="360" w:lineRule="atLeast"/>
        <w:ind w:firstLine="4830" w:firstLineChars="2300"/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</w:pPr>
    </w:p>
    <w:p>
      <w:pPr>
        <w:widowControl/>
        <w:shd w:val="clear" w:color="auto" w:fill="FFFFFF"/>
        <w:spacing w:line="360" w:lineRule="atLeast"/>
        <w:ind w:firstLine="4830" w:firstLineChars="2300"/>
        <w:rPr>
          <w:rFonts w:hint="eastAsia" w:ascii="宋体" w:hAnsi="宋体" w:eastAsia="宋体" w:cs="宋体"/>
          <w:color w:val="343333"/>
          <w:kern w:val="0"/>
          <w:sz w:val="18"/>
          <w:szCs w:val="18"/>
          <w14:ligatures w14:val="none"/>
        </w:rPr>
      </w:pP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江西</w:t>
      </w:r>
      <w:r>
        <w:rPr>
          <w:rFonts w:hint="eastAsia" w:ascii="宋体" w:hAnsi="宋体" w:eastAsia="宋体" w:cs="宋体"/>
          <w:color w:val="343333"/>
          <w:kern w:val="0"/>
          <w:szCs w:val="21"/>
          <w:lang w:val="en-US" w:eastAsia="zh-CN"/>
          <w14:ligatures w14:val="none"/>
        </w:rPr>
        <w:t>全</w:t>
      </w:r>
      <w:r>
        <w:rPr>
          <w:rFonts w:hint="eastAsia" w:ascii="宋体" w:hAnsi="宋体" w:eastAsia="宋体" w:cs="宋体"/>
          <w:color w:val="343333"/>
          <w:kern w:val="0"/>
          <w:szCs w:val="21"/>
          <w:lang w:eastAsia="zh-CN"/>
          <w14:ligatures w14:val="none"/>
        </w:rPr>
        <w:t>南</w:t>
      </w: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农村商业银行股份有限公司</w:t>
      </w:r>
    </w:p>
    <w:p>
      <w:pPr>
        <w:widowControl/>
        <w:shd w:val="clear" w:color="auto" w:fill="FFFFFF"/>
        <w:spacing w:line="360" w:lineRule="atLeast"/>
      </w:pP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               </w:t>
      </w:r>
      <w:r>
        <w:rPr>
          <w:rFonts w:hint="eastAsia" w:ascii="宋体" w:hAnsi="宋体" w:eastAsia="宋体" w:cs="宋体"/>
          <w:color w:val="343333"/>
          <w:kern w:val="0"/>
          <w:szCs w:val="21"/>
          <w:lang w:val="en-US" w:eastAsia="zh-CN"/>
          <w14:ligatures w14:val="none"/>
        </w:rPr>
        <w:t xml:space="preserve">                           </w:t>
      </w: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202</w:t>
      </w:r>
      <w:r>
        <w:rPr>
          <w:rFonts w:hint="eastAsia" w:ascii="宋体" w:hAnsi="宋体" w:eastAsia="宋体" w:cs="宋体"/>
          <w:color w:val="343333"/>
          <w:kern w:val="0"/>
          <w:szCs w:val="21"/>
          <w:lang w:val="en-US" w:eastAsia="zh-CN"/>
          <w14:ligatures w14:val="none"/>
        </w:rPr>
        <w:t>4</w:t>
      </w: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年</w:t>
      </w:r>
      <w:r>
        <w:rPr>
          <w:rFonts w:hint="eastAsia" w:ascii="Calibri" w:hAnsi="Calibri" w:eastAsia="宋体" w:cs="Calibri"/>
          <w:color w:val="343333"/>
          <w:kern w:val="0"/>
          <w:szCs w:val="21"/>
          <w:lang w:val="en-US" w:eastAsia="zh-CN"/>
          <w14:ligatures w14:val="none"/>
        </w:rPr>
        <w:t>7</w:t>
      </w: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月</w:t>
      </w:r>
      <w:r>
        <w:rPr>
          <w:rFonts w:hint="eastAsia" w:ascii="Calibri" w:hAnsi="Calibri" w:eastAsia="宋体" w:cs="Calibri"/>
          <w:color w:val="343333"/>
          <w:kern w:val="0"/>
          <w:szCs w:val="21"/>
          <w:lang w:val="en-US" w:eastAsia="zh-CN"/>
          <w14:ligatures w14:val="none"/>
        </w:rPr>
        <w:t>9</w:t>
      </w:r>
      <w:r>
        <w:rPr>
          <w:rFonts w:hint="eastAsia" w:ascii="宋体" w:hAnsi="宋体" w:eastAsia="宋体" w:cs="宋体"/>
          <w:color w:val="343333"/>
          <w:kern w:val="0"/>
          <w:szCs w:val="21"/>
          <w14:ligatures w14:val="none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A6"/>
    <w:rsid w:val="00294B90"/>
    <w:rsid w:val="00AF75A6"/>
    <w:rsid w:val="00EC0E6C"/>
    <w:rsid w:val="00F32529"/>
    <w:rsid w:val="17A6735C"/>
    <w:rsid w:val="22231219"/>
    <w:rsid w:val="22B23BDE"/>
    <w:rsid w:val="2518434D"/>
    <w:rsid w:val="4B4E4F22"/>
    <w:rsid w:val="5D14159F"/>
    <w:rsid w:val="66466BFC"/>
    <w:rsid w:val="6712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标题 2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793</Characters>
  <Lines>6</Lines>
  <Paragraphs>1</Paragraphs>
  <TotalTime>138</TotalTime>
  <ScaleCrop>false</ScaleCrop>
  <LinksUpToDate>false</LinksUpToDate>
  <CharactersWithSpaces>931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2024-04-14T05:20:00Z</dcterms:created>
  <dc:creator>妮 徐</dc:creator>
  <cp:lastModifiedBy>LiYing</cp:lastModifiedBy>
  <dcterms:modified xsi:type="dcterms:W3CDTF">2024-07-09T06:54:12Z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