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  <w14:ligatures w14:val="none"/>
        </w:rPr>
        <w:t>全南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农商银行202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  <w14:ligatures w14:val="none"/>
        </w:rPr>
        <w:t>三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季度资本充足率信息披露</w:t>
      </w:r>
    </w:p>
    <w:p>
      <w:pPr>
        <w:widowControl/>
        <w:ind w:left="900" w:right="900"/>
        <w:jc w:val="left"/>
        <w:rPr>
          <w:rFonts w:hint="eastAsia" w:ascii="宋体" w:hAnsi="宋体" w:eastAsia="宋体" w:cs="宋体"/>
          <w:kern w:val="0"/>
          <w:sz w:val="18"/>
          <w:szCs w:val="18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pict>
          <v:rect id="_x0000_i1025" o:spt="1" style="height:1.5pt;width:0pt;" fillcolor="#EEEEEE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一、资本构成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  截至202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年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9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月末，本行的资本由核心一级资本及二级资本构成，核心一级资本由实收资本、资本公积、盈余公积、一般风险准备、未分配利润及其他综合收益构成；二级资本只有超额贷款损失准备。具体构成如下表：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                            单位：万元</w:t>
      </w:r>
    </w:p>
    <w:tbl>
      <w:tblPr>
        <w:tblStyle w:val="7"/>
        <w:tblW w:w="8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资本构成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202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lang w:val="en-US" w:eastAsia="zh-CN"/>
                <w14:ligatures w14:val="none"/>
              </w:rPr>
              <w:t>4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年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lang w:val="en-US" w:eastAsia="zh-CN"/>
                <w14:ligatures w14:val="none"/>
              </w:rPr>
              <w:t>9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1.核心一级资本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56789.48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  1.1 实收资本可计入部分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16111.26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  1.2 资本公积可计入部分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425.49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  1.3 盈余公积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7720.39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  1.4 一般风险准备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12160.37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  1.5 未分配利润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20051.47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  1.6 其他综合收益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320.5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2.核心一级资本监管扣除项目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14:ligatures w14:val="none"/>
              </w:rPr>
              <w:t>183.15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3.核心一级资本净额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56606.33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4.一级资本净额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56606.33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5.二级资本</w:t>
            </w:r>
            <w:r>
              <w:rPr>
                <w:rFonts w:ascii="Calibri" w:hAnsi="Calibri" w:eastAsia="宋体" w:cs="Calibri"/>
                <w:color w:val="343333"/>
                <w:kern w:val="0"/>
                <w:szCs w:val="21"/>
                <w:highlight w:val="none"/>
                <w14:ligatures w14:val="none"/>
              </w:rPr>
              <w:t>(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超额贷款损失准备</w:t>
            </w:r>
            <w:r>
              <w:rPr>
                <w:rFonts w:ascii="Calibri" w:hAnsi="Calibri" w:eastAsia="宋体" w:cs="Calibri"/>
                <w:color w:val="343333"/>
                <w:kern w:val="0"/>
                <w:szCs w:val="21"/>
                <w:highlight w:val="none"/>
                <w14:ligatures w14:val="none"/>
              </w:rPr>
              <w:t>)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4942.5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6.总资本净额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61548.83</w:t>
            </w:r>
          </w:p>
        </w:tc>
      </w:tr>
    </w:tbl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:highlight w:val="none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二、风险加权资产构成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:highlight w:val="none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  本行的风险加权资产由表内风</w:t>
      </w:r>
      <w:bookmarkStart w:id="0" w:name="_GoBack"/>
      <w:bookmarkEnd w:id="0"/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险加权资产、表外风险加权资产及操作风险加权资产三部份构成。202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年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三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季度，本行应用资本底线及校准后的风险加权资产合计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440105.86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万元，其中表内风险加权资产</w:t>
      </w:r>
      <w:r>
        <w:rPr>
          <w:rFonts w:hint="eastAsia" w:ascii="Calibri" w:hAnsi="Calibri" w:eastAsia="宋体" w:cs="Calibri"/>
          <w:color w:val="343333"/>
          <w:kern w:val="0"/>
          <w:szCs w:val="21"/>
          <w:highlight w:val="none"/>
          <w:lang w:val="en-US" w:eastAsia="zh-CN"/>
          <w14:ligatures w14:val="none"/>
        </w:rPr>
        <w:t>398797.63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万元，主要由存放中央银行款项、贷款、债券投资、购买同业存单、存放同业款项、长期股权投资、买入返售、应收利息、其他应收款项及固定资产净额等构成；表外风险加权资产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1545.23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万元，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主要是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风险权重</w:t>
      </w:r>
      <w:r>
        <w:rPr>
          <w:rFonts w:ascii="Calibri" w:hAnsi="Calibri" w:eastAsia="宋体" w:cs="Calibri"/>
          <w:color w:val="343333"/>
          <w:kern w:val="0"/>
          <w:szCs w:val="21"/>
          <w:highlight w:val="none"/>
          <w14:ligatures w14:val="none"/>
        </w:rPr>
        <w:t>75%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的未使用的信用卡授信额度；操作风险加权资产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39763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万元，为采用“基本指标法（以最近三年的总收入为基本指标）”计量的加权操作风险。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:highlight w:val="none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三、资本充足率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:highlight w:val="yellow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  202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年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三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季度末，本行核心一级资本充足率及一级资本充足率均为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12.86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%，资本充足率</w:t>
      </w:r>
      <w:r>
        <w:rPr>
          <w:rFonts w:ascii="Calibri" w:hAnsi="Calibri" w:eastAsia="宋体" w:cs="Calibri"/>
          <w:color w:val="343333"/>
          <w:kern w:val="0"/>
          <w:szCs w:val="21"/>
          <w:highlight w:val="none"/>
          <w14:ligatures w14:val="none"/>
        </w:rPr>
        <w:t>1</w:t>
      </w:r>
      <w:r>
        <w:rPr>
          <w:rFonts w:hint="eastAsia" w:ascii="Calibri" w:hAnsi="Calibri" w:eastAsia="宋体" w:cs="Calibri"/>
          <w:color w:val="343333"/>
          <w:kern w:val="0"/>
          <w:szCs w:val="21"/>
          <w:highlight w:val="none"/>
          <w:lang w:val="en-US" w:eastAsia="zh-CN"/>
          <w14:ligatures w14:val="none"/>
        </w:rPr>
        <w:t>3.99</w:t>
      </w:r>
      <w:r>
        <w:rPr>
          <w:rFonts w:ascii="Calibri" w:hAnsi="Calibri" w:eastAsia="宋体" w:cs="Calibri"/>
          <w:color w:val="343333"/>
          <w:kern w:val="0"/>
          <w:szCs w:val="21"/>
          <w:highlight w:val="none"/>
          <w14:ligatures w14:val="none"/>
        </w:rPr>
        <w:t>%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。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                       </w:t>
      </w:r>
    </w:p>
    <w:p>
      <w:pPr>
        <w:widowControl/>
        <w:shd w:val="clear" w:color="auto" w:fill="FFFFFF"/>
        <w:spacing w:line="360" w:lineRule="atLeast"/>
        <w:ind w:firstLine="4830" w:firstLineChars="2300"/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</w:pPr>
    </w:p>
    <w:p>
      <w:pPr>
        <w:widowControl/>
        <w:shd w:val="clear" w:color="auto" w:fill="FFFFFF"/>
        <w:spacing w:line="360" w:lineRule="atLeast"/>
        <w:ind w:firstLine="4830" w:firstLineChars="2300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江西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全</w:t>
      </w:r>
      <w:r>
        <w:rPr>
          <w:rFonts w:hint="eastAsia" w:ascii="宋体" w:hAnsi="宋体" w:eastAsia="宋体" w:cs="宋体"/>
          <w:color w:val="343333"/>
          <w:kern w:val="0"/>
          <w:szCs w:val="21"/>
          <w:lang w:eastAsia="zh-CN"/>
          <w14:ligatures w14:val="none"/>
        </w:rPr>
        <w:t>南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农村商业银行股份有限公司</w:t>
      </w:r>
    </w:p>
    <w:p>
      <w:pPr>
        <w:widowControl/>
        <w:shd w:val="clear" w:color="auto" w:fill="FFFFFF"/>
        <w:spacing w:line="360" w:lineRule="atLeast"/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               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 xml:space="preserve">                           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202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年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10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月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12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A6"/>
    <w:rsid w:val="00294B90"/>
    <w:rsid w:val="00AF75A6"/>
    <w:rsid w:val="00EC0E6C"/>
    <w:rsid w:val="00F32529"/>
    <w:rsid w:val="03273136"/>
    <w:rsid w:val="048620C0"/>
    <w:rsid w:val="17A6735C"/>
    <w:rsid w:val="22231219"/>
    <w:rsid w:val="22B23BDE"/>
    <w:rsid w:val="2518434D"/>
    <w:rsid w:val="4B4E4F22"/>
    <w:rsid w:val="5D14159F"/>
    <w:rsid w:val="66466BFC"/>
    <w:rsid w:val="67125B3A"/>
    <w:rsid w:val="78C62487"/>
    <w:rsid w:val="7985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793</Characters>
  <Lines>6</Lines>
  <Paragraphs>1</Paragraphs>
  <TotalTime>146</TotalTime>
  <ScaleCrop>false</ScaleCrop>
  <LinksUpToDate>false</LinksUpToDate>
  <CharactersWithSpaces>931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2024-04-14T05:20:00Z</dcterms:created>
  <dc:creator>妮 徐</dc:creator>
  <cp:lastModifiedBy>Win11</cp:lastModifiedBy>
  <dcterms:modified xsi:type="dcterms:W3CDTF">2024-10-12T07:03:14Z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