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全南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农商银行202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四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季度资本充足率信息披露</w:t>
      </w:r>
    </w:p>
    <w:p>
      <w:pPr>
        <w:widowControl/>
        <w:ind w:left="900" w:right="900"/>
        <w:jc w:val="left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pict>
          <v:rect id="_x0000_i1025" o:spt="1" style="height:1.5pt;width:0pt;" fillcolor="#EEEEEE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一、资本构成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 截至202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12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月末，本行的资本由核心一级资本及二级资本构成，核心一级资本由实收资本、资本公积、盈余公积、一般风险准备、未分配利润及其他综合收益构成；二级资本只有超额贷款损失准备。具体构成如下表：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                           单位：万元</w:t>
      </w:r>
    </w:p>
    <w:tbl>
      <w:tblPr>
        <w:tblStyle w:val="7"/>
        <w:tblW w:w="8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资本构成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202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lang w:val="en-US" w:eastAsia="zh-CN"/>
                <w14:ligatures w14:val="none"/>
              </w:rPr>
              <w:t>4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年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lang w:val="en-US" w:eastAsia="zh-CN"/>
                <w14:ligatures w14:val="none"/>
              </w:rPr>
              <w:t>12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1.核心一级资本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  <w:t>59651.01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1.1 实收资本可计入部分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  <w:t>16111.26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1.2 资本公积可计入部分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  <w:t>425.49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1.3 盈余公积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  <w:t>8639.76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1.4 一般风险准备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  <w:t>12170.47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1.5 未分配利润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  <w:t>21629.6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1.6 其他综合收益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  <w:t>674.43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2.核心一级资本监管扣除项目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14:ligatures w14:val="none"/>
              </w:rPr>
              <w:t>266.45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3.核心一级资本净额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  <w:t>59384.56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4.一级资本净额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  <w:t>59384.56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5.二级资本</w:t>
            </w:r>
            <w:r>
              <w:rPr>
                <w:rFonts w:ascii="Calibri" w:hAnsi="Calibri" w:eastAsia="宋体" w:cs="Calibri"/>
                <w:color w:val="343333"/>
                <w:kern w:val="0"/>
                <w:szCs w:val="21"/>
                <w14:ligatures w14:val="none"/>
              </w:rPr>
              <w:t>(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超额贷款损失准备</w:t>
            </w:r>
            <w:r>
              <w:rPr>
                <w:rFonts w:ascii="Calibri" w:hAnsi="Calibri" w:eastAsia="宋体" w:cs="Calibri"/>
                <w:color w:val="343333"/>
                <w:kern w:val="0"/>
                <w:szCs w:val="21"/>
                <w14:ligatures w14:val="none"/>
              </w:rPr>
              <w:t>)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  <w:t>5056.52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6.总资本净额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yellow"/>
                <w:lang w:val="en-US" w:eastAsia="zh-CN"/>
                <w14:ligatures w14:val="none"/>
              </w:rPr>
              <w:t>64441.08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二、风险加权资产构成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yellow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 xml:space="preserve">  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本行的风险加权资产由表内风险加权资产、表外风险加权资产及操作风险加权资产三部份构成。202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:lang w:val="en-US" w:eastAsia="zh-CN"/>
          <w14:ligatures w14:val="none"/>
        </w:rPr>
        <w:t>四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季度，本行应用资本底线及校准后的风险加权资产合计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:lang w:val="en-US" w:eastAsia="zh-CN"/>
          <w14:ligatures w14:val="none"/>
        </w:rPr>
        <w:t>452366.08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万元，其中表内风险加权资产</w:t>
      </w:r>
      <w:r>
        <w:rPr>
          <w:rFonts w:hint="eastAsia" w:ascii="Calibri" w:hAnsi="Calibri" w:eastAsia="宋体" w:cs="Calibri"/>
          <w:color w:val="343333"/>
          <w:kern w:val="0"/>
          <w:szCs w:val="21"/>
          <w:highlight w:val="yellow"/>
          <w:lang w:val="en-US" w:eastAsia="zh-CN"/>
          <w14:ligatures w14:val="none"/>
        </w:rPr>
        <w:t>408042.82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万元，主要由存放中央银行款项、贷款、债券投资、购买同业存单、存放同业款项、长期股权投资、买入返售、应收利息、其他应收款项及固定资产净额等构成；表外风险加权资产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:lang w:val="en-US" w:eastAsia="zh-CN"/>
          <w14:ligatures w14:val="none"/>
        </w:rPr>
        <w:t>1535.26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万元，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:lang w:val="en-US" w:eastAsia="zh-CN"/>
          <w14:ligatures w14:val="none"/>
        </w:rPr>
        <w:t>主要是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风险权重</w:t>
      </w:r>
      <w:r>
        <w:rPr>
          <w:rFonts w:ascii="Calibri" w:hAnsi="Calibri" w:eastAsia="宋体" w:cs="Calibri"/>
          <w:color w:val="343333"/>
          <w:kern w:val="0"/>
          <w:szCs w:val="21"/>
          <w:highlight w:val="yellow"/>
          <w14:ligatures w14:val="none"/>
        </w:rPr>
        <w:t>75%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的未使用的信用卡授信额度；操作风险加权资产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:lang w:val="en-US" w:eastAsia="zh-CN"/>
          <w14:ligatures w14:val="none"/>
        </w:rPr>
        <w:t>42788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万元，为采用“基本指标法（以最近三年的总收入为基本指标）”计量的加权操作风险。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三、资本充足率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yellow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 xml:space="preserve">  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202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:lang w:val="en-US" w:eastAsia="zh-CN"/>
          <w14:ligatures w14:val="none"/>
        </w:rPr>
        <w:t>四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季度末，本行核心一级资本充足率及一级资本充足率均为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:lang w:val="en-US" w:eastAsia="zh-CN"/>
          <w14:ligatures w14:val="none"/>
        </w:rPr>
        <w:t>13.13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%，资本充足率</w:t>
      </w:r>
      <w:r>
        <w:rPr>
          <w:rFonts w:ascii="Calibri" w:hAnsi="Calibri" w:eastAsia="宋体" w:cs="Calibri"/>
          <w:color w:val="343333"/>
          <w:kern w:val="0"/>
          <w:szCs w:val="21"/>
          <w:highlight w:val="yellow"/>
          <w14:ligatures w14:val="none"/>
        </w:rPr>
        <w:t>1</w:t>
      </w:r>
      <w:r>
        <w:rPr>
          <w:rFonts w:hint="eastAsia" w:ascii="Calibri" w:hAnsi="Calibri" w:eastAsia="宋体" w:cs="Calibri"/>
          <w:color w:val="343333"/>
          <w:kern w:val="0"/>
          <w:szCs w:val="21"/>
          <w:highlight w:val="yellow"/>
          <w:lang w:val="en-US" w:eastAsia="zh-CN"/>
          <w14:ligatures w14:val="none"/>
        </w:rPr>
        <w:t>4.25</w:t>
      </w:r>
      <w:r>
        <w:rPr>
          <w:rFonts w:ascii="Calibri" w:hAnsi="Calibri" w:eastAsia="宋体" w:cs="Calibri"/>
          <w:color w:val="343333"/>
          <w:kern w:val="0"/>
          <w:szCs w:val="21"/>
          <w:highlight w:val="yellow"/>
          <w14:ligatures w14:val="none"/>
        </w:rPr>
        <w:t>%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yellow"/>
          <w14:ligatures w14:val="none"/>
        </w:rPr>
        <w:t>。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                      </w:t>
      </w:r>
    </w:p>
    <w:p>
      <w:pPr>
        <w:widowControl/>
        <w:shd w:val="clear" w:color="auto" w:fill="FFFFFF"/>
        <w:spacing w:line="360" w:lineRule="atLeast"/>
        <w:ind w:firstLine="4830" w:firstLineChars="2300"/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</w:pPr>
    </w:p>
    <w:p>
      <w:pPr>
        <w:widowControl/>
        <w:shd w:val="clear" w:color="auto" w:fill="FFFFFF"/>
        <w:spacing w:line="360" w:lineRule="atLeast"/>
        <w:ind w:firstLine="4830" w:firstLineChars="2300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江西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全</w:t>
      </w:r>
      <w:r>
        <w:rPr>
          <w:rFonts w:hint="eastAsia" w:ascii="宋体" w:hAnsi="宋体" w:eastAsia="宋体" w:cs="宋体"/>
          <w:color w:val="343333"/>
          <w:kern w:val="0"/>
          <w:szCs w:val="21"/>
          <w:lang w:eastAsia="zh-CN"/>
          <w14:ligatures w14:val="none"/>
        </w:rPr>
        <w:t>南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农村商业银行股份有限公司</w:t>
      </w:r>
    </w:p>
    <w:p>
      <w:pPr>
        <w:widowControl/>
        <w:shd w:val="clear" w:color="auto" w:fill="FFFFFF"/>
        <w:spacing w:line="360" w:lineRule="atLeast"/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              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 xml:space="preserve">                           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202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1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月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23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A6"/>
    <w:rsid w:val="00294B90"/>
    <w:rsid w:val="00AF75A6"/>
    <w:rsid w:val="00EC0E6C"/>
    <w:rsid w:val="00F32529"/>
    <w:rsid w:val="03273136"/>
    <w:rsid w:val="048620C0"/>
    <w:rsid w:val="17A6735C"/>
    <w:rsid w:val="22231219"/>
    <w:rsid w:val="22B23BDE"/>
    <w:rsid w:val="2518434D"/>
    <w:rsid w:val="4B4E4F22"/>
    <w:rsid w:val="5D14159F"/>
    <w:rsid w:val="66466BFC"/>
    <w:rsid w:val="67125B3A"/>
    <w:rsid w:val="73334E0A"/>
    <w:rsid w:val="798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793</Characters>
  <Lines>6</Lines>
  <Paragraphs>1</Paragraphs>
  <TotalTime>154</TotalTime>
  <ScaleCrop>false</ScaleCrop>
  <LinksUpToDate>false</LinksUpToDate>
  <CharactersWithSpaces>931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2024-04-14T05:20:00Z</dcterms:created>
  <dc:creator>妮 徐</dc:creator>
  <cp:lastModifiedBy>LiYing</cp:lastModifiedBy>
  <dcterms:modified xsi:type="dcterms:W3CDTF">2025-01-23T08:53:33Z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