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outlineLvl w:val="1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  <w:highlight w:val="none"/>
          <w14:ligatures w14:val="none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highlight w:val="none"/>
          <w:lang w:val="en-US" w:eastAsia="zh-CN"/>
          <w14:ligatures w14:val="none"/>
        </w:rPr>
        <w:t>全南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highlight w:val="none"/>
          <w14:ligatures w14:val="none"/>
        </w:rPr>
        <w:t>农商银行202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highlight w:val="none"/>
          <w:lang w:val="en-US" w:eastAsia="zh-CN"/>
          <w14:ligatures w14:val="none"/>
        </w:rPr>
        <w:t>5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highlight w:val="none"/>
          <w14:ligatures w14:val="none"/>
        </w:rPr>
        <w:t>年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highlight w:val="none"/>
          <w:lang w:val="en-US" w:eastAsia="zh-CN"/>
          <w14:ligatures w14:val="none"/>
        </w:rPr>
        <w:t>一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highlight w:val="none"/>
          <w14:ligatures w14:val="none"/>
        </w:rPr>
        <w:t>季度资本充足率信息披露</w:t>
      </w:r>
    </w:p>
    <w:p>
      <w:pPr>
        <w:widowControl/>
        <w:ind w:left="900" w:right="900"/>
        <w:jc w:val="left"/>
        <w:rPr>
          <w:rFonts w:hint="eastAsia" w:ascii="宋体" w:hAnsi="宋体" w:eastAsia="宋体" w:cs="宋体"/>
          <w:kern w:val="0"/>
          <w:sz w:val="18"/>
          <w:szCs w:val="18"/>
          <w:highlight w:val="none"/>
          <w14:ligatures w14:val="none"/>
        </w:rPr>
      </w:pPr>
      <w:r>
        <w:rPr>
          <w:rFonts w:ascii="宋体" w:hAnsi="宋体" w:eastAsia="宋体" w:cs="宋体"/>
          <w:kern w:val="0"/>
          <w:sz w:val="24"/>
          <w:szCs w:val="24"/>
          <w:highlight w:val="none"/>
          <w14:ligatures w14:val="none"/>
        </w:rPr>
        <w:pict>
          <v:rect id="_x0000_i1025" o:spt="1" style="height:1.5pt;width:0pt;" fillcolor="#EEEEEE" filled="t" stroked="f" coordsize="21600,21600" o:hr="t" o:hrstd="t" o:hrnoshade="t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widowControl/>
        <w:shd w:val="clear" w:color="auto" w:fill="FFFFFF"/>
        <w:spacing w:line="360" w:lineRule="atLeast"/>
        <w:rPr>
          <w:rFonts w:hint="eastAsia" w:ascii="宋体" w:hAnsi="宋体" w:eastAsia="宋体" w:cs="宋体"/>
          <w:color w:val="343333"/>
          <w:kern w:val="0"/>
          <w:sz w:val="18"/>
          <w:szCs w:val="18"/>
          <w:highlight w:val="none"/>
          <w14:ligatures w14:val="none"/>
        </w:rPr>
      </w:pP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一、资本构成</w:t>
      </w:r>
    </w:p>
    <w:p>
      <w:pPr>
        <w:widowControl/>
        <w:shd w:val="clear" w:color="auto" w:fill="FFFFFF"/>
        <w:spacing w:line="360" w:lineRule="atLeast"/>
        <w:rPr>
          <w:rFonts w:hint="eastAsia" w:ascii="宋体" w:hAnsi="宋体" w:eastAsia="宋体" w:cs="宋体"/>
          <w:color w:val="343333"/>
          <w:kern w:val="0"/>
          <w:sz w:val="18"/>
          <w:szCs w:val="18"/>
          <w:highlight w:val="none"/>
          <w14:ligatures w14:val="none"/>
        </w:rPr>
      </w:pP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  截至202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:lang w:val="en-US" w:eastAsia="zh-CN"/>
          <w14:ligatures w14:val="none"/>
        </w:rPr>
        <w:t>5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年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:lang w:val="en-US" w:eastAsia="zh-CN"/>
          <w14:ligatures w14:val="none"/>
        </w:rPr>
        <w:t>3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月末，本行的资本由核心一级资本及二级资本构成，核心一级资本由实收资本、资本公积、盈余公积、一般风险准备、未分配利润及其他综合收益构成；二级资本只有超额贷款损失准备。具体构成如下表：</w:t>
      </w:r>
    </w:p>
    <w:p>
      <w:pPr>
        <w:widowControl/>
        <w:shd w:val="clear" w:color="auto" w:fill="FFFFFF"/>
        <w:spacing w:line="360" w:lineRule="atLeast"/>
        <w:rPr>
          <w:rFonts w:hint="eastAsia" w:ascii="宋体" w:hAnsi="宋体" w:eastAsia="宋体" w:cs="宋体"/>
          <w:color w:val="343333"/>
          <w:kern w:val="0"/>
          <w:sz w:val="18"/>
          <w:szCs w:val="18"/>
          <w:highlight w:val="none"/>
          <w14:ligatures w14:val="none"/>
        </w:rPr>
      </w:pP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                            单位：万元</w:t>
      </w:r>
    </w:p>
    <w:tbl>
      <w:tblPr>
        <w:tblStyle w:val="7"/>
        <w:tblW w:w="80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0"/>
        <w:gridCol w:w="3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343333"/>
                <w:kern w:val="0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Cs w:val="21"/>
                <w:highlight w:val="none"/>
                <w14:ligatures w14:val="none"/>
              </w:rPr>
              <w:t>资本构成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343333"/>
                <w:kern w:val="0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Cs w:val="21"/>
                <w:highlight w:val="none"/>
                <w14:ligatures w14:val="none"/>
              </w:rPr>
              <w:t>202</w:t>
            </w:r>
            <w:r>
              <w:rPr>
                <w:rFonts w:hint="eastAsia" w:ascii="宋体" w:hAnsi="宋体" w:eastAsia="宋体" w:cs="宋体"/>
                <w:color w:val="343333"/>
                <w:kern w:val="0"/>
                <w:szCs w:val="21"/>
                <w:highlight w:val="none"/>
                <w:lang w:val="en-US" w:eastAsia="zh-CN"/>
                <w14:ligatures w14:val="none"/>
              </w:rPr>
              <w:t>5</w:t>
            </w:r>
            <w:r>
              <w:rPr>
                <w:rFonts w:hint="eastAsia" w:ascii="宋体" w:hAnsi="宋体" w:eastAsia="宋体" w:cs="宋体"/>
                <w:color w:val="343333"/>
                <w:kern w:val="0"/>
                <w:szCs w:val="21"/>
                <w:highlight w:val="none"/>
                <w14:ligatures w14:val="none"/>
              </w:rPr>
              <w:t>年</w:t>
            </w:r>
            <w:r>
              <w:rPr>
                <w:rFonts w:hint="eastAsia" w:ascii="宋体" w:hAnsi="宋体" w:eastAsia="宋体" w:cs="宋体"/>
                <w:color w:val="343333"/>
                <w:kern w:val="0"/>
                <w:szCs w:val="21"/>
                <w:highlight w:val="none"/>
                <w:lang w:val="en-US" w:eastAsia="zh-CN"/>
                <w14:ligatures w14:val="none"/>
              </w:rPr>
              <w:t>3</w:t>
            </w:r>
            <w:r>
              <w:rPr>
                <w:rFonts w:hint="eastAsia" w:ascii="宋体" w:hAnsi="宋体" w:eastAsia="宋体" w:cs="宋体"/>
                <w:color w:val="343333"/>
                <w:kern w:val="0"/>
                <w:szCs w:val="21"/>
                <w:highlight w:val="none"/>
                <w14:ligatures w14:val="none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43333"/>
                <w:kern w:val="0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Cs w:val="21"/>
                <w:highlight w:val="none"/>
                <w14:ligatures w14:val="none"/>
              </w:rPr>
              <w:t>   1.核心一级资本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63970.81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43333"/>
                <w:kern w:val="0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Cs w:val="21"/>
                <w:highlight w:val="none"/>
                <w14:ligatures w14:val="none"/>
              </w:rPr>
              <w:t>     1.1 实收资本可计入部分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16111.26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43333"/>
                <w:kern w:val="0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Cs w:val="21"/>
                <w:highlight w:val="none"/>
                <w14:ligatures w14:val="none"/>
              </w:rPr>
              <w:t>     1.2 资本公积可计入部分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425.49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43333"/>
                <w:kern w:val="0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Cs w:val="21"/>
                <w:highlight w:val="none"/>
                <w14:ligatures w14:val="none"/>
              </w:rPr>
              <w:t>     1.3 盈余公积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8639.76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43333"/>
                <w:kern w:val="0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Cs w:val="21"/>
                <w:highlight w:val="none"/>
                <w14:ligatures w14:val="none"/>
              </w:rPr>
              <w:t>     1.4 一般风险准备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12170.47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43333"/>
                <w:kern w:val="0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Cs w:val="21"/>
                <w:highlight w:val="none"/>
                <w14:ligatures w14:val="none"/>
              </w:rPr>
              <w:t>     1.5 未分配利润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26363.17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43333"/>
                <w:kern w:val="0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Cs w:val="21"/>
                <w:highlight w:val="none"/>
                <w14:ligatures w14:val="none"/>
              </w:rPr>
              <w:t>     1.6 其他综合收益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260.66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43333"/>
                <w:kern w:val="0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Cs w:val="21"/>
                <w:highlight w:val="none"/>
                <w14:ligatures w14:val="none"/>
              </w:rPr>
              <w:t>   2.核心一级资本监管扣除项目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14:ligatures w14:val="none"/>
              </w:rPr>
              <w:t>4884.28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43333"/>
                <w:kern w:val="0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Cs w:val="21"/>
                <w:highlight w:val="none"/>
                <w14:ligatures w14:val="none"/>
              </w:rPr>
              <w:t>   3.核心一级资本净额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59086.53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43333"/>
                <w:kern w:val="0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Cs w:val="21"/>
                <w:highlight w:val="none"/>
                <w14:ligatures w14:val="none"/>
              </w:rPr>
              <w:t>   4.一级资本净额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59086.53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43333"/>
                <w:kern w:val="0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Cs w:val="21"/>
                <w:highlight w:val="none"/>
                <w14:ligatures w14:val="none"/>
              </w:rPr>
              <w:t>   5.</w:t>
            </w:r>
            <w:r>
              <w:rPr>
                <w:rFonts w:hint="eastAsia" w:ascii="宋体" w:hAnsi="宋体" w:eastAsia="宋体" w:cs="宋体"/>
                <w:color w:val="343333"/>
                <w:kern w:val="0"/>
                <w:szCs w:val="21"/>
                <w:highlight w:val="none"/>
                <w:lang w:val="en-US" w:eastAsia="zh-CN"/>
                <w14:ligatures w14:val="none"/>
              </w:rPr>
              <w:t>其他</w:t>
            </w:r>
            <w:r>
              <w:rPr>
                <w:rFonts w:hint="eastAsia" w:ascii="宋体" w:hAnsi="宋体" w:eastAsia="宋体" w:cs="宋体"/>
                <w:color w:val="343333"/>
                <w:kern w:val="0"/>
                <w:szCs w:val="21"/>
                <w:highlight w:val="none"/>
                <w14:ligatures w14:val="none"/>
              </w:rPr>
              <w:t>资本</w:t>
            </w:r>
            <w:r>
              <w:rPr>
                <w:rFonts w:ascii="Calibri" w:hAnsi="Calibri" w:eastAsia="宋体" w:cs="Calibri"/>
                <w:color w:val="343333"/>
                <w:kern w:val="0"/>
                <w:szCs w:val="21"/>
                <w:highlight w:val="none"/>
                <w14:ligatures w14:val="none"/>
              </w:rPr>
              <w:t>(</w:t>
            </w:r>
            <w:r>
              <w:rPr>
                <w:rFonts w:hint="eastAsia" w:ascii="宋体" w:hAnsi="宋体" w:eastAsia="宋体" w:cs="宋体"/>
                <w:color w:val="343333"/>
                <w:kern w:val="0"/>
                <w:szCs w:val="21"/>
                <w:highlight w:val="none"/>
                <w14:ligatures w14:val="none"/>
              </w:rPr>
              <w:t>超额贷款损失准备</w:t>
            </w:r>
            <w:r>
              <w:rPr>
                <w:rFonts w:ascii="Calibri" w:hAnsi="Calibri" w:eastAsia="宋体" w:cs="Calibri"/>
                <w:color w:val="343333"/>
                <w:kern w:val="0"/>
                <w:szCs w:val="21"/>
                <w:highlight w:val="none"/>
                <w14:ligatures w14:val="none"/>
              </w:rPr>
              <w:t>)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30465.39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43333"/>
                <w:kern w:val="0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Cs w:val="21"/>
                <w:highlight w:val="none"/>
                <w14:ligatures w14:val="none"/>
              </w:rPr>
              <w:t>   6.总资本净额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89551.92</w:t>
            </w:r>
          </w:p>
        </w:tc>
      </w:tr>
    </w:tbl>
    <w:p>
      <w:pPr>
        <w:widowControl/>
        <w:shd w:val="clear" w:color="auto" w:fill="FFFFFF"/>
        <w:spacing w:line="360" w:lineRule="atLeast"/>
        <w:rPr>
          <w:rFonts w:hint="eastAsia" w:ascii="宋体" w:hAnsi="宋体" w:eastAsia="宋体" w:cs="宋体"/>
          <w:color w:val="343333"/>
          <w:kern w:val="0"/>
          <w:sz w:val="18"/>
          <w:szCs w:val="18"/>
          <w:highlight w:val="none"/>
          <w14:ligatures w14:val="none"/>
        </w:rPr>
      </w:pP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二、风险加权资产构成</w:t>
      </w:r>
    </w:p>
    <w:p>
      <w:pPr>
        <w:widowControl/>
        <w:shd w:val="clear" w:color="auto" w:fill="FFFFFF"/>
        <w:spacing w:line="360" w:lineRule="atLeast"/>
        <w:rPr>
          <w:rFonts w:hint="eastAsia" w:ascii="宋体" w:hAnsi="宋体" w:eastAsia="宋体" w:cs="宋体"/>
          <w:color w:val="343333"/>
          <w:kern w:val="0"/>
          <w:sz w:val="18"/>
          <w:szCs w:val="18"/>
          <w:highlight w:val="none"/>
          <w14:ligatures w14:val="none"/>
        </w:rPr>
      </w:pP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 xml:space="preserve">  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本行的风险加权资产由表内风险加权资产、表外风险加权资产及操作风险加权资产三部份构成。202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:lang w:val="en-US" w:eastAsia="zh-CN"/>
          <w14:ligatures w14:val="none"/>
        </w:rPr>
        <w:t>5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年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:lang w:val="en-US" w:eastAsia="zh-CN"/>
          <w14:ligatures w14:val="none"/>
        </w:rPr>
        <w:t>一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季度，本行应用资本底线及校准后的风险加权资产合计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:lang w:val="en-US" w:eastAsia="zh-CN"/>
          <w14:ligatures w14:val="none"/>
        </w:rPr>
        <w:t>447084.41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万元，其中表内风险加权资产</w:t>
      </w:r>
      <w:r>
        <w:rPr>
          <w:rFonts w:hint="eastAsia" w:ascii="Calibri" w:hAnsi="Calibri" w:eastAsia="宋体" w:cs="Calibri"/>
          <w:color w:val="343333"/>
          <w:kern w:val="0"/>
          <w:szCs w:val="21"/>
          <w:highlight w:val="none"/>
          <w:lang w:val="en-US" w:eastAsia="zh-CN"/>
          <w14:ligatures w14:val="none"/>
        </w:rPr>
        <w:t>402529.93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万元，主要由存放中央银行款项、贷款、债券投资、购买同业存单、存放同业款项、长期股权投资、买入返售、应收利息、其他应收款项及固定资产净额等构成；表外风险加权资产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:lang w:val="en-US" w:eastAsia="zh-CN"/>
          <w14:ligatures w14:val="none"/>
        </w:rPr>
        <w:t>1761.98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万元，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:lang w:val="en-US" w:eastAsia="zh-CN"/>
          <w14:ligatures w14:val="none"/>
        </w:rPr>
        <w:t>主要是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风险权重</w:t>
      </w:r>
      <w:r>
        <w:rPr>
          <w:rFonts w:ascii="Calibri" w:hAnsi="Calibri" w:eastAsia="宋体" w:cs="Calibri"/>
          <w:color w:val="343333"/>
          <w:kern w:val="0"/>
          <w:szCs w:val="21"/>
          <w:highlight w:val="none"/>
          <w14:ligatures w14:val="none"/>
        </w:rPr>
        <w:t>75%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的未使用的信用卡授信额度；操作风险加权资产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:lang w:val="en-US" w:eastAsia="zh-CN"/>
          <w14:ligatures w14:val="none"/>
        </w:rPr>
        <w:t>42792.5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万元，为采用“基本指标法（以最近三年的总收入为基本指标）”计量的加权操作风险。</w:t>
      </w:r>
    </w:p>
    <w:p>
      <w:pPr>
        <w:widowControl/>
        <w:shd w:val="clear" w:color="auto" w:fill="FFFFFF"/>
        <w:spacing w:line="360" w:lineRule="atLeast"/>
        <w:rPr>
          <w:rFonts w:hint="eastAsia" w:ascii="宋体" w:hAnsi="宋体" w:eastAsia="宋体" w:cs="宋体"/>
          <w:color w:val="343333"/>
          <w:kern w:val="0"/>
          <w:sz w:val="18"/>
          <w:szCs w:val="18"/>
          <w:highlight w:val="none"/>
          <w14:ligatures w14:val="none"/>
        </w:rPr>
      </w:pP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三、资本充足率</w:t>
      </w:r>
    </w:p>
    <w:p>
      <w:pPr>
        <w:widowControl/>
        <w:shd w:val="clear" w:color="auto" w:fill="FFFFFF"/>
        <w:spacing w:line="360" w:lineRule="atLeast"/>
        <w:rPr>
          <w:rFonts w:hint="eastAsia" w:ascii="宋体" w:hAnsi="宋体" w:eastAsia="宋体" w:cs="宋体"/>
          <w:color w:val="343333"/>
          <w:kern w:val="0"/>
          <w:sz w:val="18"/>
          <w:szCs w:val="18"/>
          <w:highlight w:val="none"/>
          <w14:ligatures w14:val="none"/>
        </w:rPr>
      </w:pP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 xml:space="preserve">  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202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:lang w:val="en-US" w:eastAsia="zh-CN"/>
          <w14:ligatures w14:val="none"/>
        </w:rPr>
        <w:t>5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年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:lang w:val="en-US" w:eastAsia="zh-CN"/>
          <w14:ligatures w14:val="none"/>
        </w:rPr>
        <w:t>一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季度末，本行核心一级资本充足率及一级资本充足率均为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:lang w:val="en-US" w:eastAsia="zh-CN"/>
          <w14:ligatures w14:val="none"/>
        </w:rPr>
        <w:t>13.22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%，资本充足率</w:t>
      </w:r>
      <w:r>
        <w:rPr>
          <w:rFonts w:hint="eastAsia" w:ascii="Calibri" w:hAnsi="Calibri" w:eastAsia="宋体" w:cs="Calibri"/>
          <w:color w:val="343333"/>
          <w:kern w:val="0"/>
          <w:szCs w:val="21"/>
          <w:highlight w:val="none"/>
          <w:lang w:val="en-US" w:eastAsia="zh-CN"/>
          <w14:ligatures w14:val="none"/>
        </w:rPr>
        <w:t>20.03</w:t>
      </w:r>
      <w:r>
        <w:rPr>
          <w:rFonts w:ascii="Calibri" w:hAnsi="Calibri" w:eastAsia="宋体" w:cs="Calibri"/>
          <w:color w:val="343333"/>
          <w:kern w:val="0"/>
          <w:szCs w:val="21"/>
          <w:highlight w:val="none"/>
          <w14:ligatures w14:val="none"/>
        </w:rPr>
        <w:t>%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。</w:t>
      </w:r>
    </w:p>
    <w:p>
      <w:pPr>
        <w:widowControl/>
        <w:shd w:val="clear" w:color="auto" w:fill="FFFFFF"/>
        <w:spacing w:line="360" w:lineRule="atLeast"/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</w:pP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                       </w:t>
      </w:r>
    </w:p>
    <w:p>
      <w:pPr>
        <w:widowControl/>
        <w:shd w:val="clear" w:color="auto" w:fill="FFFFFF"/>
        <w:spacing w:line="360" w:lineRule="atLeast"/>
        <w:ind w:firstLine="4830" w:firstLineChars="2300"/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</w:pPr>
    </w:p>
    <w:p>
      <w:pPr>
        <w:widowControl/>
        <w:shd w:val="clear" w:color="auto" w:fill="FFFFFF"/>
        <w:spacing w:line="360" w:lineRule="atLeast"/>
        <w:ind w:firstLine="4830" w:firstLineChars="2300"/>
        <w:rPr>
          <w:rFonts w:hint="eastAsia" w:ascii="宋体" w:hAnsi="宋体" w:eastAsia="宋体" w:cs="宋体"/>
          <w:color w:val="343333"/>
          <w:kern w:val="0"/>
          <w:sz w:val="18"/>
          <w:szCs w:val="18"/>
          <w:highlight w:val="none"/>
          <w14:ligatures w14:val="none"/>
        </w:rPr>
      </w:pP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江西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:lang w:val="en-US" w:eastAsia="zh-CN"/>
          <w14:ligatures w14:val="none"/>
        </w:rPr>
        <w:t>全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:lang w:eastAsia="zh-CN"/>
          <w14:ligatures w14:val="none"/>
        </w:rPr>
        <w:t>南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农村商业银行股份有限公司</w:t>
      </w:r>
    </w:p>
    <w:p>
      <w:pPr>
        <w:widowControl/>
        <w:shd w:val="clear" w:color="auto" w:fill="FFFFFF"/>
        <w:spacing w:line="360" w:lineRule="atLeast"/>
        <w:rPr>
          <w:highlight w:val="none"/>
        </w:rPr>
      </w:pP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               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:lang w:val="en-US" w:eastAsia="zh-CN"/>
          <w14:ligatures w14:val="none"/>
        </w:rPr>
        <w:t xml:space="preserve">                           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202</w:t>
      </w:r>
      <w:bookmarkStart w:id="0" w:name="_GoBack"/>
      <w:bookmarkEnd w:id="0"/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:lang w:val="en-US" w:eastAsia="zh-CN"/>
          <w14:ligatures w14:val="none"/>
        </w:rPr>
        <w:t>5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年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:lang w:val="en-US" w:eastAsia="zh-CN"/>
          <w14:ligatures w14:val="none"/>
        </w:rPr>
        <w:t>4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月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:lang w:val="en-US" w:eastAsia="zh-CN"/>
          <w14:ligatures w14:val="none"/>
        </w:rPr>
        <w:t>15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5A6"/>
    <w:rsid w:val="00294B90"/>
    <w:rsid w:val="00AF75A6"/>
    <w:rsid w:val="00EC0E6C"/>
    <w:rsid w:val="00F32529"/>
    <w:rsid w:val="03273136"/>
    <w:rsid w:val="048620C0"/>
    <w:rsid w:val="17A6735C"/>
    <w:rsid w:val="22231219"/>
    <w:rsid w:val="22B23BDE"/>
    <w:rsid w:val="2518434D"/>
    <w:rsid w:val="4B4E4F22"/>
    <w:rsid w:val="4D777206"/>
    <w:rsid w:val="5D14159F"/>
    <w:rsid w:val="66466BFC"/>
    <w:rsid w:val="67125B3A"/>
    <w:rsid w:val="6C111E75"/>
    <w:rsid w:val="726456E7"/>
    <w:rsid w:val="73334E0A"/>
    <w:rsid w:val="73591AB5"/>
    <w:rsid w:val="7985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标题 2 字符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139</Words>
  <Characters>793</Characters>
  <Lines>6</Lines>
  <Paragraphs>1</Paragraphs>
  <TotalTime>161</TotalTime>
  <ScaleCrop>false</ScaleCrop>
  <LinksUpToDate>false</LinksUpToDate>
  <CharactersWithSpaces>931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2024-04-14T05:20:00Z</dcterms:created>
  <dc:creator>妮 徐</dc:creator>
  <cp:lastModifiedBy>LiYing</cp:lastModifiedBy>
  <dcterms:modified xsi:type="dcterms:W3CDTF">2025-04-27T08:49:54Z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