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highlight w:val="none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  <w:lang w:val="en-US" w:eastAsia="zh-CN"/>
          <w14:ligatures w14:val="none"/>
        </w:rPr>
        <w:t>全南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  <w14:ligatures w14:val="none"/>
        </w:rPr>
        <w:t>农商银行202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  <w14:ligatures w14:val="none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  <w:lang w:val="en-US" w:eastAsia="zh-CN"/>
          <w14:ligatures w14:val="none"/>
        </w:rPr>
        <w:t>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  <w14:ligatures w14:val="none"/>
        </w:rPr>
        <w:t>季度资本充足率信息披露</w:t>
      </w:r>
    </w:p>
    <w:p>
      <w:pPr>
        <w:widowControl/>
        <w:ind w:left="900" w:right="900"/>
        <w:jc w:val="left"/>
        <w:rPr>
          <w:rFonts w:hint="eastAsia" w:ascii="宋体" w:hAnsi="宋体" w:eastAsia="宋体" w:cs="宋体"/>
          <w:kern w:val="0"/>
          <w:sz w:val="18"/>
          <w:szCs w:val="18"/>
          <w:highlight w:val="none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  <w14:ligatures w14:val="none"/>
        </w:rPr>
        <w:pict>
          <v:rect id="_x0000_i1025" o:spt="1" style="height:1.5pt;width:0pt;" fillcolor="#EEEEEE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一、资本构成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  截至202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6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月末，本行的资本由核心一级资本及二级资本构成，核心一级资本由实收资本、资本公积、盈余公积、一般风险准备、未分配利润及其他综合收益构成；二级资本只有超额贷款损失准备。具体构成如下表：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                            单位：万元</w:t>
      </w:r>
    </w:p>
    <w:tbl>
      <w:tblPr>
        <w:tblStyle w:val="7"/>
        <w:tblW w:w="8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资本构成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202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年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:lang w:val="en-US" w:eastAsia="zh-CN"/>
                <w14:ligatures w14:val="none"/>
              </w:rPr>
              <w:t>6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1.核心一级资本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64401.52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1.1 实收资本可计入部分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16111.26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1.2 资本公积可计入部分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425.49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1.3 盈余公积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8639.76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1.4 一般风险准备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12170.47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1.5 未分配利润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26778.89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  1.6 其他综合收益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275.65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2.核心一级资本监管扣除项目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14:ligatures w14:val="none"/>
              </w:rPr>
              <w:t>4832.21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3.核心一级资本净额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59569.31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4.一级资本净额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59569.31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5.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:lang w:val="en-US" w:eastAsia="zh-CN"/>
                <w14:ligatures w14:val="none"/>
              </w:rPr>
              <w:t>其他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资本</w:t>
            </w:r>
            <w:r>
              <w:rPr>
                <w:rFonts w:ascii="Calibri" w:hAnsi="Calibri" w:eastAsia="宋体" w:cs="Calibri"/>
                <w:color w:val="343333"/>
                <w:kern w:val="0"/>
                <w:szCs w:val="21"/>
                <w:highlight w:val="none"/>
                <w14:ligatures w14:val="none"/>
              </w:rPr>
              <w:t>(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超额贷款损失准备</w:t>
            </w:r>
            <w:r>
              <w:rPr>
                <w:rFonts w:ascii="Calibri" w:hAnsi="Calibri" w:eastAsia="宋体" w:cs="Calibri"/>
                <w:color w:val="343333"/>
                <w:kern w:val="0"/>
                <w:szCs w:val="21"/>
                <w:highlight w:val="none"/>
                <w14:ligatures w14:val="none"/>
              </w:rPr>
              <w:t>)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34820.41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highlight w:val="none"/>
                <w14:ligatures w14:val="none"/>
              </w:rPr>
              <w:t>   6.总资本净额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94389.72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二、风险加权资产构成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  本行的风险加权资产由表内风险加权资产、表外风险加权资产及操作风险加权资产三部份构成。202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二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季度，本行应用资本底线及校准后的风险加权资产合计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455240.49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万元，其中表内风险加权资产</w:t>
      </w:r>
      <w:r>
        <w:rPr>
          <w:rFonts w:hint="eastAsia" w:ascii="Calibri" w:hAnsi="Calibri" w:eastAsia="宋体" w:cs="Calibri"/>
          <w:color w:val="343333"/>
          <w:kern w:val="0"/>
          <w:szCs w:val="21"/>
          <w:highlight w:val="none"/>
          <w:lang w:val="en-US" w:eastAsia="zh-CN"/>
          <w14:ligatures w14:val="none"/>
        </w:rPr>
        <w:t>411063.85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万元，主要由存放中央银行款项、贷款、债券投资、购买同业存单、存放同业款项、长期股权投资、买入返售、应收利息、其他应收款项及固定资产净额等构成；表外风险加权资产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1388.64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万元，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主要是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风险权重</w:t>
      </w:r>
      <w:r>
        <w:rPr>
          <w:rFonts w:ascii="Calibri" w:hAnsi="Calibri" w:eastAsia="宋体" w:cs="Calibri"/>
          <w:color w:val="343333"/>
          <w:kern w:val="0"/>
          <w:szCs w:val="21"/>
          <w:highlight w:val="none"/>
          <w14:ligatures w14:val="none"/>
        </w:rPr>
        <w:t>75%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的未使用的信用卡授信额度；操作风险加权资产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42788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万元，为采用“基本指标法（以最近三年的总收入为基本指标）”计量的加权操作风险。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三、资本充足率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  202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二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季度末，本行核心一级资本充足率及一级资本充足率均为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13.09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%，资本充足率</w:t>
      </w:r>
      <w:r>
        <w:rPr>
          <w:rFonts w:hint="eastAsia" w:ascii="Calibri" w:hAnsi="Calibri" w:eastAsia="宋体" w:cs="Calibri"/>
          <w:color w:val="343333"/>
          <w:kern w:val="0"/>
          <w:szCs w:val="21"/>
          <w:highlight w:val="none"/>
          <w:lang w:val="en-US" w:eastAsia="zh-CN"/>
          <w14:ligatures w14:val="none"/>
        </w:rPr>
        <w:t>20.73</w:t>
      </w:r>
      <w:r>
        <w:rPr>
          <w:rFonts w:ascii="Calibri" w:hAnsi="Calibri" w:eastAsia="宋体" w:cs="Calibri"/>
          <w:color w:val="343333"/>
          <w:kern w:val="0"/>
          <w:szCs w:val="21"/>
          <w:highlight w:val="none"/>
          <w14:ligatures w14:val="none"/>
        </w:rPr>
        <w:t>%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。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 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       </w:t>
      </w:r>
    </w:p>
    <w:p>
      <w:pPr>
        <w:widowControl/>
        <w:shd w:val="clear" w:color="auto" w:fill="FFFFFF"/>
        <w:spacing w:line="360" w:lineRule="atLeast"/>
        <w:ind w:firstLine="4830" w:firstLineChars="2300"/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</w:pPr>
    </w:p>
    <w:p>
      <w:pPr>
        <w:widowControl/>
        <w:shd w:val="clear" w:color="auto" w:fill="FFFFFF"/>
        <w:spacing w:line="360" w:lineRule="atLeast"/>
        <w:ind w:firstLine="4830" w:firstLineChars="2300"/>
        <w:rPr>
          <w:rFonts w:hint="eastAsia" w:ascii="宋体" w:hAnsi="宋体" w:eastAsia="宋体" w:cs="宋体"/>
          <w:color w:val="343333"/>
          <w:kern w:val="0"/>
          <w:sz w:val="18"/>
          <w:szCs w:val="18"/>
          <w:highlight w:val="none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江西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全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eastAsia="zh-CN"/>
          <w14:ligatures w14:val="none"/>
        </w:rPr>
        <w:t>南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农村商业银行股份有限公司</w:t>
      </w:r>
    </w:p>
    <w:p>
      <w:pPr>
        <w:widowControl/>
        <w:shd w:val="clear" w:color="auto" w:fill="FFFFFF"/>
        <w:spacing w:line="360" w:lineRule="atLeast"/>
        <w:rPr>
          <w:highlight w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               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 xml:space="preserve">                           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202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7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月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:lang w:val="en-US" w:eastAsia="zh-CN"/>
          <w14:ligatures w14:val="none"/>
        </w:rPr>
        <w:t>22</w:t>
      </w:r>
      <w:r>
        <w:rPr>
          <w:rFonts w:hint="eastAsia" w:ascii="宋体" w:hAnsi="宋体" w:eastAsia="宋体" w:cs="宋体"/>
          <w:color w:val="343333"/>
          <w:kern w:val="0"/>
          <w:szCs w:val="21"/>
          <w:highlight w:val="none"/>
          <w14:ligatures w14:val="none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A6"/>
    <w:rsid w:val="00294B90"/>
    <w:rsid w:val="00AF75A6"/>
    <w:rsid w:val="00EC0E6C"/>
    <w:rsid w:val="00F32529"/>
    <w:rsid w:val="03273136"/>
    <w:rsid w:val="048620C0"/>
    <w:rsid w:val="17A6735C"/>
    <w:rsid w:val="22231219"/>
    <w:rsid w:val="22B23BDE"/>
    <w:rsid w:val="2518434D"/>
    <w:rsid w:val="4B4E4F22"/>
    <w:rsid w:val="4D777206"/>
    <w:rsid w:val="5D14159F"/>
    <w:rsid w:val="66466BFC"/>
    <w:rsid w:val="67125B3A"/>
    <w:rsid w:val="6C111E75"/>
    <w:rsid w:val="726456E7"/>
    <w:rsid w:val="73334E0A"/>
    <w:rsid w:val="73591AB5"/>
    <w:rsid w:val="7985603A"/>
    <w:rsid w:val="7F4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793</Characters>
  <Lines>6</Lines>
  <Paragraphs>1</Paragraphs>
  <TotalTime>177</TotalTime>
  <ScaleCrop>false</ScaleCrop>
  <LinksUpToDate>false</LinksUpToDate>
  <CharactersWithSpaces>931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2024-04-14T05:20:00Z</dcterms:created>
  <dc:creator>妮 徐</dc:creator>
  <cp:lastModifiedBy>LiYing</cp:lastModifiedBy>
  <dcterms:modified xsi:type="dcterms:W3CDTF">2025-07-22T03:37:11Z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