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全南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农商银行202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季度资本充足率信息披露</w:t>
      </w:r>
    </w:p>
    <w:p>
      <w:pPr>
        <w:widowControl/>
        <w:ind w:left="900" w:right="900"/>
        <w:jc w:val="left"/>
        <w:rPr>
          <w:rFonts w:hint="eastAsia" w:ascii="宋体" w:hAnsi="宋体" w:eastAsia="宋体" w:cs="宋体"/>
          <w:kern w:val="0"/>
          <w:sz w:val="18"/>
          <w:szCs w:val="18"/>
          <w:highlight w:val="none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14:ligatures w14:val="none"/>
        </w:rPr>
        <w:pict>
          <v:rect id="_x0000_i1025" o:spt="1" style="height:1.5pt;width:0pt;" fillcolor="#EEEEEE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一、资本构成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 截至202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9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月末，本行的资本由核心一级资本及二级资本构成，核心一级资本由实收资本、资本公积、盈余公积、一般风险准备、未分配利润及其他综合收益构成；二级资本只有超额贷款损失准备。具体构成如下表：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     单位：万元</w:t>
      </w:r>
    </w:p>
    <w:tbl>
      <w:tblPr>
        <w:tblStyle w:val="7"/>
        <w:tblW w:w="8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资本构成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202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1.核心一级资本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65998.31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1.1 实收资本可计入部分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16111.26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1.2 资本公积可计入部分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425.49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1.3 盈余公积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91"/>
                <w:tab w:val="center" w:pos="1929"/>
              </w:tabs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ab/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ab/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8639.76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1.4 一般风险准备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12170.47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1.5 未分配利润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27704.60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1.6 其他综合收益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946.73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2.核心一级资本监管扣除项目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4810.13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3.核心一级资本净额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61188.18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4.一级资本净额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61188.18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5.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其他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资本</w:t>
            </w:r>
            <w:r>
              <w:rPr>
                <w:rFonts w:ascii="Calibri" w:hAnsi="Calibri" w:eastAsia="宋体" w:cs="Calibri"/>
                <w:color w:val="343333"/>
                <w:kern w:val="0"/>
                <w:szCs w:val="21"/>
                <w:highlight w:val="none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超额贷款损失准备</w:t>
            </w:r>
            <w:r>
              <w:rPr>
                <w:rFonts w:ascii="Calibri" w:hAnsi="Calibri" w:eastAsia="宋体" w:cs="Calibri"/>
                <w:color w:val="343333"/>
                <w:kern w:val="0"/>
                <w:szCs w:val="21"/>
                <w:highlight w:val="none"/>
                <w14:ligatures w14:val="none"/>
              </w:rPr>
              <w:t>)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32554.25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6.总资本净额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93742.43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二、风险加权资产构成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 本行的风险加权资产由表内风险加权资产、表外风险加权资产及操作风险加权资产三部份构成。202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三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季度，本行应用资本底线及校准后的风险加权资产合计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418677.93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万元，其中表内风险加权资产</w:t>
      </w:r>
      <w:r>
        <w:rPr>
          <w:rFonts w:hint="eastAsia" w:ascii="Calibri" w:hAnsi="Calibri" w:eastAsia="宋体" w:cs="Calibri"/>
          <w:color w:val="343333"/>
          <w:kern w:val="0"/>
          <w:szCs w:val="21"/>
          <w:highlight w:val="none"/>
          <w:lang w:val="en-US" w:eastAsia="zh-CN"/>
          <w14:ligatures w14:val="none"/>
        </w:rPr>
        <w:t>416866.12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万元，主要由存放中央银行款项、贷款、债券投资、购买同业存单、存放同业款项、长期股权投资、买入返售、应收利息、其他应收款项及固定资产净额等构成；表外风险加权资产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1811.81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主要是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风险权重</w:t>
      </w:r>
      <w:r>
        <w:rPr>
          <w:rFonts w:ascii="Calibri" w:hAnsi="Calibri" w:eastAsia="宋体" w:cs="Calibri"/>
          <w:color w:val="343333"/>
          <w:kern w:val="0"/>
          <w:szCs w:val="21"/>
          <w:highlight w:val="none"/>
          <w14:ligatures w14:val="none"/>
        </w:rPr>
        <w:t>75%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的未使用的信用卡授信额度；操作风险加权资产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42787.50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万元，为采用“基本指标法（以最近三年的总收入为基本指标）”计量的加权操作风险。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三、资本充足率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 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三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季度末，本行核心一级资本充足率及一级资本充足率均为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13.26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%，资本充足率</w:t>
      </w:r>
      <w:r>
        <w:rPr>
          <w:rFonts w:hint="eastAsia" w:ascii="Calibri" w:hAnsi="Calibri" w:eastAsia="宋体" w:cs="Calibri"/>
          <w:color w:val="343333"/>
          <w:kern w:val="0"/>
          <w:szCs w:val="21"/>
          <w:highlight w:val="none"/>
          <w:lang w:val="en-US" w:eastAsia="zh-CN"/>
          <w14:ligatures w14:val="none"/>
        </w:rPr>
        <w:t>20.31</w:t>
      </w:r>
      <w:r>
        <w:rPr>
          <w:rFonts w:ascii="Calibri" w:hAnsi="Calibri" w:eastAsia="宋体" w:cs="Calibri"/>
          <w:color w:val="343333"/>
          <w:kern w:val="0"/>
          <w:szCs w:val="21"/>
          <w:highlight w:val="none"/>
          <w14:ligatures w14:val="none"/>
        </w:rPr>
        <w:t>%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</w:t>
      </w:r>
    </w:p>
    <w:p>
      <w:pPr>
        <w:widowControl/>
        <w:shd w:val="clear" w:color="auto" w:fill="FFFFFF"/>
        <w:spacing w:line="360" w:lineRule="atLeast"/>
        <w:ind w:firstLine="4830" w:firstLineChars="2300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</w:p>
    <w:p>
      <w:pPr>
        <w:widowControl/>
        <w:shd w:val="clear" w:color="auto" w:fill="FFFFFF"/>
        <w:spacing w:line="360" w:lineRule="atLeast"/>
        <w:ind w:firstLine="4830" w:firstLineChars="2300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江西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全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eastAsia="zh-CN"/>
          <w14:ligatures w14:val="none"/>
        </w:rPr>
        <w:t>南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农村商业银行股份有限公司</w:t>
      </w:r>
    </w:p>
    <w:p>
      <w:pPr>
        <w:widowControl/>
        <w:shd w:val="clear" w:color="auto" w:fill="FFFFFF"/>
        <w:spacing w:line="360" w:lineRule="atLeast"/>
        <w:rPr>
          <w:highlight w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 xml:space="preserve">                           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5年10</w:t>
      </w:r>
      <w:bookmarkStart w:id="0" w:name="_GoBack"/>
      <w:bookmarkEnd w:id="0"/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28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A6"/>
    <w:rsid w:val="00294B90"/>
    <w:rsid w:val="00AF75A6"/>
    <w:rsid w:val="00EC0E6C"/>
    <w:rsid w:val="00F32529"/>
    <w:rsid w:val="03273136"/>
    <w:rsid w:val="048620C0"/>
    <w:rsid w:val="04DF3D1D"/>
    <w:rsid w:val="0AEE4340"/>
    <w:rsid w:val="17A6735C"/>
    <w:rsid w:val="1F7442A7"/>
    <w:rsid w:val="22231219"/>
    <w:rsid w:val="22B23BDE"/>
    <w:rsid w:val="2518434D"/>
    <w:rsid w:val="3085160D"/>
    <w:rsid w:val="35D40346"/>
    <w:rsid w:val="415D7D78"/>
    <w:rsid w:val="4B4E4F22"/>
    <w:rsid w:val="4CAE4C48"/>
    <w:rsid w:val="4D777206"/>
    <w:rsid w:val="5D14159F"/>
    <w:rsid w:val="66466BFC"/>
    <w:rsid w:val="67125B3A"/>
    <w:rsid w:val="6C111E75"/>
    <w:rsid w:val="6E4E7B52"/>
    <w:rsid w:val="6F32698A"/>
    <w:rsid w:val="726456E7"/>
    <w:rsid w:val="73334E0A"/>
    <w:rsid w:val="73591AB5"/>
    <w:rsid w:val="7985603A"/>
    <w:rsid w:val="7F4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254</TotalTime>
  <ScaleCrop>false</ScaleCrop>
  <LinksUpToDate>false</LinksUpToDate>
  <CharactersWithSpaces>931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2024-04-14T05:20:00Z</dcterms:created>
  <dc:creator>妮 徐</dc:creator>
  <cp:lastModifiedBy>Win11</cp:lastModifiedBy>
  <cp:lastPrinted>2025-10-28T07:24:00Z</cp:lastPrinted>
  <dcterms:modified xsi:type="dcterms:W3CDTF">2025-10-28T07:37:18Z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