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全南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农商银行202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四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季度资本充足率信息披露</w:t>
      </w:r>
    </w:p>
    <w:p>
      <w:pPr>
        <w:widowControl/>
        <w:ind w:left="900" w:right="900"/>
        <w:jc w:val="left"/>
        <w:rPr>
          <w:rFonts w:hint="eastAsia" w:ascii="宋体" w:hAnsi="宋体" w:eastAsia="宋体" w:cs="宋体"/>
          <w:kern w:val="0"/>
          <w:sz w:val="18"/>
          <w:szCs w:val="18"/>
          <w:highlight w:val="none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14:ligatures w14:val="none"/>
        </w:rPr>
        <w:pict>
          <v:rect id="_x0000_i1025" o:spt="1" style="height:1.5pt;width:0pt;" fillcolor="#EEEEEE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一、资本构成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 截至202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月末，本行的资本由核心一级资本及二级资本构成，核心一级资本由实收资本、资本公积、盈余公积、一般风险准备、未分配利润及其他综合收益构成；二级资本只有超额贷款损失准备。具体构成如下表：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     单位：万元</w:t>
      </w:r>
    </w:p>
    <w:tbl>
      <w:tblPr>
        <w:tblStyle w:val="7"/>
        <w:tblW w:w="8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资本构成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202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12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1.核心一级资本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68011.89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1.1 实收资本可计入部分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16755.71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1.2 资本公积可计入部分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425.49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1.3 盈余公积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91"/>
                <w:tab w:val="center" w:pos="1929"/>
              </w:tabs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9550.24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1.4 一般风险准备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12170.83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1.5 未分配利润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29021.32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  1.6 其他综合收益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2.核心一级资本监管扣除项目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4854.86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3.核心一级资本净额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63157.03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4.一级资本净额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63157.03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5.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:lang w:val="en-US" w:eastAsia="zh-CN"/>
                <w14:ligatures w14:val="none"/>
              </w:rPr>
              <w:t>其他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资本</w:t>
            </w:r>
            <w:r>
              <w:rPr>
                <w:rFonts w:ascii="Calibri" w:hAnsi="Calibri" w:eastAsia="宋体" w:cs="Calibri"/>
                <w:color w:val="343333"/>
                <w:kern w:val="0"/>
                <w:szCs w:val="21"/>
                <w:highlight w:val="none"/>
                <w14:ligatures w14:val="none"/>
              </w:rPr>
              <w:t>(</w:t>
            </w: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超额贷款损失准备</w:t>
            </w:r>
            <w:r>
              <w:rPr>
                <w:rFonts w:ascii="Calibri" w:hAnsi="Calibri" w:eastAsia="宋体" w:cs="Calibri"/>
                <w:color w:val="343333"/>
                <w:kern w:val="0"/>
                <w:szCs w:val="21"/>
                <w:highlight w:val="none"/>
                <w14:ligatures w14:val="none"/>
              </w:rPr>
              <w:t>)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28533.89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Cs w:val="21"/>
                <w:highlight w:val="none"/>
                <w14:ligatures w14:val="none"/>
              </w:rPr>
              <w:t>   6.总资本净额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91690.92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二、风险加权资产构成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 本行的风险加权资产由表内风险加权资产、表外风险加权资产及操作风险加权资产三部份构成。202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四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季度，本行应用资本底线及校准后的风险加权资产合计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459760.64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万元，其中表内风险加权资产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413106.04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万元，主要由存放中央银行款项、贷款、债券投资、购买同业存单、存放同业款项、长期股权投资、买入返售、应收利息、其他应收款项及固定资产净额等构成；表外风险加权资产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1804.6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主要是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风险权重75%的未使用的信用卡授信额度；操作风险加权资产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44850.0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万元，为采用“基本指标法（以最近三年的总收入为基本指标）”计量的加权操作风险。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三、资本充足率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 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四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季度末，本行核心一级资本充足率及一级资本充足率均为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13.74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%，资本充足率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19.94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%。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</w:t>
      </w:r>
    </w:p>
    <w:p>
      <w:pPr>
        <w:widowControl/>
        <w:shd w:val="clear" w:color="auto" w:fill="FFFFFF"/>
        <w:spacing w:line="360" w:lineRule="atLeast"/>
        <w:ind w:firstLine="4830" w:firstLineChars="2300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</w:p>
    <w:p>
      <w:pPr>
        <w:widowControl/>
        <w:shd w:val="clear" w:color="auto" w:fill="FFFFFF"/>
        <w:spacing w:line="360" w:lineRule="atLeast"/>
        <w:ind w:firstLine="4830" w:firstLineChars="2300"/>
        <w:rPr>
          <w:rFonts w:hint="eastAsia" w:ascii="宋体" w:hAnsi="宋体" w:eastAsia="宋体" w:cs="宋体"/>
          <w:color w:val="343333"/>
          <w:kern w:val="0"/>
          <w:sz w:val="18"/>
          <w:szCs w:val="18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江西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全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eastAsia="zh-CN"/>
          <w14:ligatures w14:val="none"/>
        </w:rPr>
        <w:t>南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农村商业银行股份有限公司</w:t>
      </w:r>
    </w:p>
    <w:p>
      <w:pPr>
        <w:widowControl/>
        <w:shd w:val="clear" w:color="auto" w:fill="FFFFFF"/>
        <w:spacing w:line="360" w:lineRule="atLeast"/>
        <w:rPr>
          <w:highlight w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 xml:space="preserve">                           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202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6年1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:lang w:val="en-US" w:eastAsia="zh-CN"/>
          <w14:ligatures w14:val="none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A6"/>
    <w:rsid w:val="00294B90"/>
    <w:rsid w:val="00AF75A6"/>
    <w:rsid w:val="00EC0E6C"/>
    <w:rsid w:val="00F32529"/>
    <w:rsid w:val="03273136"/>
    <w:rsid w:val="03B7032D"/>
    <w:rsid w:val="048620C0"/>
    <w:rsid w:val="04DF3D1D"/>
    <w:rsid w:val="0AEE4340"/>
    <w:rsid w:val="17A6735C"/>
    <w:rsid w:val="1C6C13CF"/>
    <w:rsid w:val="1F7442A7"/>
    <w:rsid w:val="22231219"/>
    <w:rsid w:val="22B23BDE"/>
    <w:rsid w:val="2518434D"/>
    <w:rsid w:val="25337EBF"/>
    <w:rsid w:val="25394958"/>
    <w:rsid w:val="291908EF"/>
    <w:rsid w:val="294E76CF"/>
    <w:rsid w:val="3085160D"/>
    <w:rsid w:val="34C06945"/>
    <w:rsid w:val="35D40346"/>
    <w:rsid w:val="3D4D4C0A"/>
    <w:rsid w:val="415D7D78"/>
    <w:rsid w:val="4B4E4F22"/>
    <w:rsid w:val="4CAE4C48"/>
    <w:rsid w:val="4D3834FE"/>
    <w:rsid w:val="4D777206"/>
    <w:rsid w:val="4F5868EF"/>
    <w:rsid w:val="5B3F31A9"/>
    <w:rsid w:val="5D14159F"/>
    <w:rsid w:val="615C1E53"/>
    <w:rsid w:val="66466BFC"/>
    <w:rsid w:val="67125B3A"/>
    <w:rsid w:val="68A30583"/>
    <w:rsid w:val="6C111E75"/>
    <w:rsid w:val="6E4E7B52"/>
    <w:rsid w:val="6F32698A"/>
    <w:rsid w:val="726456E7"/>
    <w:rsid w:val="73334E0A"/>
    <w:rsid w:val="73591AB5"/>
    <w:rsid w:val="7533390F"/>
    <w:rsid w:val="7985603A"/>
    <w:rsid w:val="7F4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302</TotalTime>
  <ScaleCrop>false</ScaleCrop>
  <LinksUpToDate>false</LinksUpToDate>
  <CharactersWithSpaces>931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2024-04-14T05:20:00Z</dcterms:created>
  <dc:creator>妮 徐</dc:creator>
  <cp:lastModifiedBy>Win11</cp:lastModifiedBy>
  <cp:lastPrinted>2026-01-27T07:12:00Z</cp:lastPrinted>
  <dcterms:modified xsi:type="dcterms:W3CDTF">2026-01-28T09:22:27Z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