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jc w:val="center"/>
        <w:outlineLvl w:val="1"/>
        <w:rPr>
          <w:rFonts w:ascii="宋体" w:hAnsi="宋体" w:eastAsia="宋体" w:cs="宋体"/>
          <w:b/>
          <w:bCs/>
          <w:color w:val="333333"/>
          <w:kern w:val="0"/>
          <w:sz w:val="24"/>
          <w:szCs w:val="24"/>
          <w:highlight w:val="none"/>
          <w14:ligatures w14:val="none"/>
        </w:rPr>
      </w:pPr>
      <w:r>
        <w:rPr>
          <w:rFonts w:hint="eastAsia" w:ascii="宋体" w:hAnsi="宋体" w:eastAsia="宋体" w:cs="宋体"/>
          <w:b/>
          <w:bCs/>
          <w:color w:val="333333"/>
          <w:kern w:val="0"/>
          <w:sz w:val="24"/>
          <w:szCs w:val="24"/>
          <w:highlight w:val="none"/>
          <w:lang w:val="en-US" w:eastAsia="zh-CN"/>
          <w14:ligatures w14:val="none"/>
        </w:rPr>
        <w:t>全南</w:t>
      </w:r>
      <w:r>
        <w:rPr>
          <w:rFonts w:hint="eastAsia" w:ascii="宋体" w:hAnsi="宋体" w:eastAsia="宋体" w:cs="宋体"/>
          <w:b/>
          <w:bCs/>
          <w:color w:val="333333"/>
          <w:kern w:val="0"/>
          <w:sz w:val="24"/>
          <w:szCs w:val="24"/>
          <w:highlight w:val="none"/>
          <w14:ligatures w14:val="none"/>
        </w:rPr>
        <w:t>农商银行202</w:t>
      </w:r>
      <w:r>
        <w:rPr>
          <w:rFonts w:hint="eastAsia" w:ascii="宋体" w:hAnsi="宋体" w:eastAsia="宋体" w:cs="宋体"/>
          <w:b/>
          <w:bCs/>
          <w:color w:val="333333"/>
          <w:kern w:val="0"/>
          <w:sz w:val="24"/>
          <w:szCs w:val="24"/>
          <w:highlight w:val="none"/>
          <w:lang w:val="en-US" w:eastAsia="zh-CN"/>
          <w14:ligatures w14:val="none"/>
        </w:rPr>
        <w:t>6</w:t>
      </w:r>
      <w:r>
        <w:rPr>
          <w:rFonts w:hint="eastAsia" w:ascii="宋体" w:hAnsi="宋体" w:eastAsia="宋体" w:cs="宋体"/>
          <w:b/>
          <w:bCs/>
          <w:color w:val="333333"/>
          <w:kern w:val="0"/>
          <w:sz w:val="24"/>
          <w:szCs w:val="24"/>
          <w:highlight w:val="none"/>
          <w14:ligatures w14:val="none"/>
        </w:rPr>
        <w:t>年</w:t>
      </w:r>
      <w:r>
        <w:rPr>
          <w:rFonts w:hint="eastAsia" w:ascii="宋体" w:hAnsi="宋体" w:eastAsia="宋体" w:cs="宋体"/>
          <w:b/>
          <w:bCs/>
          <w:color w:val="333333"/>
          <w:kern w:val="0"/>
          <w:sz w:val="24"/>
          <w:szCs w:val="24"/>
          <w:highlight w:val="none"/>
          <w:lang w:val="en-US" w:eastAsia="zh-CN"/>
          <w14:ligatures w14:val="none"/>
        </w:rPr>
        <w:t>三</w:t>
      </w:r>
      <w:bookmarkStart w:id="0" w:name="_GoBack"/>
      <w:bookmarkEnd w:id="0"/>
      <w:r>
        <w:rPr>
          <w:rFonts w:hint="eastAsia" w:ascii="宋体" w:hAnsi="宋体" w:eastAsia="宋体" w:cs="宋体"/>
          <w:b/>
          <w:bCs/>
          <w:color w:val="333333"/>
          <w:kern w:val="0"/>
          <w:sz w:val="24"/>
          <w:szCs w:val="24"/>
          <w:highlight w:val="none"/>
          <w14:ligatures w14:val="none"/>
        </w:rPr>
        <w:t>季度资本充足率信息披露</w:t>
      </w:r>
    </w:p>
    <w:p>
      <w:pPr>
        <w:widowControl/>
        <w:ind w:left="900" w:right="900"/>
        <w:jc w:val="left"/>
        <w:rPr>
          <w:rFonts w:hint="eastAsia" w:ascii="宋体" w:hAnsi="宋体" w:eastAsia="宋体" w:cs="宋体"/>
          <w:kern w:val="0"/>
          <w:sz w:val="18"/>
          <w:szCs w:val="18"/>
          <w:highlight w:val="none"/>
          <w14:ligatures w14:val="none"/>
        </w:rPr>
      </w:pPr>
      <w:r>
        <w:rPr>
          <w:rFonts w:ascii="宋体" w:hAnsi="宋体" w:eastAsia="宋体" w:cs="宋体"/>
          <w:kern w:val="0"/>
          <w:sz w:val="24"/>
          <w:szCs w:val="24"/>
          <w:highlight w:val="none"/>
          <w14:ligatures w14:val="none"/>
        </w:rPr>
        <w:pict>
          <v:rect id="_x0000_i1025" o:spt="1" style="height:1.5pt;width:0pt;" fillcolor="#EEEEEE" filled="t" stroked="f" coordsize="21600,21600" o:hr="t" o:hrstd="t" o:hrnoshade="t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>
      <w:pPr>
        <w:widowControl/>
        <w:shd w:val="clear" w:color="auto" w:fill="FFFFFF"/>
        <w:spacing w:line="360" w:lineRule="atLeast"/>
        <w:rPr>
          <w:rFonts w:hint="eastAsia" w:ascii="宋体" w:hAnsi="宋体" w:eastAsia="宋体" w:cs="宋体"/>
          <w:color w:val="343333"/>
          <w:kern w:val="0"/>
          <w:sz w:val="24"/>
          <w:szCs w:val="24"/>
          <w:highlight w:val="none"/>
          <w14:ligatures w14:val="none"/>
        </w:rPr>
      </w:pPr>
      <w:r>
        <w:rPr>
          <w:rFonts w:hint="eastAsia" w:ascii="宋体" w:hAnsi="宋体" w:eastAsia="宋体" w:cs="宋体"/>
          <w:color w:val="343333"/>
          <w:kern w:val="0"/>
          <w:sz w:val="24"/>
          <w:szCs w:val="24"/>
          <w:highlight w:val="none"/>
          <w14:ligatures w14:val="none"/>
        </w:rPr>
        <w:t>一、资本构成</w:t>
      </w:r>
    </w:p>
    <w:p>
      <w:pPr>
        <w:widowControl/>
        <w:shd w:val="clear" w:color="auto" w:fill="FFFFFF"/>
        <w:spacing w:line="360" w:lineRule="atLeast"/>
        <w:rPr>
          <w:rFonts w:hint="eastAsia" w:ascii="宋体" w:hAnsi="宋体" w:eastAsia="宋体" w:cs="宋体"/>
          <w:color w:val="343333"/>
          <w:kern w:val="0"/>
          <w:sz w:val="24"/>
          <w:szCs w:val="24"/>
          <w:highlight w:val="none"/>
          <w14:ligatures w14:val="none"/>
        </w:rPr>
      </w:pPr>
      <w:r>
        <w:rPr>
          <w:rFonts w:hint="eastAsia" w:ascii="宋体" w:hAnsi="宋体" w:eastAsia="宋体" w:cs="宋体"/>
          <w:color w:val="343333"/>
          <w:kern w:val="0"/>
          <w:sz w:val="24"/>
          <w:szCs w:val="24"/>
          <w:highlight w:val="none"/>
          <w14:ligatures w14:val="none"/>
        </w:rPr>
        <w:t>  截至202</w:t>
      </w:r>
      <w:r>
        <w:rPr>
          <w:rFonts w:hint="eastAsia" w:ascii="宋体" w:hAnsi="宋体" w:eastAsia="宋体" w:cs="宋体"/>
          <w:color w:val="343333"/>
          <w:kern w:val="0"/>
          <w:sz w:val="24"/>
          <w:szCs w:val="24"/>
          <w:highlight w:val="none"/>
          <w:lang w:val="en-US" w:eastAsia="zh-CN"/>
          <w14:ligatures w14:val="none"/>
        </w:rPr>
        <w:t>6</w:t>
      </w:r>
      <w:r>
        <w:rPr>
          <w:rFonts w:hint="eastAsia" w:ascii="宋体" w:hAnsi="宋体" w:eastAsia="宋体" w:cs="宋体"/>
          <w:color w:val="343333"/>
          <w:kern w:val="0"/>
          <w:sz w:val="24"/>
          <w:szCs w:val="24"/>
          <w:highlight w:val="none"/>
          <w14:ligatures w14:val="none"/>
        </w:rPr>
        <w:t>年</w:t>
      </w:r>
      <w:r>
        <w:rPr>
          <w:rFonts w:hint="eastAsia" w:ascii="宋体" w:hAnsi="宋体" w:eastAsia="宋体" w:cs="宋体"/>
          <w:color w:val="343333"/>
          <w:kern w:val="0"/>
          <w:sz w:val="24"/>
          <w:szCs w:val="24"/>
          <w:highlight w:val="none"/>
          <w:lang w:val="en-US" w:eastAsia="zh-CN"/>
          <w14:ligatures w14:val="none"/>
        </w:rPr>
        <w:t>09</w:t>
      </w:r>
      <w:r>
        <w:rPr>
          <w:rFonts w:hint="eastAsia" w:ascii="宋体" w:hAnsi="宋体" w:eastAsia="宋体" w:cs="宋体"/>
          <w:color w:val="343333"/>
          <w:kern w:val="0"/>
          <w:sz w:val="24"/>
          <w:szCs w:val="24"/>
          <w:highlight w:val="none"/>
          <w14:ligatures w14:val="none"/>
        </w:rPr>
        <w:t>月末，本行的资本由核心一级资本及二级资本构成，核心一级资本由实收资本、资本公积、盈余公积、一般风险准备、未分配利润及其他综合收益构成；二级资本只有超额贷款损失准备。具体构成如下表：</w:t>
      </w:r>
    </w:p>
    <w:p>
      <w:pPr>
        <w:widowControl/>
        <w:shd w:val="clear" w:color="auto" w:fill="FFFFFF"/>
        <w:spacing w:line="360" w:lineRule="atLeast"/>
        <w:rPr>
          <w:rFonts w:hint="eastAsia" w:ascii="宋体" w:hAnsi="宋体" w:eastAsia="宋体" w:cs="宋体"/>
          <w:color w:val="343333"/>
          <w:kern w:val="0"/>
          <w:sz w:val="24"/>
          <w:szCs w:val="24"/>
          <w:highlight w:val="none"/>
          <w14:ligatures w14:val="none"/>
        </w:rPr>
      </w:pPr>
      <w:r>
        <w:rPr>
          <w:rFonts w:hint="eastAsia" w:ascii="宋体" w:hAnsi="宋体" w:eastAsia="宋体" w:cs="宋体"/>
          <w:color w:val="343333"/>
          <w:kern w:val="0"/>
          <w:szCs w:val="21"/>
          <w:highlight w:val="none"/>
          <w14:ligatures w14:val="none"/>
        </w:rPr>
        <w:t>                           </w:t>
      </w:r>
      <w:r>
        <w:rPr>
          <w:rFonts w:hint="eastAsia" w:ascii="宋体" w:hAnsi="宋体" w:eastAsia="宋体" w:cs="宋体"/>
          <w:color w:val="343333"/>
          <w:kern w:val="0"/>
          <w:sz w:val="24"/>
          <w:szCs w:val="24"/>
          <w:highlight w:val="none"/>
          <w14:ligatures w14:val="none"/>
        </w:rPr>
        <w:t> 单位：万元</w:t>
      </w:r>
    </w:p>
    <w:tbl>
      <w:tblPr>
        <w:tblStyle w:val="7"/>
        <w:tblW w:w="80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60"/>
        <w:gridCol w:w="37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60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60" w:lineRule="atLeast"/>
              <w:jc w:val="center"/>
              <w:rPr>
                <w:rFonts w:hint="eastAsia" w:ascii="宋体" w:hAnsi="宋体" w:eastAsia="宋体" w:cs="宋体"/>
                <w:color w:val="343333"/>
                <w:kern w:val="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343333"/>
                <w:kern w:val="0"/>
                <w:sz w:val="24"/>
                <w:szCs w:val="24"/>
                <w:highlight w:val="none"/>
                <w14:ligatures w14:val="none"/>
              </w:rPr>
              <w:t>资本构成</w:t>
            </w:r>
          </w:p>
        </w:tc>
        <w:tc>
          <w:tcPr>
            <w:tcW w:w="3750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60" w:lineRule="atLeast"/>
              <w:jc w:val="center"/>
              <w:rPr>
                <w:rFonts w:hint="eastAsia" w:ascii="宋体" w:hAnsi="宋体" w:eastAsia="宋体" w:cs="宋体"/>
                <w:color w:val="343333"/>
                <w:kern w:val="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343333"/>
                <w:kern w:val="0"/>
                <w:sz w:val="24"/>
                <w:szCs w:val="24"/>
                <w:highlight w:val="none"/>
                <w14:ligatures w14:val="none"/>
              </w:rPr>
              <w:t>202</w:t>
            </w:r>
            <w:r>
              <w:rPr>
                <w:rFonts w:hint="eastAsia" w:ascii="宋体" w:hAnsi="宋体" w:eastAsia="宋体" w:cs="宋体"/>
                <w:color w:val="343333"/>
                <w:kern w:val="0"/>
                <w:sz w:val="24"/>
                <w:szCs w:val="24"/>
                <w:highlight w:val="none"/>
                <w:lang w:val="en-US" w:eastAsia="zh-CN"/>
                <w14:ligatures w14:val="none"/>
              </w:rPr>
              <w:t>6</w:t>
            </w:r>
            <w:r>
              <w:rPr>
                <w:rFonts w:hint="eastAsia" w:ascii="宋体" w:hAnsi="宋体" w:eastAsia="宋体" w:cs="宋体"/>
                <w:color w:val="343333"/>
                <w:kern w:val="0"/>
                <w:sz w:val="24"/>
                <w:szCs w:val="24"/>
                <w:highlight w:val="none"/>
                <w14:ligatures w14:val="none"/>
              </w:rPr>
              <w:t>年</w:t>
            </w:r>
            <w:r>
              <w:rPr>
                <w:rFonts w:hint="eastAsia" w:ascii="宋体" w:hAnsi="宋体" w:eastAsia="宋体" w:cs="宋体"/>
                <w:color w:val="343333"/>
                <w:kern w:val="0"/>
                <w:sz w:val="24"/>
                <w:szCs w:val="24"/>
                <w:highlight w:val="none"/>
                <w:lang w:val="en-US" w:eastAsia="zh-CN"/>
                <w14:ligatures w14:val="none"/>
              </w:rPr>
              <w:t>09</w:t>
            </w:r>
            <w:r>
              <w:rPr>
                <w:rFonts w:hint="eastAsia" w:ascii="宋体" w:hAnsi="宋体" w:eastAsia="宋体" w:cs="宋体"/>
                <w:color w:val="343333"/>
                <w:kern w:val="0"/>
                <w:sz w:val="24"/>
                <w:szCs w:val="24"/>
                <w:highlight w:val="none"/>
                <w14:ligatures w14:val="none"/>
              </w:rPr>
              <w:t>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60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60" w:lineRule="atLeast"/>
              <w:jc w:val="left"/>
              <w:rPr>
                <w:rFonts w:hint="eastAsia" w:ascii="宋体" w:hAnsi="宋体" w:eastAsia="宋体" w:cs="宋体"/>
                <w:color w:val="343333"/>
                <w:kern w:val="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343333"/>
                <w:kern w:val="0"/>
                <w:sz w:val="24"/>
                <w:szCs w:val="24"/>
                <w:highlight w:val="none"/>
                <w14:ligatures w14:val="none"/>
              </w:rPr>
              <w:t>   1.核心一级资本</w:t>
            </w:r>
          </w:p>
        </w:tc>
        <w:tc>
          <w:tcPr>
            <w:tcW w:w="37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43333"/>
                <w:kern w:val="0"/>
                <w:sz w:val="24"/>
                <w:szCs w:val="24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74271.73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60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60" w:lineRule="atLeast"/>
              <w:jc w:val="left"/>
              <w:rPr>
                <w:rFonts w:hint="eastAsia" w:ascii="宋体" w:hAnsi="宋体" w:eastAsia="宋体" w:cs="宋体"/>
                <w:color w:val="343333"/>
                <w:kern w:val="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343333"/>
                <w:kern w:val="0"/>
                <w:sz w:val="24"/>
                <w:szCs w:val="24"/>
                <w:highlight w:val="none"/>
                <w14:ligatures w14:val="none"/>
              </w:rPr>
              <w:t>     1.1 实收资本可计入部分</w:t>
            </w:r>
          </w:p>
        </w:tc>
        <w:tc>
          <w:tcPr>
            <w:tcW w:w="37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43333"/>
                <w:kern w:val="0"/>
                <w:sz w:val="24"/>
                <w:szCs w:val="24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16755.71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60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60" w:lineRule="atLeast"/>
              <w:jc w:val="left"/>
              <w:rPr>
                <w:rFonts w:hint="eastAsia" w:ascii="宋体" w:hAnsi="宋体" w:eastAsia="宋体" w:cs="宋体"/>
                <w:color w:val="343333"/>
                <w:kern w:val="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343333"/>
                <w:kern w:val="0"/>
                <w:sz w:val="24"/>
                <w:szCs w:val="24"/>
                <w:highlight w:val="none"/>
                <w14:ligatures w14:val="none"/>
              </w:rPr>
              <w:t>     1.2 资本公积可计入部分</w:t>
            </w:r>
          </w:p>
        </w:tc>
        <w:tc>
          <w:tcPr>
            <w:tcW w:w="37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43333"/>
                <w:kern w:val="0"/>
                <w:sz w:val="24"/>
                <w:szCs w:val="24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425.49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60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60" w:lineRule="atLeast"/>
              <w:jc w:val="left"/>
              <w:rPr>
                <w:rFonts w:hint="eastAsia" w:ascii="宋体" w:hAnsi="宋体" w:eastAsia="宋体" w:cs="宋体"/>
                <w:color w:val="343333"/>
                <w:kern w:val="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343333"/>
                <w:kern w:val="0"/>
                <w:sz w:val="24"/>
                <w:szCs w:val="24"/>
                <w:highlight w:val="none"/>
                <w14:ligatures w14:val="none"/>
              </w:rPr>
              <w:t>     1.3 盈余公积</w:t>
            </w:r>
          </w:p>
        </w:tc>
        <w:tc>
          <w:tcPr>
            <w:tcW w:w="37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43333"/>
                <w:kern w:val="0"/>
                <w:sz w:val="24"/>
                <w:szCs w:val="24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9550.24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60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60" w:lineRule="atLeast"/>
              <w:jc w:val="left"/>
              <w:rPr>
                <w:rFonts w:hint="eastAsia" w:ascii="宋体" w:hAnsi="宋体" w:eastAsia="宋体" w:cs="宋体"/>
                <w:color w:val="343333"/>
                <w:kern w:val="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343333"/>
                <w:kern w:val="0"/>
                <w:sz w:val="24"/>
                <w:szCs w:val="24"/>
                <w:highlight w:val="none"/>
                <w14:ligatures w14:val="none"/>
              </w:rPr>
              <w:t>     1.4 一般风险准备</w:t>
            </w:r>
          </w:p>
        </w:tc>
        <w:tc>
          <w:tcPr>
            <w:tcW w:w="37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43333"/>
                <w:kern w:val="0"/>
                <w:sz w:val="24"/>
                <w:szCs w:val="24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12170.83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60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60" w:lineRule="atLeast"/>
              <w:jc w:val="left"/>
              <w:rPr>
                <w:rFonts w:hint="eastAsia" w:ascii="宋体" w:hAnsi="宋体" w:eastAsia="宋体" w:cs="宋体"/>
                <w:color w:val="343333"/>
                <w:kern w:val="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343333"/>
                <w:kern w:val="0"/>
                <w:sz w:val="24"/>
                <w:szCs w:val="24"/>
                <w:highlight w:val="none"/>
                <w14:ligatures w14:val="none"/>
              </w:rPr>
              <w:t>     1.5 未分配利润</w:t>
            </w:r>
          </w:p>
        </w:tc>
        <w:tc>
          <w:tcPr>
            <w:tcW w:w="37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43333"/>
                <w:kern w:val="0"/>
                <w:sz w:val="24"/>
                <w:szCs w:val="24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35091.77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60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60" w:lineRule="atLeast"/>
              <w:jc w:val="left"/>
              <w:rPr>
                <w:rFonts w:hint="eastAsia" w:ascii="宋体" w:hAnsi="宋体" w:eastAsia="宋体" w:cs="宋体"/>
                <w:color w:val="343333"/>
                <w:kern w:val="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343333"/>
                <w:kern w:val="0"/>
                <w:sz w:val="24"/>
                <w:szCs w:val="24"/>
                <w:highlight w:val="none"/>
                <w14:ligatures w14:val="none"/>
              </w:rPr>
              <w:t>     1.6 其他综合收益</w:t>
            </w:r>
          </w:p>
        </w:tc>
        <w:tc>
          <w:tcPr>
            <w:tcW w:w="37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43333"/>
                <w:kern w:val="0"/>
                <w:sz w:val="24"/>
                <w:szCs w:val="24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277.69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60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60" w:lineRule="atLeast"/>
              <w:jc w:val="left"/>
              <w:rPr>
                <w:rFonts w:hint="eastAsia" w:ascii="宋体" w:hAnsi="宋体" w:eastAsia="宋体" w:cs="宋体"/>
                <w:color w:val="343333"/>
                <w:kern w:val="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343333"/>
                <w:kern w:val="0"/>
                <w:sz w:val="24"/>
                <w:szCs w:val="24"/>
                <w:highlight w:val="none"/>
                <w14:ligatures w14:val="none"/>
              </w:rPr>
              <w:t>   2.核心一级资本监管扣除项目</w:t>
            </w:r>
          </w:p>
        </w:tc>
        <w:tc>
          <w:tcPr>
            <w:tcW w:w="37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43333"/>
                <w:kern w:val="0"/>
                <w:sz w:val="24"/>
                <w:szCs w:val="24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4792.46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60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60" w:lineRule="atLeast"/>
              <w:jc w:val="left"/>
              <w:rPr>
                <w:rFonts w:hint="eastAsia" w:ascii="宋体" w:hAnsi="宋体" w:eastAsia="宋体" w:cs="宋体"/>
                <w:color w:val="343333"/>
                <w:kern w:val="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343333"/>
                <w:kern w:val="0"/>
                <w:sz w:val="24"/>
                <w:szCs w:val="24"/>
                <w:highlight w:val="none"/>
                <w14:ligatures w14:val="none"/>
              </w:rPr>
              <w:t>   3.核心一级资本净额</w:t>
            </w:r>
          </w:p>
        </w:tc>
        <w:tc>
          <w:tcPr>
            <w:tcW w:w="37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43333"/>
                <w:kern w:val="0"/>
                <w:sz w:val="24"/>
                <w:szCs w:val="24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69479.27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60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60" w:lineRule="atLeast"/>
              <w:jc w:val="left"/>
              <w:rPr>
                <w:rFonts w:hint="eastAsia" w:ascii="宋体" w:hAnsi="宋体" w:eastAsia="宋体" w:cs="宋体"/>
                <w:color w:val="343333"/>
                <w:kern w:val="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343333"/>
                <w:kern w:val="0"/>
                <w:sz w:val="24"/>
                <w:szCs w:val="24"/>
                <w:highlight w:val="none"/>
                <w14:ligatures w14:val="none"/>
              </w:rPr>
              <w:t>   4.一级资本净额</w:t>
            </w:r>
          </w:p>
        </w:tc>
        <w:tc>
          <w:tcPr>
            <w:tcW w:w="37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43333"/>
                <w:kern w:val="0"/>
                <w:sz w:val="24"/>
                <w:szCs w:val="24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69479.27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60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60" w:lineRule="atLeast"/>
              <w:jc w:val="left"/>
              <w:rPr>
                <w:rFonts w:hint="eastAsia" w:ascii="宋体" w:hAnsi="宋体" w:eastAsia="宋体" w:cs="宋体"/>
                <w:color w:val="343333"/>
                <w:kern w:val="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343333"/>
                <w:kern w:val="0"/>
                <w:sz w:val="24"/>
                <w:szCs w:val="24"/>
                <w:highlight w:val="none"/>
                <w14:ligatures w14:val="none"/>
              </w:rPr>
              <w:t>   5.</w:t>
            </w:r>
            <w:r>
              <w:rPr>
                <w:rFonts w:hint="eastAsia" w:ascii="宋体" w:hAnsi="宋体" w:eastAsia="宋体" w:cs="宋体"/>
                <w:color w:val="343333"/>
                <w:kern w:val="0"/>
                <w:sz w:val="24"/>
                <w:szCs w:val="24"/>
                <w:highlight w:val="none"/>
                <w:lang w:val="en-US" w:eastAsia="zh-CN"/>
                <w14:ligatures w14:val="none"/>
              </w:rPr>
              <w:t>其他</w:t>
            </w:r>
            <w:r>
              <w:rPr>
                <w:rFonts w:hint="eastAsia" w:ascii="宋体" w:hAnsi="宋体" w:eastAsia="宋体" w:cs="宋体"/>
                <w:color w:val="343333"/>
                <w:kern w:val="0"/>
                <w:sz w:val="24"/>
                <w:szCs w:val="24"/>
                <w:highlight w:val="none"/>
                <w14:ligatures w14:val="none"/>
              </w:rPr>
              <w:t>资本(超额贷款损失准备)</w:t>
            </w:r>
          </w:p>
        </w:tc>
        <w:tc>
          <w:tcPr>
            <w:tcW w:w="37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43333"/>
                <w:kern w:val="0"/>
                <w:sz w:val="24"/>
                <w:szCs w:val="24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29773.06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60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60" w:lineRule="atLeast"/>
              <w:jc w:val="left"/>
              <w:rPr>
                <w:rFonts w:hint="eastAsia" w:ascii="宋体" w:hAnsi="宋体" w:eastAsia="宋体" w:cs="宋体"/>
                <w:color w:val="343333"/>
                <w:kern w:val="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343333"/>
                <w:kern w:val="0"/>
                <w:sz w:val="24"/>
                <w:szCs w:val="24"/>
                <w:highlight w:val="none"/>
                <w14:ligatures w14:val="none"/>
              </w:rPr>
              <w:t>   6.总资本净额</w:t>
            </w:r>
          </w:p>
        </w:tc>
        <w:tc>
          <w:tcPr>
            <w:tcW w:w="37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43333"/>
                <w:kern w:val="0"/>
                <w:sz w:val="24"/>
                <w:szCs w:val="24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99252.33</w:t>
            </w:r>
          </w:p>
        </w:tc>
      </w:tr>
    </w:tbl>
    <w:p>
      <w:pPr>
        <w:widowControl/>
        <w:shd w:val="clear" w:color="auto" w:fill="FFFFFF"/>
        <w:spacing w:line="360" w:lineRule="atLeast"/>
        <w:rPr>
          <w:rFonts w:hint="eastAsia" w:ascii="宋体" w:hAnsi="宋体" w:eastAsia="宋体" w:cs="宋体"/>
          <w:color w:val="343333"/>
          <w:kern w:val="0"/>
          <w:sz w:val="24"/>
          <w:szCs w:val="24"/>
          <w:highlight w:val="none"/>
          <w14:ligatures w14:val="none"/>
        </w:rPr>
      </w:pPr>
    </w:p>
    <w:p>
      <w:pPr>
        <w:widowControl/>
        <w:shd w:val="clear" w:color="auto" w:fill="FFFFFF"/>
        <w:spacing w:line="360" w:lineRule="atLeast"/>
        <w:rPr>
          <w:rFonts w:hint="eastAsia" w:ascii="宋体" w:hAnsi="宋体" w:eastAsia="宋体" w:cs="宋体"/>
          <w:color w:val="343333"/>
          <w:kern w:val="0"/>
          <w:sz w:val="24"/>
          <w:szCs w:val="24"/>
          <w:highlight w:val="none"/>
          <w14:ligatures w14:val="none"/>
        </w:rPr>
      </w:pPr>
      <w:r>
        <w:rPr>
          <w:rFonts w:hint="eastAsia" w:ascii="宋体" w:hAnsi="宋体" w:eastAsia="宋体" w:cs="宋体"/>
          <w:color w:val="343333"/>
          <w:kern w:val="0"/>
          <w:sz w:val="24"/>
          <w:szCs w:val="24"/>
          <w:highlight w:val="none"/>
          <w14:ligatures w14:val="none"/>
        </w:rPr>
        <w:t>二、风险加权资产构成</w:t>
      </w:r>
    </w:p>
    <w:p>
      <w:pPr>
        <w:widowControl/>
        <w:shd w:val="clear" w:color="auto" w:fill="FFFFFF"/>
        <w:spacing w:line="360" w:lineRule="atLeast"/>
        <w:rPr>
          <w:rFonts w:hint="eastAsia" w:ascii="宋体" w:hAnsi="宋体" w:eastAsia="宋体" w:cs="宋体"/>
          <w:color w:val="343333"/>
          <w:kern w:val="0"/>
          <w:sz w:val="24"/>
          <w:szCs w:val="24"/>
          <w:highlight w:val="none"/>
          <w14:ligatures w14:val="none"/>
        </w:rPr>
      </w:pPr>
      <w:r>
        <w:rPr>
          <w:rFonts w:hint="eastAsia" w:ascii="宋体" w:hAnsi="宋体" w:eastAsia="宋体" w:cs="宋体"/>
          <w:color w:val="343333"/>
          <w:kern w:val="0"/>
          <w:szCs w:val="21"/>
          <w:highlight w:val="none"/>
          <w14:ligatures w14:val="none"/>
        </w:rPr>
        <w:t xml:space="preserve">  </w:t>
      </w:r>
      <w:r>
        <w:rPr>
          <w:rFonts w:hint="eastAsia" w:ascii="宋体" w:hAnsi="宋体" w:eastAsia="宋体" w:cs="宋体"/>
          <w:color w:val="343333"/>
          <w:kern w:val="0"/>
          <w:sz w:val="24"/>
          <w:szCs w:val="24"/>
          <w:highlight w:val="none"/>
          <w14:ligatures w14:val="none"/>
        </w:rPr>
        <w:t>本行的风险加权资产由表内风险加权资产、表外风险加权资产及操作风险加权资产三部份构成。202</w:t>
      </w:r>
      <w:r>
        <w:rPr>
          <w:rFonts w:hint="eastAsia" w:ascii="宋体" w:hAnsi="宋体" w:eastAsia="宋体" w:cs="宋体"/>
          <w:color w:val="343333"/>
          <w:kern w:val="0"/>
          <w:sz w:val="24"/>
          <w:szCs w:val="24"/>
          <w:highlight w:val="none"/>
          <w:lang w:val="en-US" w:eastAsia="zh-CN"/>
          <w14:ligatures w14:val="none"/>
        </w:rPr>
        <w:t>6</w:t>
      </w:r>
      <w:r>
        <w:rPr>
          <w:rFonts w:hint="eastAsia" w:ascii="宋体" w:hAnsi="宋体" w:eastAsia="宋体" w:cs="宋体"/>
          <w:color w:val="343333"/>
          <w:kern w:val="0"/>
          <w:sz w:val="24"/>
          <w:szCs w:val="24"/>
          <w:highlight w:val="none"/>
          <w14:ligatures w14:val="none"/>
        </w:rPr>
        <w:t>年</w:t>
      </w:r>
      <w:r>
        <w:rPr>
          <w:rFonts w:hint="eastAsia" w:ascii="宋体" w:hAnsi="宋体" w:eastAsia="宋体" w:cs="宋体"/>
          <w:color w:val="343333"/>
          <w:kern w:val="0"/>
          <w:sz w:val="24"/>
          <w:szCs w:val="24"/>
          <w:highlight w:val="none"/>
          <w:lang w:val="en-US" w:eastAsia="zh-CN"/>
          <w14:ligatures w14:val="none"/>
        </w:rPr>
        <w:t>三</w:t>
      </w:r>
      <w:r>
        <w:rPr>
          <w:rFonts w:hint="eastAsia" w:ascii="宋体" w:hAnsi="宋体" w:eastAsia="宋体" w:cs="宋体"/>
          <w:color w:val="343333"/>
          <w:kern w:val="0"/>
          <w:sz w:val="24"/>
          <w:szCs w:val="24"/>
          <w:highlight w:val="none"/>
          <w14:ligatures w14:val="none"/>
        </w:rPr>
        <w:t>季度，本行应用资本底线及校准后的风险加权资产合计496694.39万元，其中表内风险加权资产</w:t>
      </w:r>
      <w:r>
        <w:rPr>
          <w:rFonts w:hint="eastAsia" w:ascii="宋体" w:hAnsi="宋体" w:eastAsia="宋体" w:cs="宋体"/>
          <w:color w:val="343333"/>
          <w:kern w:val="0"/>
          <w:sz w:val="24"/>
          <w:szCs w:val="24"/>
          <w:highlight w:val="none"/>
          <w:lang w:val="en-US" w:eastAsia="zh-CN"/>
          <w14:ligatures w14:val="none"/>
        </w:rPr>
        <w:t>449841.8</w:t>
      </w:r>
      <w:r>
        <w:rPr>
          <w:rFonts w:hint="eastAsia" w:ascii="宋体" w:hAnsi="宋体" w:eastAsia="宋体" w:cs="宋体"/>
          <w:color w:val="343333"/>
          <w:kern w:val="0"/>
          <w:sz w:val="24"/>
          <w:szCs w:val="24"/>
          <w:highlight w:val="none"/>
          <w14:ligatures w14:val="none"/>
        </w:rPr>
        <w:t>万元，主要由存放中央银行款项、贷款、债券投资、购买同业存单、存放同业款项、长期股权投资、买入返售、应收利息、其他应收款项及固定资产净额等构成；表外风险加权资产</w:t>
      </w:r>
      <w:r>
        <w:rPr>
          <w:rFonts w:hint="eastAsia" w:ascii="宋体" w:hAnsi="宋体" w:eastAsia="宋体" w:cs="宋体"/>
          <w:color w:val="343333"/>
          <w:kern w:val="0"/>
          <w:sz w:val="24"/>
          <w:szCs w:val="24"/>
          <w:highlight w:val="none"/>
          <w:lang w:val="en-US" w:eastAsia="zh-CN"/>
          <w14:ligatures w14:val="none"/>
        </w:rPr>
        <w:t>2002.59</w:t>
      </w:r>
      <w:r>
        <w:rPr>
          <w:rFonts w:hint="eastAsia" w:ascii="宋体" w:hAnsi="宋体" w:eastAsia="宋体" w:cs="宋体"/>
          <w:color w:val="343333"/>
          <w:kern w:val="0"/>
          <w:sz w:val="24"/>
          <w:szCs w:val="24"/>
          <w:highlight w:val="none"/>
          <w14:ligatures w14:val="none"/>
        </w:rPr>
        <w:t>万元，</w:t>
      </w:r>
      <w:r>
        <w:rPr>
          <w:rFonts w:hint="eastAsia" w:ascii="宋体" w:hAnsi="宋体" w:eastAsia="宋体" w:cs="宋体"/>
          <w:color w:val="343333"/>
          <w:kern w:val="0"/>
          <w:sz w:val="24"/>
          <w:szCs w:val="24"/>
          <w:highlight w:val="none"/>
          <w:lang w:val="en-US" w:eastAsia="zh-CN"/>
          <w14:ligatures w14:val="none"/>
        </w:rPr>
        <w:t>主要是</w:t>
      </w:r>
      <w:r>
        <w:rPr>
          <w:rFonts w:hint="eastAsia" w:ascii="宋体" w:hAnsi="宋体" w:eastAsia="宋体" w:cs="宋体"/>
          <w:color w:val="343333"/>
          <w:kern w:val="0"/>
          <w:sz w:val="24"/>
          <w:szCs w:val="24"/>
          <w:highlight w:val="none"/>
          <w14:ligatures w14:val="none"/>
        </w:rPr>
        <w:t>风险权重75%的未使用的信用卡授信额度；操作风险加权资产</w:t>
      </w:r>
      <w:r>
        <w:rPr>
          <w:rFonts w:hint="eastAsia" w:ascii="宋体" w:hAnsi="宋体" w:eastAsia="宋体" w:cs="宋体"/>
          <w:color w:val="343333"/>
          <w:kern w:val="0"/>
          <w:sz w:val="24"/>
          <w:szCs w:val="24"/>
          <w:highlight w:val="none"/>
          <w:lang w:val="en-US" w:eastAsia="zh-CN"/>
          <w14:ligatures w14:val="none"/>
        </w:rPr>
        <w:t>44850.0</w:t>
      </w:r>
      <w:r>
        <w:rPr>
          <w:rFonts w:hint="eastAsia" w:ascii="宋体" w:hAnsi="宋体" w:eastAsia="宋体" w:cs="宋体"/>
          <w:color w:val="343333"/>
          <w:kern w:val="0"/>
          <w:sz w:val="24"/>
          <w:szCs w:val="24"/>
          <w:highlight w:val="none"/>
          <w14:ligatures w14:val="none"/>
        </w:rPr>
        <w:t>万元，为采用“基本指标法（以最近三年的总收入为基本指标）”计量的加权操作风险。</w:t>
      </w:r>
    </w:p>
    <w:p>
      <w:pPr>
        <w:widowControl/>
        <w:shd w:val="clear" w:color="auto" w:fill="FFFFFF"/>
        <w:spacing w:line="360" w:lineRule="atLeast"/>
        <w:rPr>
          <w:rFonts w:hint="eastAsia" w:ascii="宋体" w:hAnsi="宋体" w:eastAsia="宋体" w:cs="宋体"/>
          <w:color w:val="343333"/>
          <w:kern w:val="0"/>
          <w:sz w:val="24"/>
          <w:szCs w:val="24"/>
          <w:highlight w:val="none"/>
          <w14:ligatures w14:val="none"/>
        </w:rPr>
      </w:pPr>
      <w:r>
        <w:rPr>
          <w:rFonts w:hint="eastAsia" w:ascii="宋体" w:hAnsi="宋体" w:eastAsia="宋体" w:cs="宋体"/>
          <w:color w:val="343333"/>
          <w:kern w:val="0"/>
          <w:sz w:val="24"/>
          <w:szCs w:val="24"/>
          <w:highlight w:val="none"/>
          <w14:ligatures w14:val="none"/>
        </w:rPr>
        <w:t>三、资本充足率</w:t>
      </w:r>
    </w:p>
    <w:p>
      <w:pPr>
        <w:widowControl/>
        <w:shd w:val="clear" w:color="auto" w:fill="FFFFFF"/>
        <w:spacing w:line="360" w:lineRule="atLeast"/>
        <w:rPr>
          <w:rFonts w:hint="eastAsia" w:ascii="宋体" w:hAnsi="宋体" w:eastAsia="宋体" w:cs="宋体"/>
          <w:color w:val="343333"/>
          <w:kern w:val="0"/>
          <w:sz w:val="24"/>
          <w:szCs w:val="24"/>
          <w:highlight w:val="none"/>
          <w14:ligatures w14:val="none"/>
        </w:rPr>
      </w:pPr>
      <w:r>
        <w:rPr>
          <w:rFonts w:hint="eastAsia" w:ascii="宋体" w:hAnsi="宋体" w:eastAsia="宋体" w:cs="宋体"/>
          <w:color w:val="343333"/>
          <w:kern w:val="0"/>
          <w:sz w:val="24"/>
          <w:szCs w:val="24"/>
          <w:highlight w:val="none"/>
          <w14:ligatures w14:val="none"/>
        </w:rPr>
        <w:t>  202</w:t>
      </w:r>
      <w:r>
        <w:rPr>
          <w:rFonts w:hint="eastAsia" w:ascii="宋体" w:hAnsi="宋体" w:eastAsia="宋体" w:cs="宋体"/>
          <w:color w:val="343333"/>
          <w:kern w:val="0"/>
          <w:sz w:val="24"/>
          <w:szCs w:val="24"/>
          <w:highlight w:val="none"/>
          <w:lang w:val="en-US" w:eastAsia="zh-CN"/>
          <w14:ligatures w14:val="none"/>
        </w:rPr>
        <w:t>6</w:t>
      </w:r>
      <w:r>
        <w:rPr>
          <w:rFonts w:hint="eastAsia" w:ascii="宋体" w:hAnsi="宋体" w:eastAsia="宋体" w:cs="宋体"/>
          <w:color w:val="343333"/>
          <w:kern w:val="0"/>
          <w:sz w:val="24"/>
          <w:szCs w:val="24"/>
          <w:highlight w:val="none"/>
          <w14:ligatures w14:val="none"/>
        </w:rPr>
        <w:t>年</w:t>
      </w:r>
      <w:r>
        <w:rPr>
          <w:rFonts w:hint="eastAsia" w:ascii="宋体" w:hAnsi="宋体" w:eastAsia="宋体" w:cs="宋体"/>
          <w:color w:val="343333"/>
          <w:kern w:val="0"/>
          <w:sz w:val="24"/>
          <w:szCs w:val="24"/>
          <w:highlight w:val="none"/>
          <w:lang w:val="en-US" w:eastAsia="zh-CN"/>
          <w14:ligatures w14:val="none"/>
        </w:rPr>
        <w:t>三</w:t>
      </w:r>
      <w:r>
        <w:rPr>
          <w:rFonts w:hint="eastAsia" w:ascii="宋体" w:hAnsi="宋体" w:eastAsia="宋体" w:cs="宋体"/>
          <w:color w:val="343333"/>
          <w:kern w:val="0"/>
          <w:sz w:val="24"/>
          <w:szCs w:val="24"/>
          <w:highlight w:val="none"/>
          <w14:ligatures w14:val="none"/>
        </w:rPr>
        <w:t>季度末，本行核心一级资本充足率及一级资本充足率均为</w:t>
      </w:r>
      <w:r>
        <w:rPr>
          <w:rFonts w:hint="eastAsia" w:ascii="宋体" w:hAnsi="宋体" w:eastAsia="宋体" w:cs="宋体"/>
          <w:color w:val="343333"/>
          <w:kern w:val="0"/>
          <w:sz w:val="24"/>
          <w:szCs w:val="24"/>
          <w:highlight w:val="none"/>
          <w:lang w:val="en-US" w:eastAsia="zh-CN"/>
          <w14:ligatures w14:val="none"/>
        </w:rPr>
        <w:t>13.99</w:t>
      </w:r>
      <w:r>
        <w:rPr>
          <w:rFonts w:hint="eastAsia" w:ascii="宋体" w:hAnsi="宋体" w:eastAsia="宋体" w:cs="宋体"/>
          <w:color w:val="343333"/>
          <w:kern w:val="0"/>
          <w:sz w:val="24"/>
          <w:szCs w:val="24"/>
          <w:highlight w:val="none"/>
          <w14:ligatures w14:val="none"/>
        </w:rPr>
        <w:t>%，资本充足率</w:t>
      </w:r>
      <w:r>
        <w:rPr>
          <w:rFonts w:hint="eastAsia" w:ascii="宋体" w:hAnsi="宋体" w:eastAsia="宋体" w:cs="宋体"/>
          <w:color w:val="343333"/>
          <w:kern w:val="0"/>
          <w:sz w:val="24"/>
          <w:szCs w:val="24"/>
          <w:highlight w:val="none"/>
          <w:lang w:val="en-US" w:eastAsia="zh-CN"/>
          <w14:ligatures w14:val="none"/>
        </w:rPr>
        <w:t>19.98</w:t>
      </w:r>
      <w:r>
        <w:rPr>
          <w:rFonts w:hint="eastAsia" w:ascii="宋体" w:hAnsi="宋体" w:eastAsia="宋体" w:cs="宋体"/>
          <w:color w:val="343333"/>
          <w:kern w:val="0"/>
          <w:sz w:val="24"/>
          <w:szCs w:val="24"/>
          <w:highlight w:val="none"/>
          <w14:ligatures w14:val="none"/>
        </w:rPr>
        <w:t>%。</w:t>
      </w:r>
    </w:p>
    <w:p>
      <w:pPr>
        <w:widowControl/>
        <w:shd w:val="clear" w:color="auto" w:fill="FFFFFF"/>
        <w:spacing w:line="360" w:lineRule="atLeast"/>
        <w:rPr>
          <w:rFonts w:hint="eastAsia" w:ascii="宋体" w:hAnsi="宋体" w:eastAsia="宋体" w:cs="宋体"/>
          <w:color w:val="343333"/>
          <w:kern w:val="0"/>
          <w:szCs w:val="21"/>
          <w:highlight w:val="none"/>
          <w14:ligatures w14:val="none"/>
        </w:rPr>
      </w:pPr>
      <w:r>
        <w:rPr>
          <w:rFonts w:hint="eastAsia" w:ascii="宋体" w:hAnsi="宋体" w:eastAsia="宋体" w:cs="宋体"/>
          <w:color w:val="343333"/>
          <w:kern w:val="0"/>
          <w:szCs w:val="21"/>
          <w:highlight w:val="none"/>
          <w14:ligatures w14:val="none"/>
        </w:rPr>
        <w:t>                       </w:t>
      </w:r>
    </w:p>
    <w:p>
      <w:pPr>
        <w:widowControl/>
        <w:shd w:val="clear" w:color="auto" w:fill="FFFFFF"/>
        <w:spacing w:line="360" w:lineRule="atLeast"/>
        <w:ind w:firstLine="4830" w:firstLineChars="2300"/>
        <w:rPr>
          <w:rFonts w:hint="eastAsia" w:ascii="宋体" w:hAnsi="宋体" w:eastAsia="宋体" w:cs="宋体"/>
          <w:color w:val="343333"/>
          <w:kern w:val="0"/>
          <w:szCs w:val="21"/>
          <w:highlight w:val="none"/>
          <w14:ligatures w14:val="none"/>
        </w:rPr>
      </w:pPr>
    </w:p>
    <w:p>
      <w:pPr>
        <w:widowControl/>
        <w:shd w:val="clear" w:color="auto" w:fill="FFFFFF"/>
        <w:spacing w:line="360" w:lineRule="atLeast"/>
        <w:ind w:firstLine="4320" w:firstLineChars="1800"/>
        <w:rPr>
          <w:rFonts w:hint="eastAsia" w:ascii="宋体" w:hAnsi="宋体" w:eastAsia="宋体" w:cs="宋体"/>
          <w:color w:val="343333"/>
          <w:kern w:val="0"/>
          <w:sz w:val="24"/>
          <w:szCs w:val="24"/>
          <w:highlight w:val="none"/>
          <w14:ligatures w14:val="none"/>
        </w:rPr>
      </w:pPr>
      <w:r>
        <w:rPr>
          <w:rFonts w:hint="eastAsia" w:ascii="宋体" w:hAnsi="宋体" w:eastAsia="宋体" w:cs="宋体"/>
          <w:color w:val="343333"/>
          <w:kern w:val="0"/>
          <w:sz w:val="24"/>
          <w:szCs w:val="24"/>
          <w:highlight w:val="none"/>
          <w14:ligatures w14:val="none"/>
        </w:rPr>
        <w:t>江西</w:t>
      </w:r>
      <w:r>
        <w:rPr>
          <w:rFonts w:hint="eastAsia" w:ascii="宋体" w:hAnsi="宋体" w:eastAsia="宋体" w:cs="宋体"/>
          <w:color w:val="343333"/>
          <w:kern w:val="0"/>
          <w:sz w:val="24"/>
          <w:szCs w:val="24"/>
          <w:highlight w:val="none"/>
          <w:lang w:val="en-US" w:eastAsia="zh-CN"/>
          <w14:ligatures w14:val="none"/>
        </w:rPr>
        <w:t>全</w:t>
      </w:r>
      <w:r>
        <w:rPr>
          <w:rFonts w:hint="eastAsia" w:ascii="宋体" w:hAnsi="宋体" w:eastAsia="宋体" w:cs="宋体"/>
          <w:color w:val="343333"/>
          <w:kern w:val="0"/>
          <w:sz w:val="24"/>
          <w:szCs w:val="24"/>
          <w:highlight w:val="none"/>
          <w:lang w:eastAsia="zh-CN"/>
          <w14:ligatures w14:val="none"/>
        </w:rPr>
        <w:t>南</w:t>
      </w:r>
      <w:r>
        <w:rPr>
          <w:rFonts w:hint="eastAsia" w:ascii="宋体" w:hAnsi="宋体" w:eastAsia="宋体" w:cs="宋体"/>
          <w:color w:val="343333"/>
          <w:kern w:val="0"/>
          <w:sz w:val="24"/>
          <w:szCs w:val="24"/>
          <w:highlight w:val="none"/>
          <w14:ligatures w14:val="none"/>
        </w:rPr>
        <w:t>农村商业银行股份有限公司</w:t>
      </w:r>
    </w:p>
    <w:p>
      <w:pPr>
        <w:widowControl/>
        <w:shd w:val="clear" w:color="auto" w:fill="FFFFFF"/>
        <w:spacing w:line="360" w:lineRule="atLeast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343333"/>
          <w:kern w:val="0"/>
          <w:sz w:val="24"/>
          <w:szCs w:val="24"/>
          <w:highlight w:val="none"/>
          <w14:ligatures w14:val="none"/>
        </w:rPr>
        <w:t>               </w:t>
      </w:r>
      <w:r>
        <w:rPr>
          <w:rFonts w:hint="eastAsia" w:ascii="宋体" w:hAnsi="宋体" w:eastAsia="宋体" w:cs="宋体"/>
          <w:color w:val="343333"/>
          <w:kern w:val="0"/>
          <w:sz w:val="24"/>
          <w:szCs w:val="24"/>
          <w:highlight w:val="none"/>
          <w:lang w:val="en-US" w:eastAsia="zh-CN"/>
          <w14:ligatures w14:val="none"/>
        </w:rPr>
        <w:t xml:space="preserve">               </w:t>
      </w:r>
      <w:r>
        <w:rPr>
          <w:rFonts w:hint="eastAsia" w:ascii="宋体" w:hAnsi="宋体" w:eastAsia="宋体" w:cs="宋体"/>
          <w:color w:val="343333"/>
          <w:kern w:val="0"/>
          <w:sz w:val="24"/>
          <w:szCs w:val="24"/>
          <w:highlight w:val="none"/>
          <w14:ligatures w14:val="none"/>
        </w:rPr>
        <w:t>202</w:t>
      </w:r>
      <w:r>
        <w:rPr>
          <w:rFonts w:hint="eastAsia" w:ascii="宋体" w:hAnsi="宋体" w:eastAsia="宋体" w:cs="宋体"/>
          <w:color w:val="343333"/>
          <w:kern w:val="0"/>
          <w:sz w:val="24"/>
          <w:szCs w:val="24"/>
          <w:highlight w:val="none"/>
          <w:lang w:val="en-US" w:eastAsia="zh-CN"/>
          <w14:ligatures w14:val="none"/>
        </w:rPr>
        <w:t>6年10</w:t>
      </w:r>
      <w:r>
        <w:rPr>
          <w:rFonts w:hint="eastAsia" w:ascii="宋体" w:hAnsi="宋体" w:eastAsia="宋体" w:cs="宋体"/>
          <w:color w:val="343333"/>
          <w:kern w:val="0"/>
          <w:sz w:val="24"/>
          <w:szCs w:val="24"/>
          <w:highlight w:val="none"/>
          <w14:ligatures w14:val="none"/>
        </w:rPr>
        <w:t>月</w:t>
      </w:r>
      <w:r>
        <w:rPr>
          <w:rFonts w:hint="eastAsia" w:ascii="宋体" w:hAnsi="宋体" w:eastAsia="宋体" w:cs="宋体"/>
          <w:color w:val="343333"/>
          <w:kern w:val="0"/>
          <w:sz w:val="24"/>
          <w:szCs w:val="24"/>
          <w:highlight w:val="none"/>
          <w:lang w:val="en-US" w:eastAsia="zh-CN"/>
          <w14:ligatures w14:val="none"/>
        </w:rPr>
        <w:t>27</w:t>
      </w:r>
      <w:r>
        <w:rPr>
          <w:rFonts w:hint="eastAsia" w:ascii="宋体" w:hAnsi="宋体" w:eastAsia="宋体" w:cs="宋体"/>
          <w:color w:val="343333"/>
          <w:kern w:val="0"/>
          <w:sz w:val="24"/>
          <w:szCs w:val="24"/>
          <w:highlight w:val="none"/>
          <w14:ligatures w14:val="none"/>
        </w:rPr>
        <w:t>日</w:t>
      </w: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75A6"/>
    <w:rsid w:val="00294B90"/>
    <w:rsid w:val="00AF75A6"/>
    <w:rsid w:val="00EC0E6C"/>
    <w:rsid w:val="00F32529"/>
    <w:rsid w:val="03273136"/>
    <w:rsid w:val="03B7032D"/>
    <w:rsid w:val="048620C0"/>
    <w:rsid w:val="04DF3D1D"/>
    <w:rsid w:val="08834D55"/>
    <w:rsid w:val="0AEE4340"/>
    <w:rsid w:val="0E115E14"/>
    <w:rsid w:val="1161634C"/>
    <w:rsid w:val="17A6735C"/>
    <w:rsid w:val="1BED2848"/>
    <w:rsid w:val="1C6C13CF"/>
    <w:rsid w:val="1F7442A7"/>
    <w:rsid w:val="21AB292C"/>
    <w:rsid w:val="22231219"/>
    <w:rsid w:val="22B23BDE"/>
    <w:rsid w:val="2518434D"/>
    <w:rsid w:val="25337EBF"/>
    <w:rsid w:val="25394958"/>
    <w:rsid w:val="26677ADE"/>
    <w:rsid w:val="291908EF"/>
    <w:rsid w:val="294E76CF"/>
    <w:rsid w:val="2B435B74"/>
    <w:rsid w:val="2F8D0A28"/>
    <w:rsid w:val="2F8E3D0F"/>
    <w:rsid w:val="3085160D"/>
    <w:rsid w:val="323E71AD"/>
    <w:rsid w:val="326D244F"/>
    <w:rsid w:val="338B345D"/>
    <w:rsid w:val="341D1574"/>
    <w:rsid w:val="34C06945"/>
    <w:rsid w:val="35D40346"/>
    <w:rsid w:val="389B54E5"/>
    <w:rsid w:val="3D4D4C0A"/>
    <w:rsid w:val="3FD67DA8"/>
    <w:rsid w:val="415D7D78"/>
    <w:rsid w:val="439F52C3"/>
    <w:rsid w:val="44EC3FE1"/>
    <w:rsid w:val="4B256994"/>
    <w:rsid w:val="4B4E4F22"/>
    <w:rsid w:val="4CAE4C48"/>
    <w:rsid w:val="4D3834FE"/>
    <w:rsid w:val="4D777206"/>
    <w:rsid w:val="4F5868EF"/>
    <w:rsid w:val="58BB22AE"/>
    <w:rsid w:val="5B3F31A9"/>
    <w:rsid w:val="5D14159F"/>
    <w:rsid w:val="615C1E53"/>
    <w:rsid w:val="621B1D1C"/>
    <w:rsid w:val="66466BFC"/>
    <w:rsid w:val="67125B3A"/>
    <w:rsid w:val="68A30583"/>
    <w:rsid w:val="69DA1C0A"/>
    <w:rsid w:val="6BAD5E6E"/>
    <w:rsid w:val="6C111E75"/>
    <w:rsid w:val="6E4E7B52"/>
    <w:rsid w:val="6F32698A"/>
    <w:rsid w:val="726456E7"/>
    <w:rsid w:val="72965553"/>
    <w:rsid w:val="73334E0A"/>
    <w:rsid w:val="73591AB5"/>
    <w:rsid w:val="741B3F58"/>
    <w:rsid w:val="7533390F"/>
    <w:rsid w:val="774F474D"/>
    <w:rsid w:val="7985603A"/>
    <w:rsid w:val="7A3E4C1E"/>
    <w:rsid w:val="7B5338E6"/>
    <w:rsid w:val="7B9863FE"/>
    <w:rsid w:val="7F4A6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2"/>
    <w:basedOn w:val="1"/>
    <w:next w:val="1"/>
    <w:link w:val="10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6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8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10">
    <w:name w:val="标题 2 字符"/>
    <w:basedOn w:val="6"/>
    <w:link w:val="2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139</Words>
  <Characters>793</Characters>
  <Lines>6</Lines>
  <Paragraphs>1</Paragraphs>
  <TotalTime>4</TotalTime>
  <ScaleCrop>false</ScaleCrop>
  <LinksUpToDate>false</LinksUpToDate>
  <CharactersWithSpaces>931</CharactersWithSpaces>
  <Application>WPS Office_10.8.2.6726_F1E327BC-269C-435d-A152-05C5408002CA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2024-04-14T05:20:00Z</dcterms:created>
  <dc:creator>妮 徐</dc:creator>
  <cp:lastModifiedBy>Win11</cp:lastModifiedBy>
  <cp:lastPrinted>2026-01-27T07:12:00Z</cp:lastPrinted>
  <dcterms:modified xsi:type="dcterms:W3CDTF">2026-10-27T08:19:28Z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2052-10.8.2.6726</vt:lpwstr>
  </property>
</Properties>
</file>