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瑞金农商银行2025年度“三农”金融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服务和普惠金融工作报告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5" w:name="_GoBack"/>
      <w:bookmarkEnd w:id="15"/>
      <w:r>
        <w:rPr>
          <w:rFonts w:hint="eastAsia" w:ascii="仿宋_GB2312" w:hAnsi="仿宋_GB2312" w:eastAsia="仿宋_GB2312" w:cs="仿宋_GB2312"/>
          <w:sz w:val="32"/>
          <w:szCs w:val="32"/>
        </w:rPr>
        <w:t>2025年，我行紧扣乡村振兴战略部署，聚焦农户、新型农业经营主体、小微企业、个体工商户等重点群体，持续加大信贷投放、优化服务流程、强化风险管控、落实减费让利，全方位提升三农与普惠金融服务质效，助力地方经济高质量发展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现将全行2025年度“三农”金融服务和普惠金融工作开展情况、存在问题及后续工作计划报告如下，请予审议。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b w:val="0"/>
        </w:rPr>
      </w:pPr>
      <w:bookmarkStart w:id="0" w:name="heading_0"/>
      <w:r>
        <w:rPr>
          <w:rFonts w:hint="eastAsia"/>
          <w:lang w:eastAsia="zh-CN"/>
        </w:rPr>
        <w:t>一、</w:t>
      </w:r>
      <w:r>
        <w:t>2025年度工作总体概况</w:t>
      </w:r>
      <w:bookmarkEnd w:id="0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行深入贯彻落实国家、省市及地方普惠金融、乡村振兴工作各项决策部署，锚定普惠金融改革试验区建设目标，以服务实体经济、赋能三农发展为核心，持续优化信贷结构、完善服务体系、创新服务模式、筑牢金融防线，各项普惠及三农金融业务稳健有序推进。截至2025年末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我行各项贷款余额90.96亿元，较年初净增6.93亿元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普惠及三农指标稳步提质、全面达标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其中涉农贷款余额42.83亿元，较年初新增1.86亿元，普惠涉农贷款余额34.12亿元，较年初新增1.52亿元，持续保持稳步增长态势；乡村振兴专项贷款余额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15.07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亿元，较年初提升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0.61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亿元，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乡村产业发展、乡村基础设施建设提供金融支撑；普惠小微企业贷款余额23.2亿元，较年初新增3.23亿元，完成全年增量计划的124.23％，增速高于全行各项贷款平均增速，圆满完成“两增两控”目标。全行有贷款余额客户数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8155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首贷户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679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户，普惠授信覆盖率、有效用信覆盖率实现稳步提升，普惠金融服务触达范围和服务质效持续拓宽。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640" w:firstLineChars="200"/>
        <w:textAlignment w:val="auto"/>
        <w:rPr>
          <w:b w:val="0"/>
        </w:rPr>
      </w:pPr>
      <w:bookmarkStart w:id="1" w:name="heading_1"/>
      <w:r>
        <w:rPr>
          <w:rFonts w:hint="eastAsia"/>
          <w:lang w:eastAsia="zh-CN"/>
        </w:rPr>
        <w:t>二、</w:t>
      </w:r>
      <w:r>
        <w:t>2025年度主要工作举措及成效</w:t>
      </w:r>
      <w:bookmarkEnd w:id="1"/>
    </w:p>
    <w:p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</w:rPr>
      </w:pPr>
      <w:bookmarkStart w:id="2" w:name="heading_2"/>
      <w:r>
        <w:rPr>
          <w:rFonts w:hint="eastAsia"/>
          <w:b/>
          <w:bCs/>
          <w:lang w:eastAsia="zh-CN"/>
        </w:rPr>
        <w:t>（一）</w:t>
      </w:r>
      <w:r>
        <w:rPr>
          <w:b/>
          <w:bCs/>
        </w:rPr>
        <w:t>聚焦精准授信，优化信贷投向结构</w:t>
      </w:r>
      <w:bookmarkEnd w:id="2"/>
    </w:p>
    <w:p>
      <w:pPr>
        <w:pStyle w:val="11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lang w:eastAsia="zh-CN"/>
        </w:rPr>
        <w:t>1.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深耕本土普惠市场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。持续落地贷款客户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数稳定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计划，扎实推进乡村振兴整村授信、支农支小普惠授信、普惠金融万里行等专项工作，深耕县域本土金融市场，推动普惠金融业务从“大水漫灌”向“精准滴灌”转型，实现“扩面、提额、增效”高质量发展。明确条线差异化信贷投放导向，三农条线重点投放30万元以下农户小额信用贷款，小微条线重点拓展100万元以下个体工商户、社区居民经营性及消费性小额贷款，持续优化“小、散、快”的普惠信贷结构，重点培育忠诚度高、发展潜力足、与银行共成长的小微客户群体。2025年末，全行100万元以下普惠贷款余额占各项贷款比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62.37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％，服务客户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37745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户；30万元以下小额贷款余额占各项贷款比重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45.54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％，服务客户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34662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户，小额普惠信贷的主体支撑地位进一步巩固。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</w:pPr>
      <w:r>
        <w:rPr>
          <w:rStyle w:val="19"/>
          <w:rFonts w:hint="eastAsia" w:ascii="仿宋_GB2312" w:hAnsi="仿宋_GB2312" w:eastAsia="仿宋_GB2312" w:cs="仿宋_GB2312"/>
          <w:lang w:eastAsia="zh-CN"/>
        </w:rPr>
        <w:t>2.</w:t>
      </w:r>
      <w:r>
        <w:rPr>
          <w:rStyle w:val="19"/>
          <w:rFonts w:hint="eastAsia" w:ascii="仿宋_GB2312" w:hAnsi="仿宋_GB2312" w:eastAsia="仿宋_GB2312" w:cs="仿宋_GB2312"/>
          <w:highlight w:val="none"/>
        </w:rPr>
        <w:t>做大优质信用信贷规模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。重点推广创业贴息贷、百福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社保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贷、百福流水易贷、百福订单贷等标准化普惠信贷产品，持续提升纯信用贷款投放占比，推动全行信贷资产轻量化、优质化、低风险转型。2025年末，我行信用贷款余额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51.15亿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，占各项贷款总额比重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56.61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，较年初提升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2.62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个百分点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。全年累计投放农户小额信用贷款36743笔、18.77亿元，百福居民贷15530笔、9.05亿元，财农信贷通1395笔、2.27亿元，创业贴息贷1146笔、1.91亿元，精准匹配各类涉农、小微普惠主体的常态化资金需求。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lang w:eastAsia="zh-CN"/>
        </w:rPr>
        <w:t>3.</w:t>
      </w:r>
      <w:r>
        <w:rPr>
          <w:rStyle w:val="19"/>
          <w:rFonts w:hint="eastAsia" w:ascii="仿宋_GB2312" w:hAnsi="仿宋_GB2312" w:eastAsia="仿宋_GB2312" w:cs="仿宋_GB2312"/>
        </w:rPr>
        <w:t>倾斜重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点产业领域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。紧扣瑞金地方特色农业产业布局，重点支持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脐橙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、蔬菜、油茶、白莲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畜禽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等特色种养殖产业，创新推出“产业复兴贷”专属产品，全年投放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精准赋能种养殖大户及涉农经销商发展。同时加大对乡村旅游、休闲农业、农村电商、绿色生态农业等乡村新业态信贷支持，深化产业链金融服务，聚焦本地脐橙加工等核心产业链，依托核心企业为上下游小微主体提供全链条信贷赋能。持续强化对农民合作社、家庭农场、种养大户等新型农业经营主体的金融赋能，助力县域特色农业产业规模化、品牌化发展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楷体_GB2312" w:hAnsi="楷体_GB2312" w:eastAsia="楷体_GB2312" w:cs="楷体_GB2312"/>
          <w:b/>
          <w:bCs/>
        </w:rPr>
      </w:pPr>
      <w:bookmarkStart w:id="3" w:name="heading_3"/>
      <w:r>
        <w:rPr>
          <w:rFonts w:hint="eastAsia"/>
          <w:b/>
          <w:bCs/>
          <w:lang w:eastAsia="zh-CN"/>
        </w:rPr>
        <w:t>（二）</w:t>
      </w:r>
      <w:r>
        <w:rPr>
          <w:b/>
          <w:bCs/>
        </w:rPr>
        <w:t>健全考核机制，强化</w:t>
      </w:r>
      <w:r>
        <w:rPr>
          <w:rFonts w:hint="eastAsia"/>
          <w:b/>
          <w:bCs/>
          <w:lang w:val="en-US" w:eastAsia="zh-CN"/>
        </w:rPr>
        <w:t>普惠</w:t>
      </w:r>
      <w:r>
        <w:rPr>
          <w:b/>
          <w:bCs/>
        </w:rPr>
        <w:t>金融保障</w:t>
      </w:r>
      <w:bookmarkEnd w:id="3"/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lang w:eastAsia="zh-CN"/>
        </w:rPr>
        <w:t>1.</w:t>
      </w:r>
      <w:r>
        <w:rPr>
          <w:rStyle w:val="19"/>
          <w:rFonts w:hint="eastAsia" w:ascii="仿宋_GB2312" w:hAnsi="仿宋_GB2312" w:eastAsia="仿宋_GB2312" w:cs="仿宋_GB2312"/>
        </w:rPr>
        <w:t>单列专项信贷计划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。制定《2025年普惠金融信贷计划》，单独核定涉农贷款、普惠涉农贷款、普惠小微企业贷款信贷额度，优先保障三农、普惠领域信贷资源投放，从制度层面确保信贷资金精准流向实体经济、三农基层领域，杜绝信贷资金脱实向虚。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lang w:eastAsia="zh-CN"/>
        </w:rPr>
        <w:t>2.</w:t>
      </w:r>
      <w:r>
        <w:rPr>
          <w:rStyle w:val="19"/>
          <w:rFonts w:hint="eastAsia" w:ascii="仿宋_GB2312" w:hAnsi="仿宋_GB2312" w:eastAsia="仿宋_GB2312" w:cs="仿宋_GB2312"/>
        </w:rPr>
        <w:t>完善考核导向体系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。将三农服务、普惠金融工作纳入全行绩效考核核心指标，明确信贷投放重点聚焦乡村振兴、县域实体经济，优先投放1000万元以下小微企业贷款、100万元以下小额个人信用贷款。将整村授信、客户扩面、无还本续贷、减费让利、金融知识宣传等工作纳入客户经理考核体系，压实全员普惠金融工作责任，引导全员深耕三农、服务小微。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lang w:eastAsia="zh-CN"/>
        </w:rPr>
        <w:t>3.</w:t>
      </w:r>
      <w:r>
        <w:rPr>
          <w:rStyle w:val="19"/>
          <w:rFonts w:hint="eastAsia" w:ascii="仿宋_GB2312" w:hAnsi="仿宋_GB2312" w:eastAsia="仿宋_GB2312" w:cs="仿宋_GB2312"/>
        </w:rPr>
        <w:t>强化重点领域金融赋能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修订完善普惠小微企业、绿色信贷、科技金融专项考核方案，将科技型企业、绿色经营主体信贷投放纳入全行季度业务重点竞赛指标，强化考核导向作用。建立辖内科创企业白名单，实行逐户走访、精准对接、销号管理，全面覆盖企业融资需求。2025年，我行科技型企业贷款余额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6.32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较年初增长15975万元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，有效助力地方科创产业、绿色产业转型升级。同时聚焦小微企业、个体工商户、青年客户、新就业群体、行政事业单位客户、外出创业客户六大核心客群精准服务，全年新增小微企业授信客户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创业贴息贷款</w:t>
      </w:r>
      <w:r>
        <w:rPr>
          <w:rFonts w:hint="eastAsia" w:ascii="仿宋_GB2312" w:hAnsi="仿宋_GB2312" w:eastAsia="仿宋_GB2312" w:cs="仿宋_GB2312"/>
          <w:sz w:val="32"/>
          <w:szCs w:val="32"/>
        </w:rPr>
        <w:t>投放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亿元，外出创业客户贷款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百福创业贷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2.83亿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</w:rPr>
      </w:pPr>
      <w:bookmarkStart w:id="4" w:name="heading_4"/>
      <w:r>
        <w:rPr>
          <w:rFonts w:hint="eastAsia"/>
          <w:b/>
          <w:bCs/>
          <w:i w:val="0"/>
          <w:iCs w:val="0"/>
          <w:lang w:eastAsia="zh-CN"/>
        </w:rPr>
        <w:t>（三）</w:t>
      </w:r>
      <w:r>
        <w:rPr>
          <w:b/>
          <w:bCs/>
          <w:i w:val="0"/>
          <w:iCs w:val="0"/>
        </w:rPr>
        <w:t>优化流程产品，提升金融服务效能</w:t>
      </w:r>
      <w:bookmarkEnd w:id="4"/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lang w:eastAsia="zh-CN"/>
        </w:rPr>
        <w:t>1.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迭代优化信贷产品体系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。持续优化存量信贷产品规则，升级“百福·随薪贷”产品体系，保留最高80万元授信额度优势，精准满足公职人员、优质城镇居民消费及经营性资金需求。2025年末，该产品有效用信客户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2051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户，贷款余额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4.45亿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。同步优化“百福农商贷”授信审批流程，完善“普惠金融贷”“百福社保贷”智能化授信评分模型，提升信贷风险精准管控能力。持续丰富产品矩阵，迭代升级“小微易贷”实现全流程线上化，客户申贷至提款最快仅需10分钟，全年投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累计2872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万元；配套推出“赣个贷”“国补商户贷”服务个体工商户，全年授信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460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户、投放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9810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万元，全方位、多层次覆盖农户、个体工商户、小微企业各类融资场景。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lang w:eastAsia="zh-CN"/>
        </w:rPr>
        <w:t>2.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精简办贷审批流程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深化线上线下融合办贷模式，全面实现线上“申贷、审批、放款”全流程闭环服务，持续落实“30万元以内贷款当日办结、小额贷款不过夜、大额贷款三日答复”服务标准，平均审批时效较上年缩短1个工作日。大力推广线上产品，用好线上全额还本续贷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无还本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续贷工具，全年线上续贷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笔、金额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0.61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亿元。依托手机银行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百福快贷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等线上渠道，实现客户自助申贷、放贷、还款，同时深耕场景化金融服务，嵌入专业市场、红色文旅、餐饮商圈等服务场景，让普惠服务触手可及、高效便捷。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lang w:eastAsia="zh-CN"/>
        </w:rPr>
        <w:t>3.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深化银担协同合作模式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持续深化与瑞金市振兴融资担保公司战略合作，常态化落地“普惠快贷”业务，配套专属融资担保信贷产品，为农户信用贷款、小微企业经营贷款提供专业化担保增信支持，有效降低普惠主体融资门槛、缓释单体信贷风险。2025年末，我行“普惠快贷”业务余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1.59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亿元，进一步拓宽三农、小微主体多元化融资渠道。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楷体_GB2312" w:hAnsi="楷体_GB2312" w:eastAsia="楷体_GB2312" w:cs="楷体_GB2312"/>
          <w:b/>
          <w:bCs/>
        </w:rPr>
      </w:pPr>
      <w:bookmarkStart w:id="5" w:name="heading_5"/>
      <w:r>
        <w:rPr>
          <w:rFonts w:hint="eastAsia"/>
          <w:b/>
          <w:bCs/>
          <w:lang w:eastAsia="zh-CN"/>
        </w:rPr>
        <w:t>（四）</w:t>
      </w:r>
      <w:r>
        <w:rPr>
          <w:b/>
          <w:bCs/>
        </w:rPr>
        <w:t>落实减费让利，降低市场主体成本</w:t>
      </w:r>
      <w:bookmarkEnd w:id="5"/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lang w:eastAsia="zh-CN"/>
        </w:rPr>
        <w:t>1.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全面减免各类中介费用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严格落实国家普惠金融减费让利政策，推行内部评估替代第三方评估模式，全面免除贷款客户担保手续费、资产评估费、保险费、公证费等各类中介服务费用及交易成本，实现普惠贷款“零附加费用”，客户仅承担贷款利息，最大限度压降普惠主体综合融资成本。2025年，全行累计完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成内部评估业务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422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笔，为市场主体节约各类评估费用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万元。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lang w:eastAsia="zh-CN"/>
        </w:rPr>
        <w:t>2.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执行差异化优惠利率定价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。持续优化贷款利率定价机制，对小微企业、涉农经营主体、首贷户、新型农业经营主体实施专项利率优惠政策，主动让利于实体经济。2025年，全行小微企业贷款利率较年初下降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0.53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个百分点，有效缓解普惠主体“融资贵”问题，助力县域市场主体稳经营、稳发展。同时对首贷户实行专属利率倾斜，进一步降低新增普惠客户融资成本。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lang w:eastAsia="zh-CN"/>
        </w:rPr>
        <w:t>3.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推广无还本续贷减负服务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全面普及零费率无还本续贷产品，将续贷业务推广落地成效纳入客户经理绩效考核核心指标，引导全员主动为存量优质客户提供续贷服务，切实破解企业“过桥融资”痛点难点。2025年，全行累计发放“续贷保”业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3929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笔、金额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13.37亿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元，为客户节约综合融资成本近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00万元，有效保障小微、涉农企业资金链稳定畅通。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</w:rPr>
      </w:pPr>
      <w:bookmarkStart w:id="6" w:name="heading_6"/>
      <w:r>
        <w:rPr>
          <w:rFonts w:hint="eastAsia" w:ascii="楷体_GB2312" w:hAnsi="楷体_GB2312" w:eastAsia="楷体_GB2312" w:cs="楷体_GB2312"/>
          <w:b/>
          <w:bCs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</w:rPr>
        <w:t>延伸服务触角，构建全域普惠体系</w:t>
      </w:r>
      <w:bookmarkEnd w:id="6"/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lang w:eastAsia="zh-CN"/>
        </w:rPr>
        <w:t>1.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筑牢乡村普惠服务阵地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依托全行覆盖215个行政村的普惠金融服务站点，完善村级基础金融服务网络，全面承接存取款、转账汇款、代理缴费、信贷咨询等基础金融服务，彻底打通金融服务乡村“最后一公里”。2025年，全行普惠金融服务站累计办理各类助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交易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7.6万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笔，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实现村民足不出村即可享受标准化、便捷化金融服务。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lang w:eastAsia="zh-CN"/>
        </w:rPr>
        <w:t>2.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深耕网格化精准服务体系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全面推行县域金融网格化分片包干服务机制，城区网点聚焦产业园区企业、沿街商户、社区居民，乡镇网点深耕村组农户、种养大户、新型农业经营主体，实现辖区客户建档、授信、走访、服务全覆盖，逐户精准对接金融需求、落实普惠授信政策，持续提升普惠贷款服务覆盖面。2025年末，全行信贷客户覆盖辖区人口比重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18.23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较年初实现稳步提升。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lang w:eastAsia="zh-CN"/>
        </w:rPr>
        <w:t>3.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常态化开展精准外拓营销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。针对瑞金在外创业、务工人员集中的地域特点，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组建专门的外拓营销团队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常态化开展普惠金融外拓专项活动，精准对接在外新市民创业、就业、生活金融需求，有效破解农村“空心化”带来的金融服务缺位问题。2025年，全行累计开展外拓营销活动22次，对接服务客户650人次，登记有效金融需求6673万元，新增授信客户193户、授信金额4160万元，新增用信客户141户、用信金额2670万元，实现本土市场与外出市场双向深耕、双向提质。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9"/>
          <w:rFonts w:hint="eastAsia" w:ascii="仿宋_GB2312" w:hAnsi="仿宋_GB2312" w:eastAsia="仿宋_GB2312" w:cs="仿宋_GB2312"/>
          <w:b w:val="0"/>
          <w:bCs w:val="0"/>
          <w:lang w:eastAsia="zh-CN"/>
        </w:rPr>
        <w:t>4.</w:t>
      </w:r>
      <w:r>
        <w:rPr>
          <w:rStyle w:val="19"/>
          <w:rFonts w:hint="eastAsia" w:ascii="仿宋_GB2312" w:hAnsi="仿宋_GB2312" w:eastAsia="仿宋_GB2312" w:cs="仿宋_GB2312"/>
          <w:b w:val="0"/>
          <w:bCs w:val="0"/>
        </w:rPr>
        <w:t>深化金融惠民专项活动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积极配合地方金融服务主管部门，常态化开展金融服务进机关、进社区、进乡村、进企业、进校园专项活动，通过现场宣讲、产品推介、一对一咨询等形式，普及金融政策、推介信贷产品、对接客户需求。2025年，全行累计开展线下金融惠民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场，发放金融宣传资料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1597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余份，收集登记各类金融需求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条，切实提升金融服务普惠度和群众获得感。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楷体_GB2312" w:hAnsi="楷体_GB2312" w:eastAsia="楷体_GB2312" w:cs="楷体_GB2312"/>
          <w:b/>
          <w:bCs/>
        </w:rPr>
      </w:pPr>
      <w:bookmarkStart w:id="7" w:name="heading_7"/>
      <w:r>
        <w:rPr>
          <w:rFonts w:hint="eastAsia"/>
          <w:b/>
          <w:bCs/>
          <w:lang w:eastAsia="zh-CN"/>
        </w:rPr>
        <w:t>（六）</w:t>
      </w:r>
      <w:r>
        <w:rPr>
          <w:b/>
          <w:bCs/>
        </w:rPr>
        <w:t>抓实消保宣传，净化普惠金融生态</w:t>
      </w:r>
      <w:bookmarkEnd w:id="7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严格落实金融消费者权益保护主体责任，常态化开展“3·15金融消费者权益日”“金融知识普及月”“汇聚金融力量 创造美好生活”等主题宣教活动，严格执行金融宣传“五进入”工作要求。通过线下定点宣讲、入户科普、线上全媒体推送等多元化方式，面向社会公众普及普惠金融政策、信贷产品知识、反诈防骗、反假货币、防范非法集资、金融维权等专业金融知识。2025年，累计宣教覆盖群众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1.1万人次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，有效提升城乡居民金融素养和风险防范能力，持续净化县域金融生态环境。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b w:val="0"/>
        </w:rPr>
      </w:pPr>
      <w:bookmarkStart w:id="8" w:name="heading_8"/>
      <w:r>
        <w:rPr>
          <w:rFonts w:hint="eastAsia"/>
          <w:lang w:eastAsia="zh-CN"/>
        </w:rPr>
        <w:t>三、</w:t>
      </w:r>
      <w:r>
        <w:t>当前存在的问题与不足</w:t>
      </w:r>
      <w:bookmarkEnd w:id="8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2025年，我行三农金融服务与普惠金融工作有序推进、成效扎实，但对照监管工作标准、地方发展需求和股东期待，结合全年业务运营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，仍存在普惠服务精准度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不够、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数字化转型进程偏缓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风险管控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不足等突出问题，需要在下一步工作当中重点予以解决。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b w:val="0"/>
        </w:rPr>
      </w:pPr>
      <w:bookmarkStart w:id="9" w:name="heading_9"/>
      <w:r>
        <w:rPr>
          <w:rFonts w:hint="eastAsia"/>
          <w:lang w:eastAsia="zh-CN"/>
        </w:rPr>
        <w:t>四、</w:t>
      </w:r>
      <w:r>
        <w:t>2026年度工作计划</w:t>
      </w:r>
      <w:bookmarkEnd w:id="9"/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楷体_GB2312" w:hAnsi="楷体_GB2312" w:eastAsia="楷体_GB2312" w:cs="楷体_GB2312"/>
          <w:b/>
          <w:bCs/>
        </w:rPr>
      </w:pPr>
      <w:bookmarkStart w:id="10" w:name="heading_10"/>
      <w:r>
        <w:rPr>
          <w:rFonts w:hint="eastAsia"/>
          <w:b/>
          <w:bCs/>
          <w:lang w:eastAsia="zh-CN"/>
        </w:rPr>
        <w:t>（一）</w:t>
      </w:r>
      <w:r>
        <w:rPr>
          <w:b/>
          <w:bCs/>
        </w:rPr>
        <w:t>深耕普惠主业，持续加大信贷投放</w:t>
      </w:r>
      <w:bookmarkEnd w:id="10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国家普惠金融、乡村振兴各项政策要求，坚守支农支小市场定位，持续加大涉农贷款、普惠小微贷款信贷投放力度，全力拓展首贷户、信用贷款客户，持续扩大授信覆盖面和用信覆盖面。持续优化信贷结构，重点提升涉农贷款、普惠小微贷款、小微企业信用贷款、无还本续贷业务占比，严控普惠信贷风险，确保全年实现普惠小微“两增两控”、涉农贷款稳步增长的核心目标，持续夯实普惠金融发展根基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楷体_GB2312" w:hAnsi="楷体_GB2312" w:eastAsia="楷体_GB2312" w:cs="楷体_GB2312"/>
          <w:b/>
          <w:bCs/>
        </w:rPr>
      </w:pPr>
      <w:bookmarkStart w:id="11" w:name="heading_11"/>
      <w:r>
        <w:rPr>
          <w:rFonts w:hint="eastAsia"/>
          <w:b/>
          <w:bCs/>
          <w:lang w:eastAsia="zh-CN"/>
        </w:rPr>
        <w:t>（二）</w:t>
      </w:r>
      <w:r>
        <w:rPr>
          <w:b/>
          <w:bCs/>
        </w:rPr>
        <w:t>聚焦乡村振兴，赋能县域产业升级</w:t>
      </w:r>
      <w:bookmarkEnd w:id="11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度对接地方“五美”乡村建设工作部署，紧扣县域特色农业产业发展规划，持续加大脐橙、粮食、畜禽、特色果蔬等优势种养产业信贷支持，全方位赋能乡村旅游、农村电商、绿色农业等新业态发展。依托“财农信贷通”等特色支农产品，精准对接家庭农场、农民合作社、种养大户等新型农业经营主体金融需求，助力县域农业产业化、规模化、品牌化发展，全力推动农业变强、农村变美、农民变富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楷体_GB2312" w:hAnsi="楷体_GB2312" w:eastAsia="楷体_GB2312" w:cs="楷体_GB2312"/>
          <w:b/>
          <w:bCs/>
        </w:rPr>
      </w:pPr>
      <w:bookmarkStart w:id="12" w:name="heading_12"/>
      <w:r>
        <w:rPr>
          <w:rFonts w:hint="eastAsia"/>
          <w:b/>
          <w:bCs/>
          <w:lang w:eastAsia="zh-CN"/>
        </w:rPr>
        <w:t>（三）</w:t>
      </w:r>
      <w:r>
        <w:rPr>
          <w:b/>
          <w:bCs/>
        </w:rPr>
        <w:t>优化服务体系，提升普惠服务质效</w:t>
      </w:r>
      <w:bookmarkEnd w:id="12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持续深化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，推进网格化服务全覆盖，精准对接未授信客户、存量提质客户金融需求。持续优化信贷产品与办贷流程，迭代升级线上线下融合服务模式，全面提升小额贷款审批、放款效率。持续深化银担合作机制，扩大“普惠快贷”业务覆盖面。常态化开展外拓营销和金融惠民服务，深耕本土、辐射在外新市民群体，持续提升普惠金融服务的广度、深度与温度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</w:rPr>
      </w:pPr>
      <w:bookmarkStart w:id="13" w:name="heading_13"/>
      <w:r>
        <w:rPr>
          <w:rFonts w:hint="eastAsia" w:ascii="楷体_GB2312" w:hAnsi="楷体_GB2312" w:eastAsia="楷体_GB2312" w:cs="楷体_GB2312"/>
          <w:b/>
          <w:bCs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</w:rPr>
        <w:t>深耕五篇文章，丰富普惠金融业态</w:t>
      </w:r>
      <w:bookmarkEnd w:id="13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落地金融“五篇大文章”工作要求，健全多元化普惠金融服务体系，持续迭代升级产品与服务体系。一是强化产品创新，重点研发“专精特新”贷、知识产权质押贷等科创专属产品，推出适配新就业群体、乡村文旅的特色信贷产品，迭代优化现有核心产品，放宽准入条件、提升授信额度；二是深化场景建设，深耕专业市场、红色文旅、绿色农业、乡村产业等重点场景，实现金融服务全场景嵌入、全覆盖渗透；三是提速数字金融转型，全面推广移动展业、线上审批、智能续贷功能，依托大数据优化客户画像和风控模型，提升业务办理全流程数字化水平，推动科技、绿色、养老、普惠、数字金融融合发展，全方位适配县域各类市场主体多元化金融需求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  <w:lang w:eastAsia="zh-CN"/>
        </w:rPr>
      </w:pPr>
      <w:bookmarkStart w:id="14" w:name="heading_14"/>
      <w:r>
        <w:rPr>
          <w:rFonts w:hint="eastAsia" w:ascii="楷体_GB2312" w:hAnsi="楷体_GB2312" w:eastAsia="楷体_GB2312" w:cs="楷体_GB2312"/>
          <w:b/>
          <w:bCs/>
          <w:lang w:eastAsia="zh-CN"/>
        </w:rPr>
        <w:t>（五）筑牢风控防线，守护金融生态稳定</w:t>
      </w:r>
      <w:bookmarkEnd w:id="14"/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优化普惠信贷风险管控体系，构建全流程智能风控机制，完善授信评分模型，做实贷前精准准入、贷中严格审查、贷后动态监测，运用大数据技术实现风险实时预警，严防信贷资金违规流入限制性领域，严控关注类贷款向下迁徙。加大不良资产清收处置力度，对存量不良贷款实行“一户一策”精准化解，压实全员清收责任，严厉打击恶意逃废债行为，筑牢资产质量底线。持续深化减费让利政策，严格落实金融服务收费规范，切实降低市场主体融资成本。常态化开展金融知识宣传和消费者权益保护工作，持续净化县域金融生态，树立农商银行普惠、合规、惠民的良好品牌形象。同时强化队伍建设，通过常态化培训、师带徒机制、专业资质提升、优化考核激励，全面提升客户经理队伍专业能力和营销积极性，激发全员内生动力。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今年是“十五五”开局起步之年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也是省联合银行深化改革“后半篇文章”的机制转化年，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行将始终坚守初心使命、立足县域定位、聚焦主责主业，直面短板、精准施策、提质增效，全方位优化三农与普惠金融服务体系，全力赋能乡村振兴和地方实体经济高质量发展，持续提升服务实体经济质效与股东价值回报，为瑞金地方经济高质量发展贡献更强金融力量。</w:t>
      </w:r>
    </w:p>
    <w:sectPr>
      <w:headerReference r:id="rId3" w:type="default"/>
      <w:footerReference r:id="rId4" w:type="default"/>
      <w:footerReference r:id="rId5" w:type="even"/>
      <w:pgSz w:w="11905" w:h="16840"/>
      <w:pgMar w:top="1440" w:right="1800" w:bottom="1440" w:left="1800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EvjmXRAAAABgEAAA8AAAAAAAAAAQAgAAAAIgAAAGRycy9k&#10;b3ducmV2LnhtbFBLAQIUABQAAAAIAIdO4kAswpO+0AEAAIM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S+OZdEAAAAGAQAADwAAAAAAAAABACAAAAAiAAAAZHJz&#10;L2Rvd25yZXYueG1sUEsBAhQAFAAAAAgAh07iQFo18ovSAQAAgw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TQzNDQ4NTZiZmVhNTMzODhiZGFiOTU4OTQ3ZmMifQ=="/>
  </w:docVars>
  <w:rsids>
    <w:rsidRoot w:val="00000000"/>
    <w:rsid w:val="1F2B7F6F"/>
    <w:rsid w:val="22C43020"/>
    <w:rsid w:val="24890DBE"/>
    <w:rsid w:val="39A02D04"/>
    <w:rsid w:val="3E196CF5"/>
    <w:rsid w:val="45546174"/>
    <w:rsid w:val="47AF4D11"/>
    <w:rsid w:val="49112B42"/>
    <w:rsid w:val="599723B7"/>
    <w:rsid w:val="5B1C2265"/>
    <w:rsid w:val="637B358C"/>
    <w:rsid w:val="644A3338"/>
    <w:rsid w:val="66AC1652"/>
    <w:rsid w:val="678E6299"/>
    <w:rsid w:val="6B2F51D9"/>
    <w:rsid w:val="720426B4"/>
    <w:rsid w:val="7FAE7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TotalTime>30</TotalTime>
  <ScaleCrop>false</ScaleCrop>
  <LinksUpToDate>false</LinksUpToDate>
  <Application>WPS Office_10.8.2.6726_F1E327BC-269C-435d-A152-05C5408002CA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2026-06-15T21:03:00Z</dcterms:created>
  <dc:creator>Apache POI</dc:creator>
  <cp:lastModifiedBy>lenovo</cp:lastModifiedBy>
  <dcterms:modified xsi:type="dcterms:W3CDTF">2026-06-30T03:45:26Z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{"Label":"1","ContentProducer":"001191110102MACQD9K64010000","ProduceID":"7651607093401897964","ReservedCode1":"","ContentPropagator":"","PropagateID":"","ReservedCode2":""}</vt:lpwstr>
  </property>
  <property fmtid="{D5CDD505-2E9C-101B-9397-08002B2CF9AE}" pid="3" name="KSOProductBuildVer">
    <vt:lpwstr>2052-10.8.2.6726</vt:lpwstr>
  </property>
  <property fmtid="{D5CDD505-2E9C-101B-9397-08002B2CF9AE}" pid="4" name="ICV">
    <vt:lpwstr>4608CA24A15A4444A2B2B5AC858D10F1_13</vt:lpwstr>
  </property>
</Properties>
</file>