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880" w:firstLineChars="200"/>
        <w:jc w:val="both"/>
        <w:textAlignment w:val="auto"/>
        <w:outlineLvl w:val="9"/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sz w:val="44"/>
          <w:szCs w:val="44"/>
          <w:highlight w:val="none"/>
        </w:rPr>
        <w:t>上犹农商银行202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sz w:val="44"/>
          <w:szCs w:val="44"/>
          <w:highlight w:val="none"/>
        </w:rPr>
        <w:t>年度社会责任报告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Chars="0" w:firstLine="640" w:firstLineChars="200"/>
        <w:jc w:val="both"/>
        <w:textAlignment w:val="auto"/>
        <w:rPr>
          <w:rFonts w:hint="eastAsia" w:eastAsia="方正大标宋简体"/>
          <w:color w:val="auto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2022年，上犹农商银行深入贯彻落实新发展理念，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紧扣高质量发展主线，坚持“立足本土、服务社区、支农支小”的市场定位，全力服务实体经济，大力践行普惠金融，着力防范金融风险，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实现自身业务发展与支持县域经济社会发展的双丰收。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业务指标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2022年，资产总额71.02亿元，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比上年末增长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7.22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贷款余额54.93亿元，比上年末增长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14.03%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负债总额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65.68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比上年末增长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7.41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存款余额61.53亿元，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比上年末增长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9.58%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3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Chars="0" w:firstLine="640" w:firstLineChars="200"/>
        <w:jc w:val="both"/>
        <w:textAlignment w:val="auto"/>
        <w:rPr>
          <w:rFonts w:hint="eastAsia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eastAsia="zh-CN"/>
        </w:rPr>
        <w:t>服务实体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坚持市场定位不动摇，加大金融供给力度，提升服务实体经济质效，全年累计发放各类贷款63.37亿元，同比多放4.84亿元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累计发放乡村振兴贷款2.78亿元，同比多放1.7亿元；累计发放涉农贷款29.05亿元；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同比少放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0.54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亿元；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累计发放小微企业贷款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7.75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亿元，同比多放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0.8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亿元。全年办理无还本续贷、延期还本付息贷款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170户，0.96亿元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。</w:t>
      </w:r>
    </w:p>
    <w:p>
      <w:pPr>
        <w:spacing w:line="560" w:lineRule="exact"/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贷款加权平均利率较上年末下降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0.55个百分点，为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客户减少利息支出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2710万元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创新推出普惠快担产品，累计发放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笔金额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10720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万元。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Arial" w:hAnsi="Arial" w:eastAsia="黑体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eastAsia" w:ascii="Arial" w:hAnsi="Arial" w:eastAsia="黑体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>普惠金融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CN"/>
        </w:rPr>
        <w:t>以整村授信为抓手，深入推进“贷款客户三年翻番”工程。贷款客户数较年初净增5694户，授信户数新增5659户。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zh-CN" w:eastAsia="zh-CN" w:bidi="ar-SA"/>
        </w:rPr>
        <w:t>18个营业网点实现了乡镇“全覆盖”，建立了13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7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zh-CN" w:eastAsia="zh-CN" w:bidi="ar-SA"/>
        </w:rPr>
        <w:t>个助农服务点，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48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zh-CN" w:eastAsia="zh-CN" w:bidi="ar-SA"/>
        </w:rPr>
        <w:t>个普惠金融服务站，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zh-CN" w:eastAsia="zh-CN" w:bidi="ar-SA"/>
        </w:rPr>
        <w:t>个社区普惠金融服务站，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向131个行政村派驻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47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名金融辅导员，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zh-CN" w:eastAsia="zh-CN" w:bidi="ar-SA"/>
        </w:rPr>
        <w:t>打通了金融服务“最后一公里”。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推出整村授信担保业务，为107个行政村1622户农户开展整村担保，金额1.05亿元。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Arial" w:hAnsi="Arial" w:eastAsia="黑体" w:cs="Times New Roman"/>
          <w:color w:val="auto"/>
          <w:kern w:val="2"/>
          <w:sz w:val="32"/>
          <w:szCs w:val="24"/>
          <w:highlight w:val="none"/>
          <w:lang w:val="zh-CN" w:eastAsia="zh-CN" w:bidi="ar-SA"/>
        </w:rPr>
      </w:pPr>
      <w:r>
        <w:rPr>
          <w:rFonts w:hint="eastAsia" w:ascii="Arial" w:hAnsi="Arial" w:eastAsia="黑体" w:cs="Times New Roman"/>
          <w:color w:val="auto"/>
          <w:kern w:val="2"/>
          <w:sz w:val="32"/>
          <w:szCs w:val="24"/>
          <w:highlight w:val="none"/>
          <w:lang w:val="zh-CN" w:eastAsia="zh-CN" w:bidi="ar-SA"/>
        </w:rPr>
        <w:t>四、转型升级</w:t>
      </w:r>
    </w:p>
    <w:p>
      <w:pPr>
        <w:pStyle w:val="5"/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网上银行、手机银行、微银行等用户数9.27万户，较上年末增加1.63万户，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电子银行替代率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96.01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%，智能柜台网点覆盖率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%，移动终端网点覆盖率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%。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全年共推出乡村振兴贷、退役军人贷、社保贷、园丁贷等贷款产品，全年累计发放各类创新贷款产品1645户，金额7724.58万元。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Chars="0" w:firstLine="640" w:firstLineChars="200"/>
        <w:jc w:val="both"/>
        <w:textAlignment w:val="auto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五、风险防控</w:t>
      </w:r>
    </w:p>
    <w:p>
      <w:pPr>
        <w:spacing w:line="560" w:lineRule="exact"/>
        <w:ind w:firstLine="640" w:firstLineChars="200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不良贷款率2.55%，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较上年末上升0.52个百分点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资本充足率13.23%，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较上年末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下降0.59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个百分点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拨备覆盖率314.27%，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较上年末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下降103.96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个百分点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主要监管指标均优于二级监管标准。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Arial" w:hAnsi="Arial" w:eastAsia="黑体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eastAsia" w:ascii="Arial" w:hAnsi="Arial" w:eastAsia="黑体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>六、社会责任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累计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  <w:t>在扶贫、助学、乡村振兴等方面捐赠近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100万元；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  <w:t>累计参与志愿活动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42次，志愿者参与人数达310人次；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  <w:t>累计为老年人、残疾人等特殊群体提供上门服务达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150次。开展“3.15国际消费者权益日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”“普及金融知识、守住钱袋子”、反电信诈骗等主题宣传活动50余场，发放各类宣传资料1.2万份。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  <w:t>制定了《上犹农商银行2022年金融消费者权益保护工作计划》，多次开展员工消保培训，加强消保站建设维护，积极组织宣传教育活动，多渠道公布本行投诉方式。2022年，本行处理投诉3笔，办结率100%，其中问政赣州平台转办2笔，123456消费者投诉热线转办1件，主要为存款业务1笔，扣款问题1笔，柜面服务1笔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Chars="0" w:firstLine="640" w:firstLineChars="200"/>
        <w:jc w:val="both"/>
        <w:textAlignment w:val="auto"/>
        <w:rPr>
          <w:rFonts w:hint="eastAsia" w:ascii="Arial" w:hAnsi="Arial" w:eastAsia="黑体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eastAsia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>七、</w:t>
      </w:r>
      <w:r>
        <w:rPr>
          <w:rFonts w:hint="eastAsia" w:ascii="Arial" w:hAnsi="Arial" w:eastAsia="黑体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>荣誉榜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eastAsia="宋体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荣获全省农商银行普惠金融工作成效奖；荣获上犹县2022年纳税大户企业。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394DD8"/>
    <w:multiLevelType w:val="singleLevel"/>
    <w:tmpl w:val="A5394DD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9897F86"/>
    <w:multiLevelType w:val="singleLevel"/>
    <w:tmpl w:val="79897F8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3OTU5MWRmMGJlMmM1MWVjNGVjOTQ1Y2JlZGIxZTIifQ=="/>
  </w:docVars>
  <w:rsids>
    <w:rsidRoot w:val="00172A27"/>
    <w:rsid w:val="00701D16"/>
    <w:rsid w:val="013E11E0"/>
    <w:rsid w:val="04F46133"/>
    <w:rsid w:val="070609C3"/>
    <w:rsid w:val="0D4B5CAE"/>
    <w:rsid w:val="167334FE"/>
    <w:rsid w:val="171A2208"/>
    <w:rsid w:val="19AF1D62"/>
    <w:rsid w:val="1B4B43A7"/>
    <w:rsid w:val="1BF70E5A"/>
    <w:rsid w:val="1D68691F"/>
    <w:rsid w:val="21695B2F"/>
    <w:rsid w:val="251C27FB"/>
    <w:rsid w:val="2C232719"/>
    <w:rsid w:val="2F8A298B"/>
    <w:rsid w:val="2FA73877"/>
    <w:rsid w:val="324B1079"/>
    <w:rsid w:val="3275475D"/>
    <w:rsid w:val="32F668BA"/>
    <w:rsid w:val="359A5E7E"/>
    <w:rsid w:val="364D0522"/>
    <w:rsid w:val="36BD76A4"/>
    <w:rsid w:val="39CC59DD"/>
    <w:rsid w:val="3ADC7FA3"/>
    <w:rsid w:val="40215D4A"/>
    <w:rsid w:val="40406889"/>
    <w:rsid w:val="46B52634"/>
    <w:rsid w:val="498F216B"/>
    <w:rsid w:val="526A56F4"/>
    <w:rsid w:val="57AE274E"/>
    <w:rsid w:val="58654B7B"/>
    <w:rsid w:val="589D70D8"/>
    <w:rsid w:val="5AB8565A"/>
    <w:rsid w:val="5E8708AF"/>
    <w:rsid w:val="5F30275A"/>
    <w:rsid w:val="5F7E15E8"/>
    <w:rsid w:val="62ED01EA"/>
    <w:rsid w:val="693558A1"/>
    <w:rsid w:val="6A080BDF"/>
    <w:rsid w:val="6E12092B"/>
    <w:rsid w:val="70D4444C"/>
    <w:rsid w:val="74962BC5"/>
    <w:rsid w:val="79B1018C"/>
    <w:rsid w:val="7DCF395D"/>
    <w:rsid w:val="7F82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jc w:val="both"/>
      <w:outlineLvl w:val="0"/>
    </w:pPr>
    <w:rPr>
      <w:rFonts w:hint="eastAsia" w:ascii="宋体" w:hAnsi="宋体" w:eastAsia="方正大标宋简体" w:cs="宋体"/>
      <w:b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黑体"/>
      <w:sz w:val="32"/>
      <w:szCs w:val="24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2"/>
    </w:pPr>
    <w:rPr>
      <w:rFonts w:eastAsia="楷体_GB2312" w:asciiTheme="minorAscii" w:hAnsiTheme="minorAscii"/>
      <w:b/>
      <w:sz w:val="32"/>
      <w:szCs w:val="24"/>
    </w:rPr>
  </w:style>
  <w:style w:type="character" w:default="1" w:styleId="8">
    <w:name w:val="Default Paragraph Font"/>
    <w:semiHidden/>
    <w:qFormat/>
    <w:uiPriority w:val="0"/>
    <w:rPr>
      <w:rFonts w:ascii="Times New Roman" w:hAnsi="Times New Roman" w:eastAsia="华文仿宋"/>
      <w:sz w:val="32"/>
    </w:rPr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标题 3 Char"/>
    <w:link w:val="4"/>
    <w:qFormat/>
    <w:uiPriority w:val="0"/>
    <w:rPr>
      <w:rFonts w:eastAsia="楷体_GB2312" w:asciiTheme="minorAscii" w:hAnsiTheme="minorAscii"/>
      <w:b/>
      <w:sz w:val="32"/>
      <w:szCs w:val="24"/>
    </w:rPr>
  </w:style>
  <w:style w:type="paragraph" w:customStyle="1" w:styleId="11">
    <w:name w:val="正文1"/>
    <w:basedOn w:val="1"/>
    <w:qFormat/>
    <w:uiPriority w:val="0"/>
    <w:pPr>
      <w:spacing w:line="560" w:lineRule="exact"/>
      <w:ind w:firstLine="640" w:firstLineChars="200"/>
    </w:pPr>
    <w:rPr>
      <w:rFonts w:ascii="Calibri" w:hAnsi="Calibri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144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2023-03-28T11:10:00Z</dcterms:created>
  <dc:creator>匿名用户</dc:creator>
  <cp:lastModifiedBy>lenovo-pc</cp:lastModifiedBy>
  <dcterms:modified xsi:type="dcterms:W3CDTF">2023-08-30T08:14:46Z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7EEE2775247A497A9C8CF8E70063F096_12</vt:lpwstr>
  </property>
</Properties>
</file>