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Calibri" w:eastAsia="方正大标宋简体" w:cs="Times New Roman"/>
          <w:sz w:val="44"/>
          <w:szCs w:val="44"/>
          <w:lang w:val="en-US" w:eastAsia="zh-CN"/>
        </w:rPr>
      </w:pPr>
      <w:r>
        <w:rPr>
          <w:rFonts w:hint="eastAsia" w:ascii="方正大标宋简体" w:hAnsi="Calibri" w:eastAsia="方正大标宋简体" w:cs="Times New Roman"/>
          <w:sz w:val="44"/>
          <w:szCs w:val="44"/>
          <w:lang w:val="en-US" w:eastAsia="zh-CN"/>
        </w:rPr>
        <w:t>铜鼓农商银行</w:t>
      </w:r>
      <w:r>
        <w:rPr>
          <w:rFonts w:hint="eastAsia" w:ascii="方正大标宋简体" w:hAnsi="Calibri" w:eastAsia="方正大标宋简体" w:cs="Times New Roman"/>
          <w:sz w:val="44"/>
          <w:szCs w:val="44"/>
          <w:lang w:val="en-US" w:eastAsia="zh-CN"/>
        </w:rPr>
        <w:t>2023年社会责任报告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铜鼓</w:t>
      </w:r>
      <w:r>
        <w:rPr>
          <w:rFonts w:ascii="仿宋_GB2312" w:hAnsi="仿宋" w:eastAsia="仿宋_GB2312" w:cs="仿宋_GB2312"/>
          <w:sz w:val="32"/>
          <w:szCs w:val="32"/>
        </w:rPr>
        <w:t>农商</w:t>
      </w:r>
      <w:r>
        <w:rPr>
          <w:rFonts w:ascii="仿宋_GB2312" w:eastAsia="仿宋_GB2312"/>
          <w:sz w:val="32"/>
          <w:szCs w:val="32"/>
        </w:rPr>
        <w:t>银行</w:t>
      </w:r>
      <w:r>
        <w:rPr>
          <w:rFonts w:hint="eastAsia" w:ascii="仿宋_GB2312" w:eastAsia="仿宋_GB2312"/>
          <w:sz w:val="32"/>
          <w:szCs w:val="32"/>
        </w:rPr>
        <w:t>在各级党委、政府的正确领导下，在社会各界和广大股东的大力支持下，</w:t>
      </w:r>
      <w:r>
        <w:rPr>
          <w:rFonts w:hint="eastAsia" w:ascii="仿宋_GB2312" w:eastAsia="仿宋_GB2312"/>
          <w:sz w:val="32"/>
          <w:szCs w:val="32"/>
          <w:lang w:eastAsia="zh-CN"/>
        </w:rPr>
        <w:t>紧扣高质量发展要求，一以贯之“八行战略”，不断提升“五大能力”</w:t>
      </w:r>
      <w:r>
        <w:rPr>
          <w:rFonts w:hint="eastAsia" w:ascii="仿宋_GB2312" w:eastAsia="仿宋_GB2312"/>
          <w:sz w:val="32"/>
          <w:szCs w:val="32"/>
        </w:rPr>
        <w:t>，推动各项业务发展稳步提升，有效服务县域社会经济发展。</w:t>
      </w:r>
      <w:r>
        <w:rPr>
          <w:rFonts w:hint="eastAsia" w:ascii="仿宋_GB2312" w:hAnsi="仿宋" w:eastAsia="仿宋_GB2312" w:cs="仿宋_GB2312"/>
          <w:sz w:val="32"/>
          <w:szCs w:val="32"/>
        </w:rPr>
        <w:t>截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_GB2312"/>
          <w:sz w:val="32"/>
          <w:szCs w:val="32"/>
        </w:rPr>
        <w:t>年末，</w:t>
      </w:r>
      <w:r>
        <w:rPr>
          <w:rFonts w:hint="eastAsia" w:ascii="仿宋_GB2312" w:eastAsia="仿宋_GB2312"/>
          <w:sz w:val="32"/>
          <w:szCs w:val="32"/>
        </w:rPr>
        <w:t>存贷款规模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58.26</w:t>
      </w:r>
      <w:r>
        <w:rPr>
          <w:rFonts w:hint="eastAsia" w:ascii="仿宋_GB2312" w:eastAsia="仿宋_GB2312"/>
          <w:sz w:val="32"/>
          <w:szCs w:val="32"/>
        </w:rPr>
        <w:t>亿元，其中：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各项存款余额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31.84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仿宋_GB2312" w:hAnsi="仿宋" w:eastAsia="仿宋_GB2312"/>
          <w:sz w:val="32"/>
          <w:szCs w:val="32"/>
        </w:rPr>
        <w:t>，较年初增加2.74亿元，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增幅</w:t>
      </w:r>
      <w:r>
        <w:rPr>
          <w:rFonts w:hint="eastAsia" w:ascii="仿宋_GB2312" w:hAnsi="仿宋" w:eastAsia="仿宋_GB2312"/>
          <w:sz w:val="32"/>
          <w:szCs w:val="32"/>
        </w:rPr>
        <w:t>9.43%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各项贷款余额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26.42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较年初增加2.37亿元，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增幅</w:t>
      </w:r>
      <w:r>
        <w:rPr>
          <w:rFonts w:hint="eastAsia" w:ascii="仿宋_GB2312" w:hAnsi="仿宋" w:eastAsia="仿宋_GB2312"/>
          <w:sz w:val="32"/>
          <w:szCs w:val="32"/>
        </w:rPr>
        <w:t>9.84%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业务规模持续领跑全县金融机构。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2023年，铜鼓农商银行被省联社授予“工作成效先进单位”、“2023年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开门红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互金业务经营先进单位”，被铜鼓县委县政府授予“2023年度纳税超500万企业”。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一、在支持本地经济中彰显“农商”担当。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始终坚持稳经济就是稳大局理念，积极融入地方发展大局。积极对接辖内小微企业、小微企业主和个体工商户，加大走访力度，满足企业发展融资需求。持续简化办贷手续，优化业务操作，实行客户单签，精简审批流程，做到办贷流程再优化；主动协调县创业中心，积极引导企业申办贴息贷款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2023年末，普惠小微贷款余额8.59亿元，较年初增长1.09亿元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。与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103个农村党组织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签订“党建联建共建合作协议”和“党建引领乡村振兴合作协议”，把强化与行政事业单位的战略合作作为资源整合共享，推进业务发展的有力抓手，与县乡村振兴局联合下发《铜鼓县“党建+金融”整村授信助力乡村振兴实施方案》，将整村授信工作纳入乡镇工作考核。网点负责人作为乡镇金融联络员，每月向乡镇分管领导、，每季向主要领导汇报乡村振兴工作。2023年末，涉农贷款余额12.9亿元，较年初增长0.24亿元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陆续推出“城商贷”“建易贷”、“安商贷”等信贷产品，满足多层次客户需求，通过创新产品累计发放贷款2500万元。通过移动IPDA、手机银行等数字化渠道，突破空间、时间束缚，随时随地为客户提供金融服务。2023年末手机银行客户4.1万户，较年初增加4849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二、在服务市场主体中贡献金融力量。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始终坚持以客户为中心理念，坚定走好普惠金融之路，以“一颗真心”聚力支农支小。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乡村振兴整村授信和城区支小支微普惠授信，制定了每日电话营销、每周夜扫、每月小型对接会、每季金融夜校、适时开展金融万里行外拓的营销机制，各网点以开展各类营销活动为抓手，扩大贷款营销覆盖面。2023年末，全行贷款客户数15190户，较年初净增1224户，客户授信覆盖面44.13%，较上年末增长3.55个百分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下沉服务重心，深入商会、校园、事业单位开展“金融知识宣讲”、“金融夜校”、“小型业务对接会”等各类普惠金融活动170余场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优化选点布局，新开办西湖小区普惠金融服务站，丰富服务站功能类型，拓宽服务覆盖面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积极开展“党建+普惠金融万里行”活动，先后赴昆明、佛山、东莞、深圳、台州等地开展外拓营销，服务对接112名铜鼓籍在外客户，授信金额5380万元，用信金额3560万元。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积极落实减费让利政策，对“专精特新”中小企业、高新科技技术企业给予优惠利率，全年共优惠贷款利息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200余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三、在履行社会责任中淬炼为民初心。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牢记金融为民初心使命，践行金融工作的政治性、人民性，积极履行社会职责、承担社会责任。认真做好脱贫人口小额信贷投放与管理，推进脱贫攻坚成果与乡村振兴有效衔接，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2023年脱贫人口小额信贷累计发放762户、金额2668万元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围绕助力乡村振兴，通过驻村帮扶、公益捐赠等举措，将金融活水引入田间地头。与铜鼓县税务局签订党建联建共建合作协议，为纳税人发展“贷”来活力，实现“纳税人有发展、银行有效率、纳税更诚信”的良性互动进行了深入合作。2023年开展了员工入职座谈、员工节日慰问、员工喜事庆贺、员工病丧抚慰、员工医疗保障、员工培育成长、山区员工关怀、员工困难帮扶、员工退休温暖等活动共计36次，充分体现人文关怀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不断加强网点职场环境管理，配齐轮椅、老花镜等设备，全面做好适老化服务。</w:t>
      </w:r>
      <w:bookmarkStart w:id="0" w:name="_GoBack"/>
      <w:bookmarkEnd w:id="0"/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组织开展了消费者权益保护、防电信诈骗、反洗钱反假币等宣传活动，助力高考、关爱新就业群体等志愿活动，树立了良好社会形象。</w:t>
      </w:r>
    </w:p>
    <w:p>
      <w:pPr>
        <w:pStyle w:val="2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2023年12月30日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193A"/>
    <w:rsid w:val="513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小四 行距: 1.5 倍行距 + 首行缩进:  2 字符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2024-10-09T01:03:00Z</dcterms:created>
  <dc:creator>Administrator</dc:creator>
  <cp:lastModifiedBy>Administrator</cp:lastModifiedBy>
  <dcterms:modified xsi:type="dcterms:W3CDTF">2024-10-09T02:07:50Z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