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center"/>
        <w:textAlignment w:val="auto"/>
        <w:outlineLvl w:val="9"/>
        <w:rPr>
          <w:rFonts w:hint="eastAsia" w:ascii="方正大标宋简体" w:hAnsi="Calibri" w:eastAsia="方正大标宋简体" w:cs="Times New Roman"/>
          <w:sz w:val="44"/>
          <w:szCs w:val="44"/>
          <w:lang w:val="en-US" w:eastAsia="zh-CN"/>
        </w:rPr>
      </w:pPr>
      <w:r>
        <w:rPr>
          <w:rFonts w:hint="eastAsia" w:ascii="方正大标宋简体" w:hAnsi="Calibri" w:eastAsia="方正大标宋简体" w:cs="Times New Roman"/>
          <w:sz w:val="44"/>
          <w:szCs w:val="44"/>
          <w:lang w:val="en-US" w:eastAsia="zh-CN"/>
        </w:rPr>
        <w:t>铜鼓农商银行2024年社会责任报告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铜鼓</w:t>
      </w:r>
      <w:r>
        <w:rPr>
          <w:rFonts w:ascii="仿宋_GB2312" w:hAnsi="仿宋" w:eastAsia="仿宋_GB2312" w:cs="仿宋_GB2312"/>
          <w:sz w:val="32"/>
          <w:szCs w:val="32"/>
        </w:rPr>
        <w:t>农商</w:t>
      </w:r>
      <w:r>
        <w:rPr>
          <w:rFonts w:ascii="仿宋_GB2312" w:eastAsia="仿宋_GB2312"/>
          <w:sz w:val="32"/>
          <w:szCs w:val="32"/>
        </w:rPr>
        <w:t>银行</w:t>
      </w:r>
      <w:r>
        <w:rPr>
          <w:rFonts w:hint="eastAsia" w:ascii="仿宋_GB2312" w:eastAsia="仿宋_GB2312"/>
          <w:sz w:val="32"/>
          <w:szCs w:val="32"/>
        </w:rPr>
        <w:t>在各级党委、政府的正确领导下，在社会各界和广大股东的大力支持下，</w:t>
      </w:r>
      <w:r>
        <w:rPr>
          <w:rFonts w:hint="eastAsia" w:ascii="仿宋_GB2312" w:eastAsia="仿宋_GB2312"/>
          <w:sz w:val="32"/>
          <w:szCs w:val="32"/>
          <w:lang w:eastAsia="zh-CN"/>
        </w:rPr>
        <w:t>紧扣高质量发展要求，一以贯之“八行战略”，不断提升“五大能力”</w:t>
      </w:r>
      <w:r>
        <w:rPr>
          <w:rFonts w:hint="eastAsia" w:ascii="仿宋_GB2312" w:eastAsia="仿宋_GB2312"/>
          <w:sz w:val="32"/>
          <w:szCs w:val="32"/>
        </w:rPr>
        <w:t>，推动各项业务发展稳步提升，有效服务县域社会经济发展。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（一）坚持服务实体，抓好信贷投放。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年末，全行各项贷款余额28.58亿元，较年初增加2.16亿元，增幅8.18%，完成全年计划的10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有效信贷投放较年初净增2.17亿元，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新增有效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占比100.39%。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一是高质高效服务实体经济。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zh-CN"/>
        </w:rPr>
        <w:t>加大走访力度，积极对接辖内小微企业、小微企业主和个体工商户，年末小微企业建档率达90.2%，个体商户建档率达91%，普惠小微贷款余额较年初净增1.03亿元。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二是稳扎稳打推进客户扩面。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zh-CN"/>
        </w:rPr>
        <w:t>制定了网点每日电话营销、每周夜扫、每月小型对接会、每季金融夜校营销机制，常态化开展“找回流失客户、唤醒睡眠客户、培育潜在客户、存量提额、反掐尖、全员营销”六项工作，全面推进“一大工程三项行动”。12月末，贷款客户较年初净增1035户，完成全年计划的103.5%，有效贷款客户占比75.22%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三是精准精确做好特色营销。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配合铜鼓老城区改造出台“安置贷”产品，为100位客户授信2897万元，新增用信2113万元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按照差异化竞争思路，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zh-CN"/>
        </w:rPr>
        <w:t>与县工信委合作，创新推出“安商贷”产品，由园区管委会推荐，县财政出资担保并全额贴息，专项对接新招商引资入园区的小微企业，全年新增“安商贷”小微企业授信16户4690万元，新增用信4440万元，全县80%以上的新入园企业都在我行开户办理业务。同时，对优质客户采取优惠利率“反掐尖”，通过主动下调利率新增用信9030万元。先后赴云南、浙江开展“普惠金融万里行”3场，对接客户81户授信72户，新增授信金额6615万元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（二）坚持存款立行，抓稳资金组织。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全行上下牢固树立“大抓存款”的鲜明导向，扎实推进资金组织工作。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2024年末，全行各项存款余额34.30亿元，较年初净增2.46亿元，增幅7.73%；日均存款净增2.53亿元，完成全年计划的102.39%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一是广营销。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抓住营销旺季，对资金组织工作提前部署，制定专项考核方案，营造全员揽储的工作氛围，2024年春天行动期间，各项存款净增2.07亿元，占今年存款净增的83.96%。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zh-CN"/>
        </w:rPr>
        <w:t>开展“百福生活圈系列活动”、县域“乡村振兴”、满立减等专场活动，有效推广百福卡支付，同步提升商户、客户活跃度和生活圈影响力，有效引留低成本资金。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二是优服务。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zh-CN"/>
        </w:rPr>
        <w:t>合理配备柜员和大堂经理，提升业务处理时效。针对特殊人群金融需求，依托移动终端设备开展上门服务，擦亮“有温度的银行”品牌形象。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三是控成本。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zh-CN"/>
        </w:rPr>
        <w:t>每日监测存款结构，按定活、期限、金额等进行分类统计，每周分析市场行情与竞争态势，适时调整利率水平。今年以来共调整存款利率13次，存款付息率1.32%，较年初下降0.13个百分点，压缩利息支出439万元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（三）坚持效益导向，抓实发展质效。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始终坚持质量效益导向，提升精细化管理水平，不断提高发展质效。2024年，全行实现各项收入18209万元，同比增加841万元，增幅4.84%；实现税备前利润8171万元，同比增加1099万元，完成全年计划的113.49%；实现净利润2379万元，同比上升373万元，成本收入比38.01%，同比下降3.19个百分点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一是拓宽收入来源。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充分利用富余资金，发展债券、同业资金业务，提高资金运营收入，2024年实现资金运营收入2796万元。开展代理小额贷款意外伤害保险、车险、贵金属产品等代销业务，全年实现中间业务收入170万元。通过自主清收和依法诉讼清收等方式，持续加大表外不良贷款清收力度，全年共清收表外不良贷款本金351万元，利息237万元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二是加强财务管理。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严格落实财务规章制度，规范财务审批程序，严控费用支出。实施差异化存款利率定价，逐步优化存款利率结构和期限结构，有效管控付息成本。加强非生息资产管理，从严控制固定资产购置，及时清理应收账款挂账，对闲置固定资产加快处置，2024年处置拍卖了港口支行原办公大楼、温泉支行政府置换店面及住房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三是强化效益导向。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用好绩效考核“指挥棒”，设置质效考核系数，加大利润指标考核权重，增强核算意识和成本观念。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（四）坚持风险化解，抓牢不良处置。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守牢信贷资产风险“生命线”，多措并举防风险，推进高质量可持续发展。2024年末，表内不良贷款余额9033万元，较年初上升572万元，不良贷款率3.16%，较年初下降0.04个百分点。累计处置表内不良贷款6012万元，完成处置任务的100.2%，其中现金清收3231万元，现金清收占比53.74%。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一是“党建领航”凝聚人心鼓干劲。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zh-CN"/>
        </w:rPr>
        <w:t>制定“党建+不良贷款分厘必追颗粒归仓”攻坚方案，落实机关支部包片帮扶基层党支部清收责任，4月开展了全员集中攻坚清收，9月起重点对两通、公职人员、员工及亲属不良贷款开展清收，营造全员清收的浓厚氛围。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二是“共建护航”加强合作增效能。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zh-CN"/>
        </w:rPr>
        <w:t>加强与法院、公安等部门的沟通协作，开通“绿色通道”，加快立案、送达、开庭、审理、执行等司法环节工作进度。2024年共起诉立案49笔1763万元，申请执行46笔2219万元，通过诉讼收回1250万元。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三是“先锋续航”履职尽责显担当。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zh-CN"/>
        </w:rPr>
        <w:t>班子成员每周调度100万元以上可能进入不良的贷款，及时约谈网点负责人和借款人，提前处置，防患于未然。每季召开不良处置听证会，一户一策，集体研究化解方案，并建立台帐督促落实，12月末不良贷款现金清收占比53.74%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4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contextualSpacing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（五）坚持以客户为中心，抓好服务提升。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一是不断完善线上服务。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持续加大对互联网金融客户营销力度，完善线上服务渠道，2024年末，全行互金客户新增5389户，互金月活跃客户较上年末增加4442户；社保卡激活率79.75%,较上年底增加1.34个百分点，激活卡卡均余额2924元，较上年末增加885元；商户贡献度较上年增加148户，完成计划任务的105%;高质量便民服务站完成任务100%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二是建立全天候服务体系。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积极开展错时服务、上门服务、预约服务，金融夜校、普惠金融进社区进企业等活动，2024年共提供错时服务、上门服务200余次，开展普惠金融活动120余场，获得客户和社会各界一致好评。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三是着力提升网点服务能力。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持续开展文明规范化服务提升活动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，外聘机构开展专业培训，每月对网点规范化落实开展明察暗访；各部门按照制定的学习培训计划，定期组织员工进行学习培训，全年开展集中各类培训28期，职工专业素养和服务客户的本领得到提高。</w:t>
      </w:r>
    </w:p>
    <w:p>
      <w:pPr>
        <w:pStyle w:val="6"/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</w:pPr>
    </w:p>
    <w:p>
      <w:pPr>
        <w:pStyle w:val="6"/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</w:pPr>
    </w:p>
    <w:p>
      <w:pPr>
        <w:pStyle w:val="6"/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</w:pPr>
    </w:p>
    <w:p>
      <w:pPr>
        <w:pStyle w:val="6"/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</w:pPr>
    </w:p>
    <w:p>
      <w:pPr>
        <w:pStyle w:val="6"/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</w:pPr>
    </w:p>
    <w:p>
      <w:pPr>
        <w:pStyle w:val="6"/>
        <w:jc w:val="right"/>
        <w:rPr>
          <w:rFonts w:hint="eastAsia" w:ascii="仿宋_GB2312" w:hAnsi="黑体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仿宋_GB2312"/>
          <w:color w:val="000000"/>
          <w:sz w:val="32"/>
          <w:szCs w:val="32"/>
          <w:lang w:val="en-US" w:eastAsia="zh-CN"/>
        </w:rPr>
        <w:t>2025年1月30日</w:t>
      </w:r>
    </w:p>
    <w:p>
      <w:pPr>
        <w:pStyle w:val="6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6193A"/>
    <w:rsid w:val="1D132837"/>
    <w:rsid w:val="33A33F77"/>
    <w:rsid w:val="5136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2"/>
    <w:basedOn w:val="1"/>
    <w:qFormat/>
    <w:uiPriority w:val="0"/>
    <w:pPr>
      <w:spacing w:line="480" w:lineRule="auto"/>
    </w:pPr>
  </w:style>
  <w:style w:type="paragraph" w:customStyle="1" w:styleId="6">
    <w:name w:val="样式 正文 小四 行距: 1.5 倍行距 + 首行缩进:  2 字符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2024-10-09T01:03:00Z</dcterms:created>
  <dc:creator>Administrator</dc:creator>
  <cp:lastModifiedBy>Administrator</cp:lastModifiedBy>
  <dcterms:modified xsi:type="dcterms:W3CDTF">2025-03-20T03:29:33Z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