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  <w:lang w:eastAsia="zh-CN"/>
        </w:rPr>
        <w:t>铜鼓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</w:rPr>
        <w:t>农商银行2022年三季度资本管理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</w:rPr>
        <w:t>信息披露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ascii="仿宋_GB2312" w:eastAsia="仿宋_GB2312" w:cs="仿宋_GB2312" w:hAnsiTheme="minorHAnsi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eastAsia="仿宋_GB2312" w:cs="仿宋_GB2312"/>
          <w:kern w:val="0"/>
          <w:sz w:val="32"/>
          <w:szCs w:val="32"/>
          <w:shd w:val="clear" w:fill="FFFFFF"/>
          <w:lang w:val="en-US" w:eastAsia="zh-CN" w:bidi="ar"/>
        </w:rPr>
        <w:t>本</w:t>
      </w:r>
      <w:r>
        <w:rPr>
          <w:rFonts w:ascii="仿宋_GB2312" w:eastAsia="仿宋_GB2312" w:cs="仿宋_GB2312" w:hAnsiTheme="minorHAnsi"/>
          <w:kern w:val="0"/>
          <w:sz w:val="32"/>
          <w:szCs w:val="32"/>
          <w:shd w:val="clear" w:fill="FFFFFF"/>
          <w:lang w:val="en-US" w:eastAsia="zh-CN" w:bidi="ar"/>
        </w:rPr>
        <w:t>行根据银保监会《商业银行资本管理办法（试行》及相关规定进行资本充足率的计算，计算口径为法人口径。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</w:pPr>
      <w:r>
        <w:rPr>
          <w:rFonts w:hint="eastAsia" w:ascii="仿宋_GB2312" w:eastAsia="仿宋_GB2312" w:cs="仿宋_GB2312" w:hAnsiTheme="minorHAnsi"/>
          <w:kern w:val="0"/>
          <w:sz w:val="32"/>
          <w:szCs w:val="32"/>
          <w:shd w:val="clear" w:fill="FFFFFF"/>
          <w:lang w:val="en-US" w:eastAsia="zh-CN" w:bidi="ar"/>
        </w:rPr>
        <w:t>截至2022年第三季度，</w:t>
      </w:r>
      <w:r>
        <w:rPr>
          <w:rFonts w:hint="eastAsia" w:ascii="仿宋_GB2312" w:eastAsia="仿宋_GB2312" w:cs="仿宋_GB2312"/>
          <w:kern w:val="0"/>
          <w:sz w:val="32"/>
          <w:szCs w:val="32"/>
          <w:shd w:val="clear" w:fill="FFFFFF"/>
          <w:lang w:val="en-US" w:eastAsia="zh-CN" w:bidi="ar"/>
        </w:rPr>
        <w:t>本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shd w:val="clear" w:fill="FFFFFF"/>
          <w:lang w:val="en-US" w:eastAsia="zh-CN" w:bidi="ar"/>
        </w:rPr>
        <w:t>行资本构成及数量、风险加权资产的构成及各级资本充足率计算列示如下：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right="0"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  <w:shd w:val="clear" w:fill="FFFFFF"/>
          <w:lang w:val="en-US" w:eastAsia="zh-CN" w:bidi="ar"/>
        </w:rPr>
        <w:t xml:space="preserve">一、资本构成及数量      </w:t>
      </w:r>
      <w:r>
        <w:rPr>
          <w:rFonts w:hint="eastAsia" w:ascii="黑体" w:hAnsi="黑体" w:eastAsia="黑体" w:cs="黑体"/>
          <w:b/>
          <w:bCs/>
          <w:kern w:val="0"/>
          <w:sz w:val="28"/>
          <w:szCs w:val="28"/>
          <w:shd w:val="clear" w:fill="FFFFFF"/>
          <w:lang w:val="en-US" w:eastAsia="zh-CN" w:bidi="ar"/>
        </w:rPr>
        <w:t>单位：万元人民币</w:t>
      </w:r>
    </w:p>
    <w:tbl>
      <w:tblPr>
        <w:tblStyle w:val="4"/>
        <w:tblW w:w="7079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67"/>
        <w:gridCol w:w="241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4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600" w:firstLineChars="30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1.核心一级资本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20577.06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4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1.1 实收资本可计入部分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11660.83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4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1.2 资本公积可计入部分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210.00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4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1.3盈余公积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1325.08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4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1.4一般风险准备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4774.91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4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1.5未分配利润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2209.11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4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1.6少数股东资本可计入部分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4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1.7其他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397.13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4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600" w:firstLineChars="30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 核心一级资本监管扣除项目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152.44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4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2.1其中：其他无形资产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152.44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4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600" w:firstLineChars="30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3.二级资本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2220.38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4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3.1其中：超额贷款损失准备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2220.38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4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600" w:firstLineChars="30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4.核心一级资本净额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20424.62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4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600" w:firstLineChars="30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5.总资本净额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22645.00 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right="0"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  <w:shd w:val="clear" w:fill="FFFFFF"/>
          <w:lang w:val="en-US" w:eastAsia="zh-CN" w:bidi="ar"/>
        </w:rPr>
        <w:t xml:space="preserve">二、风险加权资产的构成     </w:t>
      </w:r>
      <w:r>
        <w:rPr>
          <w:rFonts w:hint="eastAsia" w:ascii="黑体" w:hAnsi="黑体" w:eastAsia="黑体" w:cs="黑体"/>
          <w:b/>
          <w:bCs/>
          <w:kern w:val="0"/>
          <w:sz w:val="28"/>
          <w:szCs w:val="28"/>
          <w:shd w:val="clear" w:fill="FFFFFF"/>
          <w:lang w:val="en-US" w:eastAsia="zh-CN" w:bidi="ar"/>
        </w:rPr>
        <w:t>单位：万元人民币</w:t>
      </w:r>
    </w:p>
    <w:tbl>
      <w:tblPr>
        <w:tblStyle w:val="4"/>
        <w:tblW w:w="704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53"/>
        <w:gridCol w:w="238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4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00" w:firstLineChars="20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1.信用风险加权资产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179850.57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  <w:jc w:val="center"/>
        </w:trPr>
        <w:tc>
          <w:tcPr>
            <w:tcW w:w="4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1.1表内风险加权资产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179644.95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4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1.2表外风险加权资产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205.62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4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00" w:firstLineChars="20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2.市场风险加权资产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4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00" w:firstLineChars="20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3..操作风险加权资产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17925.00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4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00" w:firstLineChars="20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4.风险加权资产合计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197775.57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shd w:val="clear" w:fill="FFFFFF"/>
          <w:lang w:val="en-US" w:eastAsia="zh-CN" w:bidi="ar"/>
        </w:rPr>
        <w:t>三、</w:t>
      </w:r>
      <w:r>
        <w:rPr>
          <w:rFonts w:hint="eastAsia" w:ascii="黑体" w:hAnsi="黑体" w:eastAsia="黑体" w:cs="黑体"/>
          <w:b w:val="0"/>
          <w:bCs w:val="0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shd w:val="clear" w:fill="FFFFFF"/>
          <w:lang w:val="en-US" w:eastAsia="zh-CN" w:bidi="ar"/>
        </w:rPr>
        <w:t>资本指标</w:t>
      </w:r>
    </w:p>
    <w:tbl>
      <w:tblPr>
        <w:tblStyle w:val="4"/>
        <w:tblW w:w="7040" w:type="dxa"/>
        <w:tblInd w:w="682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53"/>
        <w:gridCol w:w="238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</w:trPr>
        <w:tc>
          <w:tcPr>
            <w:tcW w:w="4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00" w:firstLineChars="20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1.核心一级资本充足率求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10.33%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</w:trPr>
        <w:tc>
          <w:tcPr>
            <w:tcW w:w="4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00" w:firstLineChars="20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2.一级资本充足率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10.33%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</w:trPr>
        <w:tc>
          <w:tcPr>
            <w:tcW w:w="4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00" w:firstLineChars="20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3.资本充足率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11.45%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eastAsia="仿宋_GB2312" w:cs="仿宋_GB2312" w:hAnsiTheme="minorHAnsi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eastAsia="仿宋_GB2312" w:cs="仿宋_GB2312" w:hAnsiTheme="minorHAnsi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eastAsia="仿宋_GB2312" w:cs="仿宋_GB2312" w:hAnsiTheme="minorHAnsi"/>
          <w:kern w:val="0"/>
          <w:sz w:val="32"/>
          <w:szCs w:val="32"/>
          <w:shd w:val="clear" w:fill="FFFFFF"/>
          <w:lang w:val="en-US" w:eastAsia="zh-CN" w:bidi="ar"/>
        </w:rPr>
        <w:t>截至2022年9月末，</w:t>
      </w:r>
      <w:r>
        <w:rPr>
          <w:rFonts w:hint="eastAsia" w:ascii="仿宋_GB2312" w:eastAsia="仿宋_GB2312" w:cs="仿宋_GB2312"/>
          <w:kern w:val="0"/>
          <w:sz w:val="32"/>
          <w:szCs w:val="32"/>
          <w:shd w:val="clear" w:fill="FFFFFF"/>
          <w:lang w:val="en-US" w:eastAsia="zh-CN" w:bidi="ar"/>
        </w:rPr>
        <w:t>本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shd w:val="clear" w:fill="FFFFFF"/>
          <w:lang w:val="en-US" w:eastAsia="zh-CN" w:bidi="ar"/>
        </w:rPr>
        <w:t>行资本充足率相关指标均符合监管要求，特此公示。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right="0" w:firstLine="640" w:firstLineChars="200"/>
        <w:jc w:val="both"/>
        <w:textAlignment w:val="auto"/>
        <w:rPr>
          <w:rFonts w:hint="eastAsia" w:ascii="仿宋_GB2312" w:eastAsia="仿宋_GB2312" w:cs="仿宋_GB2312" w:hAnsiTheme="minorHAnsi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right="0" w:firstLine="640" w:firstLineChars="200"/>
        <w:jc w:val="both"/>
        <w:textAlignment w:val="auto"/>
        <w:rPr>
          <w:rFonts w:hint="eastAsia" w:ascii="仿宋_GB2312" w:eastAsia="仿宋_GB2312" w:cs="仿宋_GB2312" w:hAnsiTheme="minorHAnsi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right="0" w:firstLine="640" w:firstLineChars="200"/>
        <w:jc w:val="both"/>
        <w:textAlignment w:val="auto"/>
        <w:rPr>
          <w:rFonts w:hint="eastAsia" w:ascii="仿宋_GB2312" w:eastAsia="仿宋_GB2312" w:cs="仿宋_GB2312" w:hAnsiTheme="minorHAnsi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right="0" w:firstLine="5440" w:firstLineChars="1700"/>
        <w:jc w:val="both"/>
        <w:textAlignment w:val="auto"/>
        <w:rPr>
          <w:rFonts w:hint="eastAsia" w:ascii="仿宋_GB2312" w:eastAsia="仿宋_GB2312" w:cs="仿宋_GB2312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eastAsia="仿宋_GB2312" w:cs="仿宋_GB2312"/>
          <w:kern w:val="0"/>
          <w:sz w:val="32"/>
          <w:szCs w:val="32"/>
          <w:shd w:val="clear" w:fill="FFFFFF"/>
          <w:lang w:val="en-US" w:eastAsia="zh-CN" w:bidi="ar"/>
        </w:rPr>
        <w:t>铜鼓农商银行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right="0" w:firstLine="5440" w:firstLineChars="1700"/>
        <w:jc w:val="both"/>
        <w:textAlignment w:val="auto"/>
        <w:rPr>
          <w:rFonts w:hint="eastAsia" w:ascii="仿宋_GB2312" w:eastAsia="仿宋_GB2312" w:cs="仿宋_GB2312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eastAsia="仿宋_GB2312" w:cs="仿宋_GB2312"/>
          <w:kern w:val="0"/>
          <w:sz w:val="32"/>
          <w:szCs w:val="32"/>
          <w:shd w:val="clear" w:fill="FFFFFF"/>
          <w:lang w:val="en-US" w:eastAsia="zh-CN" w:bidi="ar"/>
        </w:rPr>
        <w:t>2022年10月15</w:t>
      </w:r>
      <w:bookmarkStart w:id="0" w:name="_GoBack"/>
      <w:bookmarkEnd w:id="0"/>
      <w:r>
        <w:rPr>
          <w:rFonts w:hint="eastAsia" w:ascii="仿宋_GB2312" w:eastAsia="仿宋_GB2312" w:cs="仿宋_GB2312"/>
          <w:kern w:val="0"/>
          <w:sz w:val="32"/>
          <w:szCs w:val="32"/>
          <w:shd w:val="clear" w:fill="FFFFFF"/>
          <w:lang w:val="en-US" w:eastAsia="zh-CN" w:bidi="ar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1NjVlYjVjNTIxNjZiODNhMGFiZTA2YWJlYzAwNjIifQ=="/>
  </w:docVars>
  <w:rsids>
    <w:rsidRoot w:val="00000000"/>
    <w:rsid w:val="02FF77A0"/>
    <w:rsid w:val="07AD7979"/>
    <w:rsid w:val="0A3F3BA4"/>
    <w:rsid w:val="0A6A5BE3"/>
    <w:rsid w:val="12950D97"/>
    <w:rsid w:val="15392A4E"/>
    <w:rsid w:val="1C4331A5"/>
    <w:rsid w:val="28A507E6"/>
    <w:rsid w:val="2B894753"/>
    <w:rsid w:val="302B13A2"/>
    <w:rsid w:val="415E50F1"/>
    <w:rsid w:val="5532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line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line="45" w:lineRule="atLeast"/>
      <w:jc w:val="left"/>
    </w:pPr>
    <w:rPr>
      <w:kern w:val="0"/>
      <w:sz w:val="4"/>
      <w:szCs w:val="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414</Words>
  <Characters>598</Characters>
  <Lines>0</Lines>
  <Paragraphs>0</Paragraphs>
  <TotalTime>29</TotalTime>
  <ScaleCrop>false</ScaleCrop>
  <LinksUpToDate>false</LinksUpToDate>
  <CharactersWithSpaces>706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2022-10-28T09:00:00Z</dcterms:created>
  <dc:creator>Administrator</dc:creator>
  <cp:lastModifiedBy>宠爱绾芊</cp:lastModifiedBy>
  <cp:lastPrinted>2022-10-31T01:06:35Z</cp:lastPrinted>
  <dcterms:modified xsi:type="dcterms:W3CDTF">2022-10-31T02:07:33Z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3DFFB3B9B1664C04AB141C2E1C4824E5</vt:lpwstr>
  </property>
</Properties>
</file>