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大标宋简体" w:hAnsi="方正大标宋简体" w:eastAsia="方正大标宋简体" w:cs="方正大标宋简体"/>
          <w:b w:val="0"/>
          <w:bCs w:val="0"/>
          <w:sz w:val="44"/>
          <w:szCs w:val="44"/>
        </w:rPr>
      </w:pPr>
      <w:r>
        <w:rPr>
          <w:rFonts w:hint="eastAsia" w:ascii="方正大标宋简体" w:hAnsi="方正大标宋简体" w:eastAsia="方正大标宋简体" w:cs="方正大标宋简体"/>
          <w:b w:val="0"/>
          <w:bCs w:val="0"/>
          <w:sz w:val="44"/>
          <w:szCs w:val="44"/>
        </w:rPr>
        <w:t>信丰农商银行2026年</w:t>
      </w:r>
      <w:r>
        <w:rPr>
          <w:rFonts w:hint="eastAsia" w:ascii="方正大标宋简体" w:hAnsi="方正大标宋简体" w:eastAsia="方正大标宋简体" w:cs="方正大标宋简体"/>
          <w:b w:val="0"/>
          <w:bCs w:val="0"/>
          <w:sz w:val="44"/>
          <w:szCs w:val="44"/>
          <w:lang w:eastAsia="zh-CN"/>
        </w:rPr>
        <w:t>三</w:t>
      </w:r>
      <w:r>
        <w:rPr>
          <w:rFonts w:hint="eastAsia" w:ascii="方正大标宋简体" w:hAnsi="方正大标宋简体" w:eastAsia="方正大标宋简体" w:cs="方正大标宋简体"/>
          <w:b w:val="0"/>
          <w:bCs w:val="0"/>
          <w:sz w:val="44"/>
          <w:szCs w:val="44"/>
        </w:rPr>
        <w:t>季度资本管理</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大标宋简体" w:hAnsi="方正大标宋简体" w:eastAsia="方正大标宋简体" w:cs="方正大标宋简体"/>
          <w:b w:val="0"/>
          <w:bCs w:val="0"/>
          <w:sz w:val="44"/>
          <w:szCs w:val="44"/>
        </w:rPr>
      </w:pPr>
      <w:r>
        <w:rPr>
          <w:rFonts w:hint="eastAsia" w:ascii="方正大标宋简体" w:hAnsi="方正大标宋简体" w:eastAsia="方正大标宋简体" w:cs="方正大标宋简体"/>
          <w:b w:val="0"/>
          <w:bCs w:val="0"/>
          <w:sz w:val="44"/>
          <w:szCs w:val="44"/>
        </w:rPr>
        <w:t>信息披露报告</w:t>
      </w:r>
    </w:p>
    <w:p>
      <w:pPr>
        <w:keepNext w:val="0"/>
        <w:keepLines w:val="0"/>
        <w:pageBreakBefore w:val="0"/>
        <w:widowControl w:val="0"/>
        <w:kinsoku/>
        <w:wordWrap/>
        <w:overflowPunct/>
        <w:topLinePunct w:val="0"/>
        <w:autoSpaceDE/>
        <w:autoSpaceDN/>
        <w:bidi w:val="0"/>
        <w:adjustRightInd/>
        <w:snapToGrid/>
        <w:spacing w:line="240" w:lineRule="atLeast"/>
        <w:ind w:firstLine="600" w:firstLineChars="200"/>
        <w:textAlignment w:val="auto"/>
        <w:rPr>
          <w:rFonts w:hint="eastAsia" w:ascii="仿宋" w:hAnsi="仿宋" w:eastAsia="仿宋" w:cs="仿宋"/>
          <w:sz w:val="30"/>
          <w:szCs w:val="30"/>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仿宋_GB2312" w:hAnsi="仿宋_GB2312" w:eastAsia="仿宋_GB2312" w:cs="仿宋_GB2312"/>
          <w:sz w:val="32"/>
          <w:szCs w:val="32"/>
        </w:rPr>
        <w:t>根据《商业银行资本管理办法》</w:t>
      </w:r>
      <w:r>
        <w:rPr>
          <w:rFonts w:hint="eastAsia" w:ascii="仿宋_GB2312" w:hAnsi="仿宋_GB2312" w:eastAsia="仿宋_GB2312" w:cs="仿宋_GB2312"/>
          <w:sz w:val="32"/>
          <w:szCs w:val="32"/>
          <w:lang w:eastAsia="zh-CN"/>
        </w:rPr>
        <w:t>（国家金融监督管理总局令2023年第4号）</w:t>
      </w:r>
      <w:r>
        <w:rPr>
          <w:rFonts w:hint="eastAsia" w:ascii="仿宋_GB2312" w:hAnsi="仿宋_GB2312" w:eastAsia="仿宋_GB2312" w:cs="仿宋_GB2312"/>
          <w:sz w:val="32"/>
          <w:szCs w:val="32"/>
        </w:rPr>
        <w:t>附件22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商业银行信息披露内容和要求</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现</w:t>
      </w:r>
      <w:r>
        <w:rPr>
          <w:rFonts w:hint="eastAsia" w:ascii="仿宋_GB2312" w:hAnsi="仿宋_GB2312" w:eastAsia="仿宋_GB2312" w:cs="仿宋_GB2312"/>
          <w:sz w:val="32"/>
          <w:szCs w:val="32"/>
        </w:rPr>
        <w:t>向投资者和社会公众披露</w:t>
      </w:r>
      <w:r>
        <w:rPr>
          <w:rFonts w:hint="eastAsia" w:ascii="仿宋_GB2312" w:hAnsi="仿宋_GB2312" w:eastAsia="仿宋_GB2312" w:cs="仿宋_GB2312"/>
          <w:sz w:val="32"/>
          <w:szCs w:val="32"/>
          <w:lang w:eastAsia="zh-CN"/>
        </w:rPr>
        <w:t>信丰农商银行（以下简称“本行”）</w:t>
      </w:r>
      <w:r>
        <w:rPr>
          <w:rFonts w:hint="eastAsia" w:ascii="仿宋_GB2312" w:hAnsi="仿宋_GB2312" w:eastAsia="仿宋_GB2312" w:cs="仿宋_GB2312"/>
          <w:sz w:val="32"/>
          <w:szCs w:val="32"/>
          <w:lang w:val="en-US" w:eastAsia="zh-CN"/>
        </w:rPr>
        <w:t>2026年三季度第三支柱（资本管理）</w:t>
      </w:r>
      <w:r>
        <w:rPr>
          <w:rFonts w:hint="eastAsia" w:ascii="仿宋_GB2312" w:hAnsi="仿宋_GB2312" w:eastAsia="仿宋_GB2312" w:cs="仿宋_GB2312"/>
          <w:sz w:val="32"/>
          <w:szCs w:val="32"/>
          <w:lang w:eastAsia="zh-CN"/>
        </w:rPr>
        <w:t>相关信息：</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一、资本管理概览</w:t>
      </w:r>
    </w:p>
    <w:p>
      <w:pPr>
        <w:keepNext w:val="0"/>
        <w:keepLines w:val="0"/>
        <w:pageBreakBefore w:val="0"/>
        <w:widowControl w:val="0"/>
        <w:shd w:val="clear" w:color="auto" w:fill="FEFEFE"/>
        <w:kinsoku/>
        <w:wordWrap/>
        <w:overflowPunct/>
        <w:topLinePunct w:val="0"/>
        <w:autoSpaceDE/>
        <w:autoSpaceDN/>
        <w:bidi w:val="0"/>
        <w:adjustRightInd/>
        <w:snapToGrid/>
        <w:spacing w:line="560" w:lineRule="exact"/>
        <w:ind w:left="0" w:leftChars="0" w:right="0" w:rightChars="0" w:firstLine="652"/>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9月末，本行实收资本（股本）31704.55万元，核心一级资本净额183496.80万元，一级资本净额183496.80万元，资本净额198412.18万元，风险加权资产1333621.10万元，核心一级资本充足率为13.76%，一级资本充足率为13.76%，资本充足率为14.88%，杠杆率为7.83%。 </w:t>
      </w:r>
    </w:p>
    <w:p>
      <w:pPr>
        <w:keepNext w:val="0"/>
        <w:keepLines w:val="0"/>
        <w:pageBreakBefore w:val="0"/>
        <w:widowControl w:val="0"/>
        <w:shd w:val="clear" w:color="auto" w:fill="FEFEFE"/>
        <w:kinsoku/>
        <w:wordWrap/>
        <w:overflowPunct/>
        <w:topLinePunct w:val="0"/>
        <w:autoSpaceDE/>
        <w:autoSpaceDN/>
        <w:bidi w:val="0"/>
        <w:adjustRightInd/>
        <w:snapToGrid/>
        <w:spacing w:line="560" w:lineRule="exact"/>
        <w:ind w:left="0" w:leftChars="0" w:right="0" w:rightChars="0" w:firstLine="652"/>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行调整后表内外资产余额234.35亿元，满足《商业银行资本管理办法》第六条第二款“1．并表口径调整后表内外资产余额100亿元人民币（含）以上，且不符合第一档商业银行条件”规定的机构档次划分标准，适用于第二档商业银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仿宋_GB2312" w:hAnsi="仿宋_GB2312" w:eastAsia="仿宋_GB2312" w:cs="仿宋_GB2312"/>
          <w:sz w:val="32"/>
          <w:szCs w:val="32"/>
          <w:lang w:val="en-US" w:eastAsia="zh-CN"/>
        </w:rPr>
        <w:t>本行建立健全全面风险管理架构和内部资本充足评估程序，建立风险计量体系并覆盖信用、市场、操作等各类风险，涵盖全部表内资产、表外业务等全部风险敞口。本行严格按照监管规定计算资本监管指标，分别采用权重法计量信用风险加权资产、标准法计量市场风险资本要求、基本指标法计量操作风险资本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二、信息披露主要内容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2026年三季度，本行以表格形式进行第三支柱信息披露，包括《监管并表关键审慎监管指标》、《资本构成》（详见附表KM1、CC1），风险计量、资本评估均采用境内单一法人机构口径。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三、特别说明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本行为单一法人农村商业银行，无资本工具发行、无TLAC要求，无直接或间接控制的各类金融附属机构，不构成银行集团，不存在财务并表范围与监管并表范围，二者无差异。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tbl>
      <w:tblPr>
        <w:tblStyle w:val="3"/>
        <w:tblW w:w="9564" w:type="dxa"/>
        <w:tblInd w:w="-509" w:type="dxa"/>
        <w:shd w:val="clear" w:color="auto" w:fill="auto"/>
        <w:tblLayout w:type="fixed"/>
        <w:tblCellMar>
          <w:top w:w="0" w:type="dxa"/>
          <w:left w:w="0" w:type="dxa"/>
          <w:bottom w:w="0" w:type="dxa"/>
          <w:right w:w="0" w:type="dxa"/>
        </w:tblCellMar>
      </w:tblPr>
      <w:tblGrid>
        <w:gridCol w:w="476"/>
        <w:gridCol w:w="3309"/>
        <w:gridCol w:w="1255"/>
        <w:gridCol w:w="1176"/>
        <w:gridCol w:w="1116"/>
        <w:gridCol w:w="1104"/>
        <w:gridCol w:w="1128"/>
      </w:tblGrid>
      <w:tr>
        <w:tblPrEx>
          <w:shd w:val="clear" w:color="auto" w:fill="auto"/>
          <w:tblLayout w:type="fixed"/>
          <w:tblCellMar>
            <w:top w:w="0" w:type="dxa"/>
            <w:left w:w="0" w:type="dxa"/>
            <w:bottom w:w="0" w:type="dxa"/>
            <w:right w:w="0" w:type="dxa"/>
          </w:tblCellMar>
        </w:tblPrEx>
        <w:trPr>
          <w:trHeight w:val="600" w:hRule="atLeast"/>
        </w:trPr>
        <w:tc>
          <w:tcPr>
            <w:tcW w:w="9564" w:type="dxa"/>
            <w:gridSpan w:val="7"/>
            <w:tcBorders>
              <w:top w:val="nil"/>
              <w:left w:val="nil"/>
              <w:bottom w:val="nil"/>
              <w:right w:val="nil"/>
            </w:tcBorders>
            <w:shd w:val="clear" w:color="auto" w:fill="auto"/>
            <w:tcMar>
              <w:top w:w="12" w:type="dxa"/>
              <w:left w:w="12" w:type="dxa"/>
              <w:right w:w="12" w:type="dxa"/>
            </w:tcMar>
            <w:vAlign w:val="center"/>
          </w:tcPr>
          <w:p>
            <w:pPr>
              <w:keepNext w:val="0"/>
              <w:keepLines w:val="0"/>
              <w:widowControl/>
              <w:suppressLineNumbers w:val="0"/>
              <w:ind w:firstLine="562" w:firstLineChars="200"/>
              <w:jc w:val="both"/>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附表KM1：监管并表关键审慎监管指标</w:t>
            </w:r>
          </w:p>
        </w:tc>
      </w:tr>
      <w:tr>
        <w:tblPrEx>
          <w:tblLayout w:type="fixed"/>
          <w:tblCellMar>
            <w:top w:w="0" w:type="dxa"/>
            <w:left w:w="0" w:type="dxa"/>
            <w:bottom w:w="0" w:type="dxa"/>
            <w:right w:w="0" w:type="dxa"/>
          </w:tblCellMar>
        </w:tblPrEx>
        <w:trPr>
          <w:trHeight w:val="516" w:hRule="atLeast"/>
        </w:trPr>
        <w:tc>
          <w:tcPr>
            <w:tcW w:w="9564" w:type="dxa"/>
            <w:gridSpan w:val="7"/>
            <w:tcBorders>
              <w:top w:val="nil"/>
              <w:left w:val="nil"/>
              <w:bottom w:val="nil"/>
              <w:right w:val="nil"/>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日期T：2026年三季度           单位：人民币、万元、%</w:t>
            </w:r>
          </w:p>
        </w:tc>
      </w:tr>
      <w:tr>
        <w:tblPrEx>
          <w:shd w:val="clear" w:color="auto" w:fill="auto"/>
          <w:tblLayout w:type="fixed"/>
          <w:tblCellMar>
            <w:top w:w="0" w:type="dxa"/>
            <w:left w:w="0" w:type="dxa"/>
            <w:bottom w:w="0" w:type="dxa"/>
            <w:right w:w="0" w:type="dxa"/>
          </w:tblCellMar>
        </w:tblPrEx>
        <w:trPr>
          <w:trHeight w:val="345" w:hRule="atLeast"/>
        </w:trPr>
        <w:tc>
          <w:tcPr>
            <w:tcW w:w="476" w:type="dxa"/>
            <w:vMerge w:val="restart"/>
            <w:tcBorders>
              <w:top w:val="single" w:color="000000" w:sz="8"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序号</w:t>
            </w:r>
          </w:p>
        </w:tc>
        <w:tc>
          <w:tcPr>
            <w:tcW w:w="3309" w:type="dxa"/>
            <w:vMerge w:val="restart"/>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项目</w:t>
            </w:r>
          </w:p>
        </w:tc>
        <w:tc>
          <w:tcPr>
            <w:tcW w:w="1255" w:type="dxa"/>
            <w:tcBorders>
              <w:top w:val="single" w:color="000000" w:sz="8"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a</w:t>
            </w:r>
          </w:p>
        </w:tc>
        <w:tc>
          <w:tcPr>
            <w:tcW w:w="117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b</w:t>
            </w:r>
          </w:p>
        </w:tc>
        <w:tc>
          <w:tcPr>
            <w:tcW w:w="111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c</w:t>
            </w:r>
          </w:p>
        </w:tc>
        <w:tc>
          <w:tcPr>
            <w:tcW w:w="1104"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d</w:t>
            </w:r>
          </w:p>
        </w:tc>
        <w:tc>
          <w:tcPr>
            <w:tcW w:w="112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tabs>
                <w:tab w:val="left" w:pos="1470"/>
              </w:tabs>
              <w:ind w:left="210" w:leftChars="100" w:right="2497" w:rightChars="1189"/>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e</w:t>
            </w:r>
          </w:p>
        </w:tc>
      </w:tr>
      <w:tr>
        <w:tblPrEx>
          <w:tblLayout w:type="fixed"/>
          <w:tblCellMar>
            <w:top w:w="0" w:type="dxa"/>
            <w:left w:w="0" w:type="dxa"/>
            <w:bottom w:w="0" w:type="dxa"/>
            <w:right w:w="0" w:type="dxa"/>
          </w:tblCellMar>
        </w:tblPrEx>
        <w:trPr>
          <w:trHeight w:val="345" w:hRule="atLeast"/>
        </w:trPr>
        <w:tc>
          <w:tcPr>
            <w:tcW w:w="476" w:type="dxa"/>
            <w:vMerge w:val="continue"/>
            <w:tcBorders>
              <w:top w:val="single" w:color="000000" w:sz="8" w:space="0"/>
              <w:left w:val="single" w:color="000000" w:sz="8" w:space="0"/>
              <w:bottom w:val="single" w:color="000000" w:sz="4" w:space="0"/>
              <w:right w:val="nil"/>
            </w:tcBorders>
            <w:shd w:val="clear" w:color="auto" w:fill="auto"/>
            <w:tcMar>
              <w:top w:w="12" w:type="dxa"/>
              <w:left w:w="12" w:type="dxa"/>
              <w:right w:w="12" w:type="dxa"/>
            </w:tcMar>
            <w:vAlign w:val="center"/>
          </w:tcPr>
          <w:p>
            <w:pPr>
              <w:jc w:val="center"/>
              <w:rPr>
                <w:rFonts w:hint="default" w:ascii="仿宋_GB2312" w:hAnsi="宋体" w:eastAsia="仿宋_GB2312" w:cs="仿宋_GB2312"/>
                <w:b/>
                <w:i w:val="0"/>
                <w:color w:val="000000"/>
                <w:sz w:val="20"/>
                <w:szCs w:val="20"/>
                <w:u w:val="none"/>
              </w:rPr>
            </w:pPr>
          </w:p>
        </w:tc>
        <w:tc>
          <w:tcPr>
            <w:tcW w:w="3309" w:type="dxa"/>
            <w:vMerge w:val="continue"/>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b/>
                <w:i w:val="0"/>
                <w:color w:val="000000"/>
                <w:sz w:val="20"/>
                <w:szCs w:val="20"/>
                <w:u w:val="none"/>
              </w:rPr>
            </w:pPr>
          </w:p>
        </w:tc>
        <w:tc>
          <w:tcPr>
            <w:tcW w:w="1255" w:type="dxa"/>
            <w:tcBorders>
              <w:top w:val="single" w:color="000000" w:sz="4" w:space="0"/>
              <w:left w:val="nil"/>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T</w:t>
            </w:r>
          </w:p>
        </w:tc>
        <w:tc>
          <w:tcPr>
            <w:tcW w:w="1176"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T-1</w:t>
            </w:r>
          </w:p>
        </w:tc>
        <w:tc>
          <w:tcPr>
            <w:tcW w:w="1116"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T-2</w:t>
            </w:r>
          </w:p>
        </w:tc>
        <w:tc>
          <w:tcPr>
            <w:tcW w:w="1104" w:type="dxa"/>
            <w:tcBorders>
              <w:top w:val="single" w:color="000000" w:sz="4" w:space="0"/>
              <w:left w:val="single" w:color="000000" w:sz="4" w:space="0"/>
              <w:bottom w:val="nil"/>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T-3</w:t>
            </w:r>
          </w:p>
        </w:tc>
        <w:tc>
          <w:tcPr>
            <w:tcW w:w="1128" w:type="dxa"/>
            <w:tcBorders>
              <w:top w:val="single" w:color="000000" w:sz="4" w:space="0"/>
              <w:left w:val="single" w:color="000000" w:sz="4" w:space="0"/>
              <w:bottom w:val="nil"/>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T-4</w:t>
            </w:r>
          </w:p>
        </w:tc>
      </w:tr>
      <w:tr>
        <w:tblPrEx>
          <w:tblLayout w:type="fixed"/>
          <w:tblCellMar>
            <w:top w:w="0" w:type="dxa"/>
            <w:left w:w="0" w:type="dxa"/>
            <w:bottom w:w="0" w:type="dxa"/>
            <w:right w:w="0" w:type="dxa"/>
          </w:tblCellMar>
        </w:tblPrEx>
        <w:trPr>
          <w:trHeight w:val="252" w:hRule="atLeast"/>
        </w:trPr>
        <w:tc>
          <w:tcPr>
            <w:tcW w:w="9564" w:type="dxa"/>
            <w:gridSpan w:val="7"/>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left"/>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可用资本（数额）</w:t>
            </w:r>
          </w:p>
        </w:tc>
      </w:tr>
      <w:tr>
        <w:tblPrEx>
          <w:tblLayout w:type="fixed"/>
          <w:tblCellMar>
            <w:top w:w="0" w:type="dxa"/>
            <w:left w:w="0" w:type="dxa"/>
            <w:bottom w:w="0" w:type="dxa"/>
            <w:right w:w="0" w:type="dxa"/>
          </w:tblCellMar>
        </w:tblPrEx>
        <w:trPr>
          <w:trHeight w:val="345" w:hRule="atLeast"/>
        </w:trPr>
        <w:tc>
          <w:tcPr>
            <w:tcW w:w="476" w:type="dxa"/>
            <w:tcBorders>
              <w:top w:val="nil"/>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w:t>
            </w:r>
          </w:p>
        </w:tc>
        <w:tc>
          <w:tcPr>
            <w:tcW w:w="3309" w:type="dxa"/>
            <w:tcBorders>
              <w:top w:val="nil"/>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核心一级资本净额</w:t>
            </w:r>
          </w:p>
        </w:tc>
        <w:tc>
          <w:tcPr>
            <w:tcW w:w="1255" w:type="dxa"/>
            <w:tcBorders>
              <w:top w:val="nil"/>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183496.8</w:t>
            </w:r>
          </w:p>
        </w:tc>
        <w:tc>
          <w:tcPr>
            <w:tcW w:w="1176"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179754.59</w:t>
            </w:r>
          </w:p>
        </w:tc>
        <w:tc>
          <w:tcPr>
            <w:tcW w:w="1116"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176212.51</w:t>
            </w:r>
          </w:p>
        </w:tc>
        <w:tc>
          <w:tcPr>
            <w:tcW w:w="1104" w:type="dxa"/>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170357.18</w:t>
            </w:r>
          </w:p>
        </w:tc>
        <w:tc>
          <w:tcPr>
            <w:tcW w:w="1128" w:type="dxa"/>
            <w:tcBorders>
              <w:top w:val="nil"/>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166820.66</w:t>
            </w:r>
          </w:p>
        </w:tc>
      </w:tr>
      <w:tr>
        <w:tblPrEx>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一级资本净额</w:t>
            </w:r>
          </w:p>
        </w:tc>
        <w:tc>
          <w:tcPr>
            <w:tcW w:w="125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183496.8</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179754.59</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176212.51</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170357.18</w:t>
            </w:r>
          </w:p>
        </w:tc>
        <w:tc>
          <w:tcPr>
            <w:tcW w:w="112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166820.66</w:t>
            </w:r>
          </w:p>
        </w:tc>
      </w:tr>
      <w:tr>
        <w:tblPrEx>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w:t>
            </w:r>
          </w:p>
        </w:tc>
        <w:tc>
          <w:tcPr>
            <w:tcW w:w="3309"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资本净额</w:t>
            </w:r>
          </w:p>
        </w:tc>
        <w:tc>
          <w:tcPr>
            <w:tcW w:w="1255" w:type="dxa"/>
            <w:tcBorders>
              <w:top w:val="single" w:color="000000" w:sz="4"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198412.18</w:t>
            </w:r>
          </w:p>
        </w:tc>
        <w:tc>
          <w:tcPr>
            <w:tcW w:w="117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194708.07</w:t>
            </w:r>
          </w:p>
        </w:tc>
        <w:tc>
          <w:tcPr>
            <w:tcW w:w="111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190600.92</w:t>
            </w:r>
          </w:p>
        </w:tc>
        <w:tc>
          <w:tcPr>
            <w:tcW w:w="1104"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184597.86</w:t>
            </w:r>
          </w:p>
        </w:tc>
        <w:tc>
          <w:tcPr>
            <w:tcW w:w="112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180635.44</w:t>
            </w:r>
          </w:p>
        </w:tc>
      </w:tr>
      <w:tr>
        <w:tblPrEx>
          <w:tblLayout w:type="fixed"/>
          <w:tblCellMar>
            <w:top w:w="0" w:type="dxa"/>
            <w:left w:w="0" w:type="dxa"/>
            <w:bottom w:w="0" w:type="dxa"/>
            <w:right w:w="0" w:type="dxa"/>
          </w:tblCellMar>
        </w:tblPrEx>
        <w:trPr>
          <w:trHeight w:val="238" w:hRule="atLeast"/>
        </w:trPr>
        <w:tc>
          <w:tcPr>
            <w:tcW w:w="3785" w:type="dxa"/>
            <w:gridSpan w:val="2"/>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rPr>
                <w:rFonts w:hint="default" w:ascii="仿宋_GB2312" w:hAnsi="宋体" w:eastAsia="仿宋_GB2312" w:cs="仿宋_GB2312"/>
                <w:b/>
                <w:bCs/>
                <w:i w:val="0"/>
                <w:color w:val="000000"/>
                <w:kern w:val="0"/>
                <w:sz w:val="20"/>
                <w:szCs w:val="20"/>
                <w:u w:val="none"/>
                <w:lang w:val="en-US" w:eastAsia="zh-CN" w:bidi="ar"/>
              </w:rPr>
            </w:pPr>
          </w:p>
        </w:tc>
        <w:tc>
          <w:tcPr>
            <w:tcW w:w="1255"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7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1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04"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28"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r>
      <w:tr>
        <w:tblPrEx>
          <w:tblLayout w:type="fixed"/>
          <w:tblCellMar>
            <w:top w:w="0" w:type="dxa"/>
            <w:left w:w="0" w:type="dxa"/>
            <w:bottom w:w="0" w:type="dxa"/>
            <w:right w:w="0" w:type="dxa"/>
          </w:tblCellMar>
        </w:tblPrEx>
        <w:trPr>
          <w:trHeight w:val="345" w:hRule="atLeast"/>
        </w:trPr>
        <w:tc>
          <w:tcPr>
            <w:tcW w:w="476" w:type="dxa"/>
            <w:tcBorders>
              <w:top w:val="single" w:color="000000" w:sz="8" w:space="0"/>
              <w:left w:val="single" w:color="000000" w:sz="8" w:space="0"/>
              <w:bottom w:val="single" w:color="000000" w:sz="8"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w:t>
            </w:r>
          </w:p>
        </w:tc>
        <w:tc>
          <w:tcPr>
            <w:tcW w:w="3309" w:type="dxa"/>
            <w:tcBorders>
              <w:top w:val="single" w:color="000000" w:sz="8"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风险加权资产</w:t>
            </w:r>
          </w:p>
        </w:tc>
        <w:tc>
          <w:tcPr>
            <w:tcW w:w="1255" w:type="dxa"/>
            <w:tcBorders>
              <w:top w:val="single" w:color="000000" w:sz="8"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1333621.1</w:t>
            </w:r>
          </w:p>
        </w:tc>
        <w:tc>
          <w:tcPr>
            <w:tcW w:w="1176" w:type="dxa"/>
            <w:tcBorders>
              <w:top w:val="single" w:color="000000" w:sz="8"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1336706.92</w:t>
            </w:r>
          </w:p>
        </w:tc>
        <w:tc>
          <w:tcPr>
            <w:tcW w:w="1116" w:type="dxa"/>
            <w:tcBorders>
              <w:top w:val="single" w:color="000000" w:sz="8"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1290936.29</w:t>
            </w:r>
          </w:p>
        </w:tc>
        <w:tc>
          <w:tcPr>
            <w:tcW w:w="1104" w:type="dxa"/>
            <w:tcBorders>
              <w:top w:val="single" w:color="000000" w:sz="8"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1278969.99</w:t>
            </w:r>
          </w:p>
        </w:tc>
        <w:tc>
          <w:tcPr>
            <w:tcW w:w="1128" w:type="dxa"/>
            <w:tcBorders>
              <w:top w:val="single" w:color="000000" w:sz="8"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1238022.04</w:t>
            </w:r>
          </w:p>
        </w:tc>
      </w:tr>
      <w:tr>
        <w:tblPrEx>
          <w:tblLayout w:type="fixed"/>
          <w:tblCellMar>
            <w:top w:w="0" w:type="dxa"/>
            <w:left w:w="0" w:type="dxa"/>
            <w:bottom w:w="0" w:type="dxa"/>
            <w:right w:w="0" w:type="dxa"/>
          </w:tblCellMar>
        </w:tblPrEx>
        <w:trPr>
          <w:trHeight w:val="271" w:hRule="atLeast"/>
        </w:trPr>
        <w:tc>
          <w:tcPr>
            <w:tcW w:w="3785" w:type="dxa"/>
            <w:gridSpan w:val="2"/>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rPr>
                <w:rFonts w:hint="default" w:ascii="仿宋_GB2312" w:hAnsi="宋体" w:eastAsia="仿宋_GB2312" w:cs="仿宋_GB2312"/>
                <w:b/>
                <w:i w:val="0"/>
                <w:color w:val="000000"/>
                <w:sz w:val="20"/>
                <w:szCs w:val="20"/>
                <w:u w:val="none"/>
              </w:rPr>
            </w:pPr>
          </w:p>
        </w:tc>
        <w:tc>
          <w:tcPr>
            <w:tcW w:w="1255"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7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1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04"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28"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r>
      <w:tr>
        <w:tblPrEx>
          <w:tblLayout w:type="fixed"/>
          <w:tblCellMar>
            <w:top w:w="0" w:type="dxa"/>
            <w:left w:w="0" w:type="dxa"/>
            <w:bottom w:w="0" w:type="dxa"/>
            <w:right w:w="0" w:type="dxa"/>
          </w:tblCellMar>
        </w:tblPrEx>
        <w:trPr>
          <w:trHeight w:val="345" w:hRule="atLeast"/>
        </w:trPr>
        <w:tc>
          <w:tcPr>
            <w:tcW w:w="476" w:type="dxa"/>
            <w:tcBorders>
              <w:top w:val="single" w:color="000000" w:sz="8"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w:t>
            </w:r>
          </w:p>
        </w:tc>
        <w:tc>
          <w:tcPr>
            <w:tcW w:w="3309"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核心一级资本充足率（%）</w:t>
            </w:r>
          </w:p>
        </w:tc>
        <w:tc>
          <w:tcPr>
            <w:tcW w:w="1255" w:type="dxa"/>
            <w:tcBorders>
              <w:top w:val="single" w:color="000000" w:sz="8"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13.76</w:t>
            </w:r>
          </w:p>
        </w:tc>
        <w:tc>
          <w:tcPr>
            <w:tcW w:w="117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13.45</w:t>
            </w:r>
          </w:p>
        </w:tc>
        <w:tc>
          <w:tcPr>
            <w:tcW w:w="111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13.65</w:t>
            </w:r>
          </w:p>
        </w:tc>
        <w:tc>
          <w:tcPr>
            <w:tcW w:w="1104"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13.32</w:t>
            </w:r>
          </w:p>
        </w:tc>
        <w:tc>
          <w:tcPr>
            <w:tcW w:w="112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13.47</w:t>
            </w:r>
          </w:p>
        </w:tc>
      </w:tr>
      <w:tr>
        <w:tblPrEx>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一级资本充足率（%）</w:t>
            </w:r>
          </w:p>
        </w:tc>
        <w:tc>
          <w:tcPr>
            <w:tcW w:w="125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13.76</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13.45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13.65</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13.32</w:t>
            </w:r>
          </w:p>
        </w:tc>
        <w:tc>
          <w:tcPr>
            <w:tcW w:w="112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13.47</w:t>
            </w:r>
          </w:p>
        </w:tc>
      </w:tr>
      <w:tr>
        <w:tblPrEx>
          <w:shd w:val="clear" w:color="auto" w:fill="auto"/>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8"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7</w:t>
            </w:r>
          </w:p>
        </w:tc>
        <w:tc>
          <w:tcPr>
            <w:tcW w:w="3309"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资本充足率（%）</w:t>
            </w:r>
          </w:p>
        </w:tc>
        <w:tc>
          <w:tcPr>
            <w:tcW w:w="1255" w:type="dxa"/>
            <w:tcBorders>
              <w:top w:val="single" w:color="000000" w:sz="4"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14.88</w:t>
            </w:r>
          </w:p>
        </w:tc>
        <w:tc>
          <w:tcPr>
            <w:tcW w:w="117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14.57</w:t>
            </w:r>
          </w:p>
        </w:tc>
        <w:tc>
          <w:tcPr>
            <w:tcW w:w="111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14.76</w:t>
            </w:r>
          </w:p>
        </w:tc>
        <w:tc>
          <w:tcPr>
            <w:tcW w:w="1104"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14.43</w:t>
            </w:r>
          </w:p>
        </w:tc>
        <w:tc>
          <w:tcPr>
            <w:tcW w:w="112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14.59</w:t>
            </w:r>
          </w:p>
        </w:tc>
      </w:tr>
      <w:tr>
        <w:tblPrEx>
          <w:tblLayout w:type="fixed"/>
          <w:tblCellMar>
            <w:top w:w="0" w:type="dxa"/>
            <w:left w:w="0" w:type="dxa"/>
            <w:bottom w:w="0" w:type="dxa"/>
            <w:right w:w="0" w:type="dxa"/>
          </w:tblCellMar>
        </w:tblPrEx>
        <w:trPr>
          <w:trHeight w:val="90" w:hRule="atLeast"/>
        </w:trPr>
        <w:tc>
          <w:tcPr>
            <w:tcW w:w="3785" w:type="dxa"/>
            <w:gridSpan w:val="2"/>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rPr>
                <w:rFonts w:hint="default" w:ascii="仿宋_GB2312" w:hAnsi="宋体" w:eastAsia="仿宋_GB2312" w:cs="仿宋_GB2312"/>
                <w:b/>
                <w:i w:val="0"/>
                <w:color w:val="000000"/>
                <w:sz w:val="20"/>
                <w:szCs w:val="20"/>
                <w:u w:val="none"/>
              </w:rPr>
            </w:pPr>
          </w:p>
        </w:tc>
        <w:tc>
          <w:tcPr>
            <w:tcW w:w="1255"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7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1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04"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28"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r>
      <w:tr>
        <w:tblPrEx>
          <w:tblLayout w:type="fixed"/>
          <w:tblCellMar>
            <w:top w:w="0" w:type="dxa"/>
            <w:left w:w="0" w:type="dxa"/>
            <w:bottom w:w="0" w:type="dxa"/>
            <w:right w:w="0" w:type="dxa"/>
          </w:tblCellMar>
        </w:tblPrEx>
        <w:trPr>
          <w:trHeight w:val="345" w:hRule="atLeast"/>
        </w:trPr>
        <w:tc>
          <w:tcPr>
            <w:tcW w:w="476" w:type="dxa"/>
            <w:tcBorders>
              <w:top w:val="single" w:color="000000" w:sz="8"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8</w:t>
            </w:r>
          </w:p>
        </w:tc>
        <w:tc>
          <w:tcPr>
            <w:tcW w:w="3309"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储备资本要求（%）</w:t>
            </w:r>
          </w:p>
        </w:tc>
        <w:tc>
          <w:tcPr>
            <w:tcW w:w="1255" w:type="dxa"/>
            <w:tcBorders>
              <w:top w:val="single" w:color="000000" w:sz="8"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2.5</w:t>
            </w:r>
          </w:p>
        </w:tc>
        <w:tc>
          <w:tcPr>
            <w:tcW w:w="117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2.5</w:t>
            </w:r>
          </w:p>
        </w:tc>
        <w:tc>
          <w:tcPr>
            <w:tcW w:w="111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2.5</w:t>
            </w:r>
          </w:p>
        </w:tc>
        <w:tc>
          <w:tcPr>
            <w:tcW w:w="1104"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2.5</w:t>
            </w:r>
          </w:p>
        </w:tc>
        <w:tc>
          <w:tcPr>
            <w:tcW w:w="112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2.5</w:t>
            </w:r>
          </w:p>
        </w:tc>
      </w:tr>
      <w:tr>
        <w:tblPrEx>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9</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逆周期资本要求（%）</w:t>
            </w:r>
          </w:p>
        </w:tc>
        <w:tc>
          <w:tcPr>
            <w:tcW w:w="125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0</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0</w:t>
            </w:r>
          </w:p>
        </w:tc>
        <w:tc>
          <w:tcPr>
            <w:tcW w:w="112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0</w:t>
            </w:r>
          </w:p>
        </w:tc>
      </w:tr>
      <w:tr>
        <w:tblPrEx>
          <w:tblLayout w:type="fixed"/>
          <w:tblCellMar>
            <w:top w:w="0" w:type="dxa"/>
            <w:left w:w="0" w:type="dxa"/>
            <w:bottom w:w="0" w:type="dxa"/>
            <w:right w:w="0" w:type="dxa"/>
          </w:tblCellMar>
        </w:tblPrEx>
        <w:trPr>
          <w:trHeight w:val="648"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10</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全球系统重要性银行或国内系统重要性银行附加资本要求（%）</w:t>
            </w:r>
          </w:p>
        </w:tc>
        <w:tc>
          <w:tcPr>
            <w:tcW w:w="1255" w:type="dxa"/>
            <w:tcBorders>
              <w:top w:val="single" w:color="000000" w:sz="4" w:space="0"/>
              <w:left w:val="nil"/>
              <w:bottom w:val="single" w:color="000000" w:sz="4" w:space="0"/>
              <w:right w:val="single" w:color="000000" w:sz="4" w:space="0"/>
            </w:tcBorders>
            <w:shd w:val="clear" w:color="auto" w:fill="BEBEBE"/>
            <w:tcMar>
              <w:top w:w="12" w:type="dxa"/>
              <w:left w:w="12" w:type="dxa"/>
              <w:right w:w="12" w:type="dxa"/>
            </w:tcMar>
            <w:vAlign w:val="center"/>
          </w:tcPr>
          <w:p>
            <w:pPr>
              <w:jc w:val="right"/>
              <w:rPr>
                <w:rFonts w:hint="default" w:ascii="仿宋_GB2312" w:hAnsi="宋体" w:eastAsia="仿宋_GB2312" w:cs="仿宋_GB2312"/>
                <w:i w:val="0"/>
                <w:color w:val="000000"/>
                <w:sz w:val="20"/>
                <w:szCs w:val="20"/>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BEBEBE"/>
            <w:tcMar>
              <w:top w:w="12" w:type="dxa"/>
              <w:left w:w="12" w:type="dxa"/>
              <w:right w:w="12" w:type="dxa"/>
            </w:tcMar>
            <w:vAlign w:val="center"/>
          </w:tcPr>
          <w:p>
            <w:pPr>
              <w:jc w:val="right"/>
              <w:rPr>
                <w:rFonts w:hint="default" w:ascii="仿宋_GB2312" w:hAnsi="宋体" w:eastAsia="仿宋_GB2312" w:cs="仿宋_GB2312"/>
                <w:i w:val="0"/>
                <w:color w:val="000000"/>
                <w:sz w:val="20"/>
                <w:szCs w:val="20"/>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BEBEBE"/>
            <w:tcMar>
              <w:top w:w="12" w:type="dxa"/>
              <w:left w:w="12" w:type="dxa"/>
              <w:right w:w="12" w:type="dxa"/>
            </w:tcMar>
            <w:vAlign w:val="center"/>
          </w:tcPr>
          <w:p>
            <w:pPr>
              <w:jc w:val="right"/>
              <w:rPr>
                <w:rFonts w:hint="default" w:ascii="仿宋_GB2312" w:hAnsi="宋体" w:eastAsia="仿宋_GB2312" w:cs="仿宋_GB2312"/>
                <w:i w:val="0"/>
                <w:color w:val="000000"/>
                <w:sz w:val="20"/>
                <w:szCs w:val="20"/>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BEBEBE"/>
            <w:tcMar>
              <w:top w:w="12" w:type="dxa"/>
              <w:left w:w="12" w:type="dxa"/>
              <w:right w:w="12" w:type="dxa"/>
            </w:tcMar>
            <w:vAlign w:val="center"/>
          </w:tcPr>
          <w:p>
            <w:pPr>
              <w:jc w:val="right"/>
              <w:rPr>
                <w:rFonts w:hint="default" w:ascii="仿宋_GB2312" w:hAnsi="宋体" w:eastAsia="仿宋_GB2312" w:cs="仿宋_GB2312"/>
                <w:i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8" w:space="0"/>
            </w:tcBorders>
            <w:shd w:val="clear" w:color="auto" w:fill="BEBEBE"/>
            <w:tcMar>
              <w:top w:w="12" w:type="dxa"/>
              <w:left w:w="12" w:type="dxa"/>
              <w:right w:w="12" w:type="dxa"/>
            </w:tcMar>
            <w:vAlign w:val="center"/>
          </w:tcPr>
          <w:p>
            <w:pPr>
              <w:jc w:val="right"/>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11</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其他各级资本要求（%）（8+9+10）</w:t>
            </w:r>
          </w:p>
        </w:tc>
        <w:tc>
          <w:tcPr>
            <w:tcW w:w="125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2.5</w:t>
            </w:r>
          </w:p>
        </w:tc>
        <w:tc>
          <w:tcPr>
            <w:tcW w:w="1176"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2.5</w:t>
            </w:r>
          </w:p>
        </w:tc>
        <w:tc>
          <w:tcPr>
            <w:tcW w:w="1116"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2.5</w:t>
            </w:r>
          </w:p>
        </w:tc>
        <w:tc>
          <w:tcPr>
            <w:tcW w:w="1104"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2.5</w:t>
            </w:r>
          </w:p>
        </w:tc>
        <w:tc>
          <w:tcPr>
            <w:tcW w:w="112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2.5</w:t>
            </w:r>
          </w:p>
        </w:tc>
      </w:tr>
      <w:tr>
        <w:tblPrEx>
          <w:tblLayout w:type="fixed"/>
          <w:tblCellMar>
            <w:top w:w="0" w:type="dxa"/>
            <w:left w:w="0" w:type="dxa"/>
            <w:bottom w:w="0" w:type="dxa"/>
            <w:right w:w="0" w:type="dxa"/>
          </w:tblCellMar>
        </w:tblPrEx>
        <w:trPr>
          <w:trHeight w:val="648" w:hRule="atLeast"/>
        </w:trPr>
        <w:tc>
          <w:tcPr>
            <w:tcW w:w="476" w:type="dxa"/>
            <w:tcBorders>
              <w:top w:val="single" w:color="000000" w:sz="4" w:space="0"/>
              <w:left w:val="single" w:color="000000" w:sz="8" w:space="0"/>
              <w:bottom w:val="single" w:color="000000" w:sz="8"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12</w:t>
            </w:r>
          </w:p>
        </w:tc>
        <w:tc>
          <w:tcPr>
            <w:tcW w:w="3309"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满足最低资本要求后的可用核心一级资本净额占风险加权资产的比例（%）</w:t>
            </w:r>
          </w:p>
        </w:tc>
        <w:tc>
          <w:tcPr>
            <w:tcW w:w="1255" w:type="dxa"/>
            <w:tcBorders>
              <w:top w:val="single" w:color="000000" w:sz="4"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8.76</w:t>
            </w:r>
          </w:p>
        </w:tc>
        <w:tc>
          <w:tcPr>
            <w:tcW w:w="117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8.45</w:t>
            </w:r>
          </w:p>
        </w:tc>
        <w:tc>
          <w:tcPr>
            <w:tcW w:w="111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8.65</w:t>
            </w:r>
          </w:p>
        </w:tc>
        <w:tc>
          <w:tcPr>
            <w:tcW w:w="1104"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8.32</w:t>
            </w:r>
          </w:p>
        </w:tc>
        <w:tc>
          <w:tcPr>
            <w:tcW w:w="112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8.47</w:t>
            </w:r>
          </w:p>
        </w:tc>
      </w:tr>
      <w:tr>
        <w:tblPrEx>
          <w:tblLayout w:type="fixed"/>
          <w:tblCellMar>
            <w:top w:w="0" w:type="dxa"/>
            <w:left w:w="0" w:type="dxa"/>
            <w:bottom w:w="0" w:type="dxa"/>
            <w:right w:w="0" w:type="dxa"/>
          </w:tblCellMar>
        </w:tblPrEx>
        <w:trPr>
          <w:trHeight w:val="242" w:hRule="atLeast"/>
        </w:trPr>
        <w:tc>
          <w:tcPr>
            <w:tcW w:w="3785" w:type="dxa"/>
            <w:gridSpan w:val="2"/>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rPr>
                <w:rFonts w:hint="default" w:ascii="仿宋_GB2312" w:hAnsi="宋体" w:eastAsia="仿宋_GB2312" w:cs="仿宋_GB2312"/>
                <w:b/>
                <w:i w:val="0"/>
                <w:color w:val="000000"/>
                <w:sz w:val="20"/>
                <w:szCs w:val="20"/>
                <w:u w:val="none"/>
              </w:rPr>
            </w:pPr>
          </w:p>
        </w:tc>
        <w:tc>
          <w:tcPr>
            <w:tcW w:w="1255"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7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1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04"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28"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r>
      <w:tr>
        <w:tblPrEx>
          <w:tblLayout w:type="fixed"/>
          <w:tblCellMar>
            <w:top w:w="0" w:type="dxa"/>
            <w:left w:w="0" w:type="dxa"/>
            <w:bottom w:w="0" w:type="dxa"/>
            <w:right w:w="0" w:type="dxa"/>
          </w:tblCellMar>
        </w:tblPrEx>
        <w:trPr>
          <w:trHeight w:val="345"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w:t>
            </w:r>
          </w:p>
        </w:tc>
        <w:tc>
          <w:tcPr>
            <w:tcW w:w="3309"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调整后表内外资产余额</w:t>
            </w:r>
          </w:p>
        </w:tc>
        <w:tc>
          <w:tcPr>
            <w:tcW w:w="1255" w:type="dxa"/>
            <w:tcBorders>
              <w:top w:val="single" w:color="000000" w:sz="8"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2343522.54</w:t>
            </w:r>
          </w:p>
        </w:tc>
        <w:tc>
          <w:tcPr>
            <w:tcW w:w="117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2352588.53</w:t>
            </w:r>
          </w:p>
        </w:tc>
        <w:tc>
          <w:tcPr>
            <w:tcW w:w="111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2340884.16</w:t>
            </w:r>
          </w:p>
        </w:tc>
        <w:tc>
          <w:tcPr>
            <w:tcW w:w="1104"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2231135.15</w:t>
            </w:r>
          </w:p>
        </w:tc>
        <w:tc>
          <w:tcPr>
            <w:tcW w:w="112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2203789.15</w:t>
            </w:r>
          </w:p>
        </w:tc>
      </w:tr>
      <w:tr>
        <w:tblPrEx>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杠杆率（%）</w:t>
            </w:r>
          </w:p>
        </w:tc>
        <w:tc>
          <w:tcPr>
            <w:tcW w:w="125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7.83</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7.64</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7.53</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7.64</w:t>
            </w:r>
          </w:p>
        </w:tc>
        <w:tc>
          <w:tcPr>
            <w:tcW w:w="112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7.57</w:t>
            </w:r>
          </w:p>
        </w:tc>
      </w:tr>
      <w:tr>
        <w:tblPrEx>
          <w:shd w:val="clear" w:color="auto" w:fill="auto"/>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8"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14a</w:t>
            </w:r>
          </w:p>
        </w:tc>
        <w:tc>
          <w:tcPr>
            <w:tcW w:w="3309"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杠杆率a（%）</w:t>
            </w:r>
          </w:p>
        </w:tc>
        <w:tc>
          <w:tcPr>
            <w:tcW w:w="1255" w:type="dxa"/>
            <w:tcBorders>
              <w:top w:val="single" w:color="000000" w:sz="4"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7.83</w:t>
            </w:r>
          </w:p>
        </w:tc>
        <w:tc>
          <w:tcPr>
            <w:tcW w:w="117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7.64</w:t>
            </w:r>
          </w:p>
        </w:tc>
        <w:tc>
          <w:tcPr>
            <w:tcW w:w="111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7.53</w:t>
            </w:r>
          </w:p>
        </w:tc>
        <w:tc>
          <w:tcPr>
            <w:tcW w:w="1104"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7.64</w:t>
            </w:r>
          </w:p>
        </w:tc>
        <w:tc>
          <w:tcPr>
            <w:tcW w:w="112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7.57</w:t>
            </w:r>
          </w:p>
        </w:tc>
      </w:tr>
      <w:tr>
        <w:tblPrEx>
          <w:tblLayout w:type="fixed"/>
          <w:tblCellMar>
            <w:top w:w="0" w:type="dxa"/>
            <w:left w:w="0" w:type="dxa"/>
            <w:bottom w:w="0" w:type="dxa"/>
            <w:right w:w="0" w:type="dxa"/>
          </w:tblCellMar>
        </w:tblPrEx>
        <w:trPr>
          <w:trHeight w:val="291" w:hRule="atLeast"/>
        </w:trPr>
        <w:tc>
          <w:tcPr>
            <w:tcW w:w="3785" w:type="dxa"/>
            <w:gridSpan w:val="2"/>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rPr>
                <w:rFonts w:hint="default" w:ascii="仿宋_GB2312" w:hAnsi="宋体" w:eastAsia="仿宋_GB2312" w:cs="仿宋_GB2312"/>
                <w:b/>
                <w:i w:val="0"/>
                <w:color w:val="000000"/>
                <w:sz w:val="20"/>
                <w:szCs w:val="20"/>
                <w:u w:val="none"/>
              </w:rPr>
            </w:pPr>
          </w:p>
        </w:tc>
        <w:tc>
          <w:tcPr>
            <w:tcW w:w="1255"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7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1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04"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28"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r>
      <w:tr>
        <w:tblPrEx>
          <w:tblLayout w:type="fixed"/>
          <w:tblCellMar>
            <w:top w:w="0" w:type="dxa"/>
            <w:left w:w="0" w:type="dxa"/>
            <w:bottom w:w="0" w:type="dxa"/>
            <w:right w:w="0" w:type="dxa"/>
          </w:tblCellMar>
        </w:tblPrEx>
        <w:trPr>
          <w:trHeight w:val="345" w:hRule="atLeast"/>
        </w:trPr>
        <w:tc>
          <w:tcPr>
            <w:tcW w:w="476" w:type="dxa"/>
            <w:tcBorders>
              <w:top w:val="single" w:color="000000" w:sz="8"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15</w:t>
            </w:r>
          </w:p>
        </w:tc>
        <w:tc>
          <w:tcPr>
            <w:tcW w:w="3309"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合格优质流动性资产</w:t>
            </w:r>
          </w:p>
        </w:tc>
        <w:tc>
          <w:tcPr>
            <w:tcW w:w="1255" w:type="dxa"/>
            <w:tcBorders>
              <w:top w:val="single" w:color="000000" w:sz="8"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7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1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04"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2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r>
      <w:tr>
        <w:tblPrEx>
          <w:shd w:val="clear" w:color="auto" w:fill="auto"/>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16</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现金净流出量</w:t>
            </w:r>
          </w:p>
        </w:tc>
        <w:tc>
          <w:tcPr>
            <w:tcW w:w="125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2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r>
      <w:tr>
        <w:tblPrEx>
          <w:shd w:val="clear" w:color="auto" w:fill="auto"/>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8"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17</w:t>
            </w:r>
          </w:p>
        </w:tc>
        <w:tc>
          <w:tcPr>
            <w:tcW w:w="3309"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流动性覆盖率（%）</w:t>
            </w:r>
          </w:p>
        </w:tc>
        <w:tc>
          <w:tcPr>
            <w:tcW w:w="1255" w:type="dxa"/>
            <w:tcBorders>
              <w:top w:val="single" w:color="000000" w:sz="4"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7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1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04"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2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r>
      <w:tr>
        <w:tblPrEx>
          <w:tblLayout w:type="fixed"/>
          <w:tblCellMar>
            <w:top w:w="0" w:type="dxa"/>
            <w:left w:w="0" w:type="dxa"/>
            <w:bottom w:w="0" w:type="dxa"/>
            <w:right w:w="0" w:type="dxa"/>
          </w:tblCellMar>
        </w:tblPrEx>
        <w:trPr>
          <w:trHeight w:val="256" w:hRule="atLeast"/>
        </w:trPr>
        <w:tc>
          <w:tcPr>
            <w:tcW w:w="3785" w:type="dxa"/>
            <w:gridSpan w:val="2"/>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rPr>
                <w:rFonts w:hint="default" w:ascii="仿宋_GB2312" w:hAnsi="宋体" w:eastAsia="仿宋_GB2312" w:cs="仿宋_GB2312"/>
                <w:b/>
                <w:i w:val="0"/>
                <w:color w:val="000000"/>
                <w:sz w:val="20"/>
                <w:szCs w:val="20"/>
                <w:u w:val="none"/>
              </w:rPr>
            </w:pPr>
          </w:p>
        </w:tc>
        <w:tc>
          <w:tcPr>
            <w:tcW w:w="1255"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7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1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04"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28"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r>
      <w:tr>
        <w:tblPrEx>
          <w:tblLayout w:type="fixed"/>
          <w:tblCellMar>
            <w:top w:w="0" w:type="dxa"/>
            <w:left w:w="0" w:type="dxa"/>
            <w:bottom w:w="0" w:type="dxa"/>
            <w:right w:w="0" w:type="dxa"/>
          </w:tblCellMar>
        </w:tblPrEx>
        <w:trPr>
          <w:trHeight w:val="345" w:hRule="atLeast"/>
        </w:trPr>
        <w:tc>
          <w:tcPr>
            <w:tcW w:w="476" w:type="dxa"/>
            <w:tcBorders>
              <w:top w:val="single" w:color="000000" w:sz="8"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18</w:t>
            </w:r>
          </w:p>
        </w:tc>
        <w:tc>
          <w:tcPr>
            <w:tcW w:w="3309"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可用稳定资金合计</w:t>
            </w:r>
          </w:p>
        </w:tc>
        <w:tc>
          <w:tcPr>
            <w:tcW w:w="1255" w:type="dxa"/>
            <w:tcBorders>
              <w:top w:val="single" w:color="000000" w:sz="8"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7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16"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04" w:type="dxa"/>
            <w:tcBorders>
              <w:top w:val="single" w:color="000000" w:sz="8"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2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r>
      <w:tr>
        <w:tblPrEx>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4"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19</w:t>
            </w:r>
          </w:p>
        </w:tc>
        <w:tc>
          <w:tcPr>
            <w:tcW w:w="3309"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所需稳定资金合计</w:t>
            </w:r>
          </w:p>
        </w:tc>
        <w:tc>
          <w:tcPr>
            <w:tcW w:w="1255" w:type="dxa"/>
            <w:tcBorders>
              <w:top w:val="single" w:color="000000" w:sz="4" w:space="0"/>
              <w:left w:val="nil"/>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2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r>
      <w:tr>
        <w:tblPrEx>
          <w:tblLayout w:type="fixed"/>
          <w:tblCellMar>
            <w:top w:w="0" w:type="dxa"/>
            <w:left w:w="0" w:type="dxa"/>
            <w:bottom w:w="0" w:type="dxa"/>
            <w:right w:w="0" w:type="dxa"/>
          </w:tblCellMar>
        </w:tblPrEx>
        <w:trPr>
          <w:trHeight w:val="335" w:hRule="atLeast"/>
        </w:trPr>
        <w:tc>
          <w:tcPr>
            <w:tcW w:w="476" w:type="dxa"/>
            <w:tcBorders>
              <w:top w:val="single" w:color="000000" w:sz="4" w:space="0"/>
              <w:left w:val="single" w:color="000000" w:sz="8" w:space="0"/>
              <w:bottom w:val="single" w:color="000000" w:sz="8" w:space="0"/>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20</w:t>
            </w:r>
          </w:p>
        </w:tc>
        <w:tc>
          <w:tcPr>
            <w:tcW w:w="3309"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净稳定资金比例（%）</w:t>
            </w:r>
          </w:p>
        </w:tc>
        <w:tc>
          <w:tcPr>
            <w:tcW w:w="1255" w:type="dxa"/>
            <w:tcBorders>
              <w:top w:val="single" w:color="000000" w:sz="4"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7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不适用</w:t>
            </w:r>
          </w:p>
        </w:tc>
        <w:tc>
          <w:tcPr>
            <w:tcW w:w="1116"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04" w:type="dxa"/>
            <w:tcBorders>
              <w:top w:val="single" w:color="000000" w:sz="4"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c>
          <w:tcPr>
            <w:tcW w:w="112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不适用</w:t>
            </w:r>
          </w:p>
        </w:tc>
      </w:tr>
      <w:tr>
        <w:tblPrEx>
          <w:tblLayout w:type="fixed"/>
          <w:tblCellMar>
            <w:top w:w="0" w:type="dxa"/>
            <w:left w:w="0" w:type="dxa"/>
            <w:bottom w:w="0" w:type="dxa"/>
            <w:right w:w="0" w:type="dxa"/>
          </w:tblCellMar>
        </w:tblPrEx>
        <w:trPr>
          <w:trHeight w:val="265" w:hRule="atLeast"/>
        </w:trPr>
        <w:tc>
          <w:tcPr>
            <w:tcW w:w="3785" w:type="dxa"/>
            <w:gridSpan w:val="2"/>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rPr>
                <w:rFonts w:hint="default" w:ascii="仿宋_GB2312" w:hAnsi="宋体" w:eastAsia="仿宋_GB2312" w:cs="仿宋_GB2312"/>
                <w:b/>
                <w:i w:val="0"/>
                <w:color w:val="000000"/>
                <w:sz w:val="20"/>
                <w:szCs w:val="20"/>
                <w:u w:val="none"/>
              </w:rPr>
            </w:pPr>
          </w:p>
        </w:tc>
        <w:tc>
          <w:tcPr>
            <w:tcW w:w="1255"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7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16"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04"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c>
          <w:tcPr>
            <w:tcW w:w="1128" w:type="dxa"/>
            <w:tcBorders>
              <w:top w:val="single" w:color="000000" w:sz="8" w:space="0"/>
              <w:left w:val="single" w:color="000000" w:sz="8" w:space="0"/>
              <w:bottom w:val="single" w:color="000000" w:sz="8" w:space="0"/>
              <w:right w:val="single" w:color="000000" w:sz="8" w:space="0"/>
            </w:tcBorders>
            <w:shd w:val="clear" w:color="auto" w:fill="D9D9D9"/>
            <w:tcMar>
              <w:top w:w="12" w:type="dxa"/>
              <w:left w:w="12" w:type="dxa"/>
              <w:right w:w="12" w:type="dxa"/>
            </w:tcMar>
            <w:vAlign w:val="top"/>
          </w:tcPr>
          <w:p>
            <w:pPr>
              <w:jc w:val="right"/>
            </w:pPr>
          </w:p>
        </w:tc>
      </w:tr>
      <w:tr>
        <w:tblPrEx>
          <w:tblLayout w:type="fixed"/>
          <w:tblCellMar>
            <w:top w:w="0" w:type="dxa"/>
            <w:left w:w="0" w:type="dxa"/>
            <w:bottom w:w="0" w:type="dxa"/>
            <w:right w:w="0" w:type="dxa"/>
          </w:tblCellMar>
        </w:tblPrEx>
        <w:trPr>
          <w:trHeight w:val="365" w:hRule="atLeast"/>
        </w:trPr>
        <w:tc>
          <w:tcPr>
            <w:tcW w:w="476" w:type="dxa"/>
            <w:tcBorders>
              <w:top w:val="single" w:color="000000" w:sz="8" w:space="0"/>
              <w:left w:val="single" w:color="000000" w:sz="8" w:space="0"/>
              <w:bottom w:val="single" w:color="000000" w:sz="8" w:space="0"/>
              <w:right w:val="nil"/>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21</w:t>
            </w:r>
          </w:p>
        </w:tc>
        <w:tc>
          <w:tcPr>
            <w:tcW w:w="3309" w:type="dxa"/>
            <w:tcBorders>
              <w:top w:val="single" w:color="000000" w:sz="8" w:space="0"/>
              <w:left w:val="single" w:color="000000" w:sz="8" w:space="0"/>
              <w:bottom w:val="single" w:color="000000" w:sz="8" w:space="0"/>
              <w:right w:val="single" w:color="000000" w:sz="8" w:space="0"/>
            </w:tcBorders>
            <w:shd w:val="clear" w:color="auto" w:fill="FFFFFF"/>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流动性比例（%）</w:t>
            </w:r>
          </w:p>
        </w:tc>
        <w:tc>
          <w:tcPr>
            <w:tcW w:w="1255" w:type="dxa"/>
            <w:tcBorders>
              <w:top w:val="single" w:color="000000" w:sz="8" w:space="0"/>
              <w:left w:val="nil"/>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auto"/>
                <w:kern w:val="0"/>
                <w:sz w:val="20"/>
                <w:szCs w:val="20"/>
                <w:u w:val="none"/>
                <w:lang w:val="en-US" w:eastAsia="zh-CN" w:bidi="ar"/>
              </w:rPr>
              <w:t>66.2</w:t>
            </w:r>
          </w:p>
        </w:tc>
        <w:tc>
          <w:tcPr>
            <w:tcW w:w="1176" w:type="dxa"/>
            <w:tcBorders>
              <w:top w:val="single" w:color="000000" w:sz="8" w:space="0"/>
              <w:left w:val="single" w:color="000000" w:sz="4" w:space="0"/>
              <w:bottom w:val="single" w:color="000000" w:sz="8"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66.71</w:t>
            </w:r>
          </w:p>
        </w:tc>
        <w:tc>
          <w:tcPr>
            <w:tcW w:w="1116" w:type="dxa"/>
            <w:tcBorders>
              <w:top w:val="single" w:color="000000" w:sz="8"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67.93</w:t>
            </w:r>
          </w:p>
        </w:tc>
        <w:tc>
          <w:tcPr>
            <w:tcW w:w="1104" w:type="dxa"/>
            <w:tcBorders>
              <w:top w:val="single" w:color="000000" w:sz="8" w:space="0"/>
              <w:left w:val="single" w:color="000000" w:sz="4"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71.45</w:t>
            </w:r>
          </w:p>
        </w:tc>
        <w:tc>
          <w:tcPr>
            <w:tcW w:w="1128" w:type="dxa"/>
            <w:tcBorders>
              <w:top w:val="single" w:color="000000" w:sz="8"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仿宋_GB2312" w:hAnsi="宋体" w:eastAsia="仿宋_GB2312" w:cs="仿宋_GB2312"/>
                <w:i w:val="0"/>
                <w:color w:val="000000"/>
                <w:kern w:val="0"/>
                <w:sz w:val="20"/>
                <w:szCs w:val="20"/>
                <w:u w:val="none"/>
                <w:lang w:val="en-US" w:eastAsia="zh-CN" w:bidi="ar"/>
              </w:rPr>
            </w:pPr>
            <w:r>
              <w:rPr>
                <w:rFonts w:hint="default" w:ascii="仿宋_GB2312" w:hAnsi="宋体" w:eastAsia="仿宋_GB2312" w:cs="仿宋_GB2312"/>
                <w:i w:val="0"/>
                <w:color w:val="000000"/>
                <w:kern w:val="0"/>
                <w:sz w:val="20"/>
                <w:szCs w:val="20"/>
                <w:u w:val="none"/>
                <w:lang w:val="en-US" w:eastAsia="zh-CN" w:bidi="ar"/>
              </w:rPr>
              <w:t>60.44</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仿宋" w:hAnsi="仿宋" w:eastAsia="仿宋" w:cs="仿宋"/>
          <w:sz w:val="30"/>
          <w:szCs w:val="30"/>
          <w:lang w:val="en-US" w:eastAsia="zh-CN"/>
        </w:rPr>
      </w:pPr>
    </w:p>
    <w:tbl>
      <w:tblPr>
        <w:tblStyle w:val="3"/>
        <w:tblW w:w="9576" w:type="dxa"/>
        <w:tblInd w:w="-497" w:type="dxa"/>
        <w:shd w:val="clear" w:color="auto" w:fill="auto"/>
        <w:tblLayout w:type="fixed"/>
        <w:tblCellMar>
          <w:top w:w="0" w:type="dxa"/>
          <w:left w:w="0" w:type="dxa"/>
          <w:bottom w:w="0" w:type="dxa"/>
          <w:right w:w="0" w:type="dxa"/>
        </w:tblCellMar>
      </w:tblPr>
      <w:tblGrid>
        <w:gridCol w:w="936"/>
        <w:gridCol w:w="6276"/>
        <w:gridCol w:w="1356"/>
        <w:gridCol w:w="1008"/>
      </w:tblGrid>
      <w:tr>
        <w:tblPrEx>
          <w:shd w:val="clear" w:color="auto" w:fill="auto"/>
          <w:tblLayout w:type="fixed"/>
          <w:tblCellMar>
            <w:top w:w="0" w:type="dxa"/>
            <w:left w:w="0" w:type="dxa"/>
            <w:bottom w:w="0" w:type="dxa"/>
            <w:right w:w="0" w:type="dxa"/>
          </w:tblCellMar>
        </w:tblPrEx>
        <w:trPr>
          <w:trHeight w:val="600" w:hRule="atLeast"/>
        </w:trPr>
        <w:tc>
          <w:tcPr>
            <w:tcW w:w="9576" w:type="dxa"/>
            <w:gridSpan w:val="4"/>
            <w:tcBorders>
              <w:top w:val="nil"/>
              <w:left w:val="nil"/>
              <w:bottom w:val="nil"/>
              <w:right w:val="nil"/>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附表CC1：资本构成</w:t>
            </w:r>
          </w:p>
        </w:tc>
      </w:tr>
      <w:tr>
        <w:tblPrEx>
          <w:shd w:val="clear" w:color="auto" w:fill="auto"/>
          <w:tblLayout w:type="fixed"/>
          <w:tblCellMar>
            <w:top w:w="0" w:type="dxa"/>
            <w:left w:w="0" w:type="dxa"/>
            <w:bottom w:w="0" w:type="dxa"/>
            <w:right w:w="0" w:type="dxa"/>
          </w:tblCellMar>
        </w:tblPrEx>
        <w:trPr>
          <w:trHeight w:val="318" w:hRule="atLeast"/>
        </w:trPr>
        <w:tc>
          <w:tcPr>
            <w:tcW w:w="9576" w:type="dxa"/>
            <w:gridSpan w:val="4"/>
            <w:tcBorders>
              <w:top w:val="nil"/>
              <w:left w:val="nil"/>
              <w:bottom w:val="nil"/>
              <w:right w:val="nil"/>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日期：2026年三季度    单位：人民币、万元、%</w:t>
            </w:r>
          </w:p>
        </w:tc>
      </w:tr>
      <w:tr>
        <w:tblPrEx>
          <w:tblLayout w:type="fixed"/>
          <w:tblCellMar>
            <w:top w:w="0" w:type="dxa"/>
            <w:left w:w="0" w:type="dxa"/>
            <w:bottom w:w="0" w:type="dxa"/>
            <w:right w:w="0" w:type="dxa"/>
          </w:tblCellMar>
        </w:tblPrEx>
        <w:trPr>
          <w:trHeight w:val="288" w:hRule="atLeast"/>
        </w:trPr>
        <w:tc>
          <w:tcPr>
            <w:tcW w:w="936" w:type="dxa"/>
            <w:vMerge w:val="restart"/>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序号</w:t>
            </w:r>
          </w:p>
        </w:tc>
        <w:tc>
          <w:tcPr>
            <w:tcW w:w="6276" w:type="dxa"/>
            <w:vMerge w:val="restart"/>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项目</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a</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b</w:t>
            </w:r>
          </w:p>
        </w:tc>
      </w:tr>
      <w:tr>
        <w:tblPrEx>
          <w:shd w:val="clear" w:color="auto" w:fill="auto"/>
          <w:tblLayout w:type="fixed"/>
          <w:tblCellMar>
            <w:top w:w="0" w:type="dxa"/>
            <w:left w:w="0" w:type="dxa"/>
            <w:bottom w:w="0" w:type="dxa"/>
            <w:right w:w="0" w:type="dxa"/>
          </w:tblCellMar>
        </w:tblPrEx>
        <w:trPr>
          <w:trHeight w:val="303" w:hRule="atLeast"/>
        </w:trPr>
        <w:tc>
          <w:tcPr>
            <w:tcW w:w="936" w:type="dxa"/>
            <w:vMerge w:val="continue"/>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b/>
                <w:i w:val="0"/>
                <w:color w:val="000000"/>
                <w:sz w:val="20"/>
                <w:szCs w:val="20"/>
                <w:u w:val="none"/>
              </w:rPr>
            </w:pPr>
          </w:p>
        </w:tc>
        <w:tc>
          <w:tcPr>
            <w:tcW w:w="6276" w:type="dxa"/>
            <w:vMerge w:val="continue"/>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b/>
                <w:i w:val="0"/>
                <w:color w:val="000000"/>
                <w:sz w:val="20"/>
                <w:szCs w:val="20"/>
                <w:u w:val="none"/>
              </w:rPr>
            </w:pP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数额</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代码</w:t>
            </w:r>
          </w:p>
        </w:tc>
      </w:tr>
      <w:tr>
        <w:tblPrEx>
          <w:shd w:val="clear" w:color="auto" w:fill="auto"/>
          <w:tblLayout w:type="fixed"/>
          <w:tblCellMar>
            <w:top w:w="0" w:type="dxa"/>
            <w:left w:w="0" w:type="dxa"/>
            <w:bottom w:w="0" w:type="dxa"/>
            <w:right w:w="0" w:type="dxa"/>
          </w:tblCellMar>
        </w:tblPrEx>
        <w:trPr>
          <w:trHeight w:val="303" w:hRule="atLeast"/>
        </w:trPr>
        <w:tc>
          <w:tcPr>
            <w:tcW w:w="9576" w:type="dxa"/>
            <w:gridSpan w:val="4"/>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核心一级资本</w:t>
            </w: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实收资本和资本公积可计入部分</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34460.97</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e+g</w:t>
            </w: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留存收益</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148935.67</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2a</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盈余公积</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40569.16</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h</w:t>
            </w: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2b</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一般风险准备</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38014.72</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i</w:t>
            </w: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2c</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未分配利润</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70351.79</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j</w:t>
            </w: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累计其他综合收益</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669.73</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少数股东资本可计入部分</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扣除前的核心一级资本</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184066.37</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审慎估值调整</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jc w:val="cente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7</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商誉（扣除递延税负债）</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a-c</w:t>
            </w:r>
          </w:p>
        </w:tc>
      </w:tr>
      <w:tr>
        <w:tblPrEx>
          <w:shd w:val="clear" w:color="auto" w:fill="auto"/>
          <w:tblLayout w:type="fixed"/>
          <w:tblCellMar>
            <w:top w:w="0" w:type="dxa"/>
            <w:left w:w="0" w:type="dxa"/>
            <w:bottom w:w="0" w:type="dxa"/>
            <w:right w:w="0" w:type="dxa"/>
          </w:tblCellMar>
        </w:tblPrEx>
        <w:trPr>
          <w:trHeight w:val="266"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8</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其他无形资产（土地使用权除外）（扣除递延税负债）</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569.57</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b-d</w:t>
            </w: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9</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依赖未来盈利的由经营亏损引起的净递延税资产</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66"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10</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对未按公允价值计量的项目进行套期形成的现金流储备</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11</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损失准备缺口</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12</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资产证券化销售利得</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90"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13</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自身信用风险变化导致其负债公允价值变化带来的未实现损益</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确定受益类的养老金资产净额（扣除递延税负债）</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15</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直接或间接持有本银行的股票</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14"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16</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银行间或银行与其他金融机构间通过协议相互持有的核心一级资本</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54"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17</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对未并表金融机构小额少数资本投资中的核心一级资本中应扣除金额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90"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18</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对未并表金融机构大额少数资本投资中的核心一级资本中应扣除金额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3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19</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其他依赖于银行未来盈利的净递延税资产中应扣除金额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720"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20</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对未并表金融机构大额少数资本投资中的核心一级资本和其他依赖于银行未来盈利的净递延税资产的未扣除部分超过核心一级资本15%的应扣除金额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30"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21</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 xml:space="preserve">    其中：应在对金融机构大额少数资本投资中扣除的金额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100"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22</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 xml:space="preserve">    其中：应在其他依赖于银行未来盈利的净递延税资产中扣除的金额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23</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其他应在核心一级资本中扣除的项目合计</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24</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应从其他一级资本和二级资本中扣除的未扣缺口</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25</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核心一级资本扣除项总和</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569.57</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26</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核心一级资本净额</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183496.8</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27</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其他一级资本工具及其溢价</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28</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 xml:space="preserve">    其中：权益部分</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29</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 xml:space="preserve">    其中：负债部分</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30</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少数股东资本可计入部分</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31</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扣除前的其他一级资本</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32</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直接或间接持有的本银行其他一级资本</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1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33</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银行间或银行与其他金融机构间通过协议相互持有的其他一级资本</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7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34</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对未并表金融机构小额少数资本投资中的其他一级资本中应扣除金额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194"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35</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对未并表金融机构大额少数资本投资中的其他一级资本中应扣除金额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36</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其他应在其他一级资本中扣除的项目合计</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37</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应从二级资本中扣除的未扣缺口</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38</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其他一级资本扣除项总和</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39</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其他一级资本净额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40</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一级资本净额</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183496.8</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41</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二级资本工具及其溢价</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42</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少数股东资本可计入部分</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43</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超额损失准备可计入部分</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14915.38</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44</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扣除前的二级资本</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14915.38</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45</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直接或间接持有的本银行的二级资本</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42"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46</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银行间或银行与其他金融机构间通过协议相互持有的其他一级资本</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15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47</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对未并表金融机构小额少数资本投资中的二级资本中应扣除金额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48</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对未并表金融机构大额少数资本投资中的二级资本</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49</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其他应在二级资本中扣除的项目合计</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50</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二级资本扣除项总和</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51</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二级资本净额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14915.38</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52</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总资本净额</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198412.18</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53</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风险加权资产</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1333621.1</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54</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核心一级资本充足率</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13.76%</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55</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一级资本充足率</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13.76%</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56</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资本充足率</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14.88%</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57</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其他各级资本要求（%）</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2.50%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58</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 xml:space="preserve">    其中：储备资本要求</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33340.53</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170"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59</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 xml:space="preserve">    其中：逆周期资本要求</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7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60</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 xml:space="preserve">    其中：全球系统重要性银行或国内系统重要性银行附加资本要求</w:t>
            </w:r>
          </w:p>
        </w:tc>
        <w:tc>
          <w:tcPr>
            <w:tcW w:w="1356" w:type="dxa"/>
            <w:tcBorders>
              <w:top w:val="single" w:color="000000" w:sz="4" w:space="0"/>
              <w:left w:val="single" w:color="000000" w:sz="8" w:space="0"/>
              <w:bottom w:val="single" w:color="000000" w:sz="4" w:space="0"/>
              <w:right w:val="single" w:color="000000" w:sz="4" w:space="0"/>
            </w:tcBorders>
            <w:shd w:val="clear" w:color="auto" w:fill="BEBEBE"/>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484"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61</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满足最低资本要求后的可用核心一级资本净额占风险加权资产的比例（%）</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8.76%</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62</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核心一级资本充足率</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5%</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63</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一级资本充足率</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64</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资本充足率</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8%</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65</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对未并表金融机构的小额少数资本投资中未扣除部分</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auto"/>
                <w:sz w:val="20"/>
                <w:szCs w:val="20"/>
                <w:u w:val="none"/>
              </w:rPr>
            </w:pPr>
            <w:r>
              <w:rPr>
                <w:rFonts w:hint="default" w:ascii="仿宋_GB2312" w:hAnsi="宋体" w:eastAsia="仿宋_GB2312" w:cs="仿宋_GB2312"/>
                <w:i w:val="0"/>
                <w:color w:val="auto"/>
                <w:kern w:val="0"/>
                <w:sz w:val="20"/>
                <w:szCs w:val="20"/>
                <w:u w:val="none"/>
                <w:lang w:val="en-US" w:eastAsia="zh-CN" w:bidi="ar"/>
              </w:rPr>
              <w:t>0</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auto"/>
                <w:sz w:val="20"/>
                <w:szCs w:val="20"/>
                <w:u w:val="none"/>
              </w:rPr>
            </w:pPr>
          </w:p>
        </w:tc>
      </w:tr>
      <w:tr>
        <w:tblPrEx>
          <w:tblLayout w:type="fixed"/>
          <w:tblCellMar>
            <w:top w:w="0" w:type="dxa"/>
            <w:left w:w="0" w:type="dxa"/>
            <w:bottom w:w="0" w:type="dxa"/>
            <w:right w:w="0" w:type="dxa"/>
          </w:tblCellMar>
        </w:tblPrEx>
        <w:trPr>
          <w:trHeight w:val="288" w:hRule="atLeast"/>
        </w:trPr>
        <w:tc>
          <w:tcPr>
            <w:tcW w:w="93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66</w:t>
            </w:r>
          </w:p>
        </w:tc>
        <w:tc>
          <w:tcPr>
            <w:tcW w:w="6276" w:type="dxa"/>
            <w:tcBorders>
              <w:top w:val="single" w:color="000000" w:sz="4"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对未并表金融机构的大额少数资本投资中未扣除部分</w:t>
            </w:r>
          </w:p>
        </w:tc>
        <w:tc>
          <w:tcPr>
            <w:tcW w:w="1356" w:type="dxa"/>
            <w:tcBorders>
              <w:top w:val="single" w:color="000000" w:sz="4"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auto"/>
                <w:sz w:val="20"/>
                <w:szCs w:val="20"/>
                <w:u w:val="none"/>
              </w:rPr>
            </w:pPr>
            <w:r>
              <w:rPr>
                <w:rFonts w:hint="default" w:ascii="仿宋_GB2312" w:hAnsi="宋体" w:eastAsia="仿宋_GB2312" w:cs="仿宋_GB2312"/>
                <w:i w:val="0"/>
                <w:color w:val="auto"/>
                <w:kern w:val="0"/>
                <w:sz w:val="20"/>
                <w:szCs w:val="20"/>
                <w:u w:val="none"/>
                <w:lang w:val="en-US" w:eastAsia="zh-CN" w:bidi="ar"/>
              </w:rPr>
              <w:t>0</w:t>
            </w:r>
          </w:p>
        </w:tc>
        <w:tc>
          <w:tcPr>
            <w:tcW w:w="1008" w:type="dxa"/>
            <w:tcBorders>
              <w:top w:val="single" w:color="000000" w:sz="4"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auto"/>
                <w:sz w:val="20"/>
                <w:szCs w:val="20"/>
                <w:u w:val="none"/>
              </w:rPr>
            </w:pPr>
          </w:p>
        </w:tc>
      </w:tr>
      <w:tr>
        <w:tblPrEx>
          <w:tblLayout w:type="fixed"/>
          <w:tblCellMar>
            <w:top w:w="0" w:type="dxa"/>
            <w:left w:w="0" w:type="dxa"/>
            <w:bottom w:w="0" w:type="dxa"/>
            <w:right w:w="0" w:type="dxa"/>
          </w:tblCellMar>
        </w:tblPrEx>
        <w:trPr>
          <w:trHeight w:val="271"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67</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其他依赖于银行未来盈利的净递延税资产（扣除递延税负债）</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auto"/>
                <w:sz w:val="20"/>
                <w:szCs w:val="20"/>
                <w:u w:val="none"/>
              </w:rPr>
            </w:pPr>
            <w:r>
              <w:rPr>
                <w:rFonts w:hint="default" w:ascii="仿宋_GB2312" w:hAnsi="宋体" w:eastAsia="仿宋_GB2312" w:cs="仿宋_GB2312"/>
                <w:i w:val="0"/>
                <w:color w:val="auto"/>
                <w:kern w:val="0"/>
                <w:sz w:val="20"/>
                <w:szCs w:val="20"/>
                <w:u w:val="none"/>
                <w:lang w:val="en-US" w:eastAsia="zh-CN" w:bidi="ar"/>
              </w:rPr>
              <w:t>0</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auto"/>
                <w:sz w:val="20"/>
                <w:szCs w:val="20"/>
                <w:u w:val="none"/>
              </w:rPr>
            </w:pPr>
          </w:p>
        </w:tc>
      </w:tr>
      <w:tr>
        <w:tblPrEx>
          <w:tblLayout w:type="fixed"/>
          <w:tblCellMar>
            <w:top w:w="0" w:type="dxa"/>
            <w:left w:w="0" w:type="dxa"/>
            <w:bottom w:w="0" w:type="dxa"/>
            <w:right w:w="0" w:type="dxa"/>
          </w:tblCellMar>
        </w:tblPrEx>
        <w:trPr>
          <w:trHeight w:val="303" w:hRule="atLeast"/>
        </w:trPr>
        <w:tc>
          <w:tcPr>
            <w:tcW w:w="7212" w:type="dxa"/>
            <w:gridSpan w:val="2"/>
            <w:tcBorders>
              <w:top w:val="nil"/>
              <w:left w:val="single" w:color="000000" w:sz="8" w:space="0"/>
              <w:bottom w:val="nil"/>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b/>
                <w:i w:val="0"/>
                <w:color w:val="000000"/>
                <w:sz w:val="20"/>
                <w:szCs w:val="20"/>
                <w:u w:val="none"/>
              </w:rPr>
            </w:pPr>
          </w:p>
        </w:tc>
        <w:tc>
          <w:tcPr>
            <w:tcW w:w="1356"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c>
          <w:tcPr>
            <w:tcW w:w="1008" w:type="dxa"/>
            <w:tcBorders>
              <w:top w:val="nil"/>
              <w:left w:val="single" w:color="000000" w:sz="8" w:space="0"/>
              <w:bottom w:val="nil"/>
              <w:right w:val="single" w:color="000000" w:sz="8" w:space="0"/>
            </w:tcBorders>
            <w:shd w:val="clear" w:color="auto" w:fill="auto"/>
            <w:tcMar>
              <w:top w:w="12" w:type="dxa"/>
              <w:left w:w="12" w:type="dxa"/>
              <w:right w:w="12" w:type="dxa"/>
            </w:tcMar>
            <w:vAlign w:val="center"/>
          </w:tcPr>
          <w:p/>
        </w:tc>
      </w:tr>
      <w:tr>
        <w:tblPrEx>
          <w:shd w:val="clear" w:color="auto" w:fill="auto"/>
          <w:tblLayout w:type="fixed"/>
          <w:tblCellMar>
            <w:top w:w="0" w:type="dxa"/>
            <w:left w:w="0" w:type="dxa"/>
            <w:bottom w:w="0" w:type="dxa"/>
            <w:right w:w="0" w:type="dxa"/>
          </w:tblCellMar>
        </w:tblPrEx>
        <w:trPr>
          <w:trHeight w:val="288" w:hRule="atLeast"/>
        </w:trPr>
        <w:tc>
          <w:tcPr>
            <w:tcW w:w="93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68</w:t>
            </w:r>
          </w:p>
        </w:tc>
        <w:tc>
          <w:tcPr>
            <w:tcW w:w="6276" w:type="dxa"/>
            <w:tcBorders>
              <w:top w:val="single" w:color="000000" w:sz="8" w:space="0"/>
              <w:left w:val="single" w:color="000000" w:sz="8" w:space="0"/>
              <w:bottom w:val="single" w:color="000000" w:sz="4"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权重法下，实际计提的超额损失准备金额</w:t>
            </w:r>
          </w:p>
        </w:tc>
        <w:tc>
          <w:tcPr>
            <w:tcW w:w="1356" w:type="dxa"/>
            <w:tcBorders>
              <w:top w:val="single" w:color="000000" w:sz="8" w:space="0"/>
              <w:left w:val="single" w:color="000000" w:sz="8"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80215.08</w:t>
            </w:r>
          </w:p>
        </w:tc>
        <w:tc>
          <w:tcPr>
            <w:tcW w:w="1008" w:type="dxa"/>
            <w:tcBorders>
              <w:top w:val="single" w:color="000000" w:sz="8" w:space="0"/>
              <w:left w:val="single" w:color="000000" w:sz="4" w:space="0"/>
              <w:bottom w:val="single" w:color="000000" w:sz="4"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303" w:hRule="atLeast"/>
        </w:trPr>
        <w:tc>
          <w:tcPr>
            <w:tcW w:w="93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69</w:t>
            </w:r>
          </w:p>
        </w:tc>
        <w:tc>
          <w:tcPr>
            <w:tcW w:w="6276" w:type="dxa"/>
            <w:tcBorders>
              <w:top w:val="single" w:color="000000" w:sz="4" w:space="0"/>
              <w:left w:val="single" w:color="000000" w:sz="8" w:space="0"/>
              <w:bottom w:val="single" w:color="000000" w:sz="8" w:space="0"/>
              <w:right w:val="single" w:color="000000" w:sz="8" w:space="0"/>
            </w:tcBorders>
            <w:shd w:val="clear" w:color="auto" w:fill="auto"/>
            <w:tcMar>
              <w:top w:w="12" w:type="dxa"/>
              <w:left w:w="12" w:type="dxa"/>
              <w:right w:w="12" w:type="dxa"/>
            </w:tcMar>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权重法下，可计入二级资本超额损失准备的数额</w:t>
            </w:r>
          </w:p>
        </w:tc>
        <w:tc>
          <w:tcPr>
            <w:tcW w:w="1356" w:type="dxa"/>
            <w:tcBorders>
              <w:top w:val="single" w:color="000000" w:sz="4" w:space="0"/>
              <w:left w:val="single" w:color="000000" w:sz="8" w:space="0"/>
              <w:bottom w:val="single" w:color="000000" w:sz="8"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right"/>
              <w:textAlignment w:val="center"/>
              <w:rPr>
                <w:rFonts w:hint="default" w:ascii="仿宋_GB2312" w:hAnsi="宋体" w:eastAsia="仿宋_GB2312" w:cs="仿宋_GB2312"/>
                <w:i w:val="0"/>
                <w:color w:val="000000"/>
                <w:sz w:val="20"/>
                <w:szCs w:val="20"/>
                <w:u w:val="none"/>
              </w:rPr>
            </w:pPr>
            <w:r>
              <w:rPr>
                <w:rFonts w:hint="default" w:ascii="仿宋_GB2312" w:hAnsi="宋体" w:eastAsia="仿宋_GB2312" w:cs="仿宋_GB2312"/>
                <w:i w:val="0"/>
                <w:color w:val="000000"/>
                <w:kern w:val="0"/>
                <w:sz w:val="20"/>
                <w:szCs w:val="20"/>
                <w:u w:val="none"/>
                <w:lang w:val="en-US" w:eastAsia="zh-CN" w:bidi="ar"/>
              </w:rPr>
              <w:t>14915.38</w:t>
            </w:r>
          </w:p>
        </w:tc>
        <w:tc>
          <w:tcPr>
            <w:tcW w:w="1008" w:type="dxa"/>
            <w:tcBorders>
              <w:top w:val="single" w:color="000000" w:sz="4" w:space="0"/>
              <w:left w:val="single" w:color="000000" w:sz="4" w:space="0"/>
              <w:bottom w:val="single" w:color="000000" w:sz="8" w:space="0"/>
              <w:right w:val="single" w:color="000000" w:sz="8" w:space="0"/>
            </w:tcBorders>
            <w:shd w:val="clear" w:color="auto" w:fill="auto"/>
            <w:tcMar>
              <w:top w:w="12" w:type="dxa"/>
              <w:left w:w="12" w:type="dxa"/>
              <w:right w:w="12" w:type="dxa"/>
            </w:tcMar>
            <w:vAlign w:val="center"/>
          </w:tcPr>
          <w:p>
            <w:pPr>
              <w:rPr>
                <w:rFonts w:hint="default" w:ascii="仿宋_GB2312" w:hAnsi="宋体" w:eastAsia="仿宋_GB2312" w:cs="仿宋_GB2312"/>
                <w:i w:val="0"/>
                <w:color w:val="000000"/>
                <w:sz w:val="20"/>
                <w:szCs w:val="20"/>
                <w:u w:val="none"/>
              </w:rPr>
            </w:pPr>
          </w:p>
        </w:tc>
      </w:tr>
    </w:tbl>
    <w:p>
      <w:pPr>
        <w:keepNext w:val="0"/>
        <w:keepLines w:val="0"/>
        <w:pageBreakBefore w:val="0"/>
        <w:widowControl w:val="0"/>
        <w:kinsoku/>
        <w:wordWrap/>
        <w:overflowPunct/>
        <w:topLinePunct w:val="0"/>
        <w:autoSpaceDE/>
        <w:autoSpaceDN/>
        <w:bidi w:val="0"/>
        <w:adjustRightInd/>
        <w:snapToGrid/>
        <w:spacing w:line="240" w:lineRule="atLeast"/>
        <w:ind w:left="-1035" w:leftChars="-493" w:firstLine="0" w:firstLineChars="0"/>
        <w:textAlignment w:val="auto"/>
        <w:rPr>
          <w:rFonts w:hint="eastAsia" w:ascii="仿宋" w:hAnsi="仿宋" w:eastAsia="仿宋" w:cs="仿宋"/>
          <w:sz w:val="30"/>
          <w:szCs w:val="30"/>
          <w:lang w:val="en-US" w:eastAsia="zh-CN"/>
        </w:rPr>
      </w:pPr>
    </w:p>
    <w:sectPr>
      <w:pgSz w:w="11906" w:h="16838"/>
      <w:pgMar w:top="1440" w:right="1406"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74A23"/>
    <w:rsid w:val="30B142F1"/>
    <w:rsid w:val="36BD66EB"/>
    <w:rsid w:val="54480A39"/>
    <w:rsid w:val="61AE7AFB"/>
    <w:rsid w:val="6AC40B95"/>
    <w:rsid w:val="6DF46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character" w:customStyle="1" w:styleId="4">
    <w:name w:val="font31"/>
    <w:basedOn w:val="2"/>
    <w:qFormat/>
    <w:uiPriority w:val="0"/>
    <w:rPr>
      <w:rFonts w:hint="default" w:ascii="仿宋_GB2312" w:eastAsia="仿宋_GB2312" w:cs="仿宋_GB2312"/>
      <w:b/>
      <w:color w:val="000000"/>
      <w:sz w:val="20"/>
      <w:szCs w:val="20"/>
      <w:u w:val="none"/>
    </w:rPr>
  </w:style>
  <w:style w:type="character" w:customStyle="1" w:styleId="5">
    <w:name w:val="font21"/>
    <w:basedOn w:val="2"/>
    <w:qFormat/>
    <w:uiPriority w:val="0"/>
    <w:rPr>
      <w:rFonts w:hint="default"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2026-07-10T07:09:00Z</dcterms:created>
  <dc:creator>Administrator.MICROSO-AJ83DHL</dc:creator>
  <cp:lastModifiedBy>Administrator</cp:lastModifiedBy>
  <cp:lastPrinted>2026-10-10T08:42:00Z</cp:lastPrinted>
  <dcterms:modified xsi:type="dcterms:W3CDTF">2026-10-19T08:16:53Z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