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D10" w:rsidRDefault="00612159">
      <w:pPr>
        <w:jc w:val="center"/>
        <w:rPr>
          <w:b/>
          <w:bCs/>
          <w:sz w:val="36"/>
          <w:szCs w:val="36"/>
        </w:rPr>
      </w:pPr>
      <w:bookmarkStart w:id="0" w:name="_GoBack"/>
      <w:r>
        <w:rPr>
          <w:rFonts w:hint="eastAsia"/>
          <w:b/>
          <w:bCs/>
          <w:sz w:val="36"/>
          <w:szCs w:val="36"/>
        </w:rPr>
        <w:t>信丰农商银行</w:t>
      </w:r>
      <w:r>
        <w:rPr>
          <w:rFonts w:hint="eastAsia"/>
          <w:b/>
          <w:bCs/>
          <w:sz w:val="36"/>
          <w:szCs w:val="36"/>
        </w:rPr>
        <w:t>2026</w:t>
      </w:r>
      <w:r>
        <w:rPr>
          <w:rFonts w:hint="eastAsia"/>
          <w:b/>
          <w:bCs/>
          <w:sz w:val="36"/>
          <w:szCs w:val="36"/>
        </w:rPr>
        <w:t>年二季度资本管理信息披露报告</w:t>
      </w:r>
    </w:p>
    <w:bookmarkEnd w:id="0"/>
    <w:p w:rsidR="00A02D10" w:rsidRDefault="00A02D10">
      <w:pPr>
        <w:spacing w:line="240" w:lineRule="atLeast"/>
        <w:ind w:firstLineChars="200" w:firstLine="600"/>
        <w:rPr>
          <w:rFonts w:ascii="仿宋" w:eastAsia="仿宋" w:hAnsi="仿宋" w:cs="仿宋"/>
          <w:sz w:val="30"/>
          <w:szCs w:val="30"/>
        </w:rPr>
      </w:pPr>
    </w:p>
    <w:p w:rsidR="00A02D10" w:rsidRDefault="00612159">
      <w:pPr>
        <w:spacing w:line="240" w:lineRule="atLeast"/>
        <w:ind w:firstLineChars="200" w:firstLine="600"/>
        <w:rPr>
          <w:rFonts w:ascii="仿宋" w:eastAsia="仿宋" w:hAnsi="仿宋" w:cs="仿宋"/>
          <w:sz w:val="30"/>
          <w:szCs w:val="30"/>
        </w:rPr>
      </w:pPr>
      <w:r>
        <w:rPr>
          <w:rFonts w:ascii="仿宋" w:eastAsia="仿宋" w:hAnsi="仿宋" w:cs="仿宋" w:hint="eastAsia"/>
          <w:sz w:val="30"/>
          <w:szCs w:val="30"/>
        </w:rPr>
        <w:t>根据《商业银行资本管理办法》</w:t>
      </w:r>
      <w:r>
        <w:rPr>
          <w:rFonts w:ascii="仿宋" w:eastAsia="仿宋" w:hAnsi="仿宋" w:cs="仿宋" w:hint="eastAsia"/>
          <w:sz w:val="30"/>
          <w:szCs w:val="30"/>
        </w:rPr>
        <w:t>（国家金融监督管理总局令</w:t>
      </w:r>
      <w:r>
        <w:rPr>
          <w:rFonts w:ascii="仿宋" w:eastAsia="仿宋" w:hAnsi="仿宋" w:cs="仿宋" w:hint="eastAsia"/>
          <w:sz w:val="30"/>
          <w:szCs w:val="30"/>
        </w:rPr>
        <w:t>2023</w:t>
      </w:r>
      <w:r>
        <w:rPr>
          <w:rFonts w:ascii="仿宋" w:eastAsia="仿宋" w:hAnsi="仿宋" w:cs="仿宋" w:hint="eastAsia"/>
          <w:sz w:val="30"/>
          <w:szCs w:val="30"/>
        </w:rPr>
        <w:t>年第</w:t>
      </w:r>
      <w:r>
        <w:rPr>
          <w:rFonts w:ascii="仿宋" w:eastAsia="仿宋" w:hAnsi="仿宋" w:cs="仿宋" w:hint="eastAsia"/>
          <w:sz w:val="30"/>
          <w:szCs w:val="30"/>
        </w:rPr>
        <w:t>4</w:t>
      </w:r>
      <w:r>
        <w:rPr>
          <w:rFonts w:ascii="仿宋" w:eastAsia="仿宋" w:hAnsi="仿宋" w:cs="仿宋" w:hint="eastAsia"/>
          <w:sz w:val="30"/>
          <w:szCs w:val="30"/>
        </w:rPr>
        <w:t>号）</w:t>
      </w:r>
      <w:r>
        <w:rPr>
          <w:rFonts w:ascii="仿宋" w:eastAsia="仿宋" w:hAnsi="仿宋" w:cs="仿宋" w:hint="eastAsia"/>
          <w:sz w:val="30"/>
          <w:szCs w:val="30"/>
        </w:rPr>
        <w:t>附件</w:t>
      </w:r>
      <w:r>
        <w:rPr>
          <w:rFonts w:ascii="仿宋" w:eastAsia="仿宋" w:hAnsi="仿宋" w:cs="仿宋" w:hint="eastAsia"/>
          <w:sz w:val="30"/>
          <w:szCs w:val="30"/>
        </w:rPr>
        <w:t>22</w:t>
      </w:r>
      <w:r>
        <w:rPr>
          <w:rFonts w:ascii="仿宋" w:eastAsia="仿宋" w:hAnsi="仿宋" w:cs="仿宋" w:hint="eastAsia"/>
          <w:sz w:val="30"/>
          <w:szCs w:val="30"/>
        </w:rPr>
        <w:t>《</w:t>
      </w:r>
      <w:r>
        <w:rPr>
          <w:rFonts w:ascii="仿宋" w:eastAsia="仿宋" w:hAnsi="仿宋" w:cs="仿宋" w:hint="eastAsia"/>
          <w:sz w:val="30"/>
          <w:szCs w:val="30"/>
        </w:rPr>
        <w:t>商业银行信息披露内容和要求</w:t>
      </w:r>
      <w:r>
        <w:rPr>
          <w:rFonts w:ascii="仿宋" w:eastAsia="仿宋" w:hAnsi="仿宋" w:cs="仿宋" w:hint="eastAsia"/>
          <w:sz w:val="30"/>
          <w:szCs w:val="30"/>
        </w:rPr>
        <w:t>》规定</w:t>
      </w:r>
      <w:r>
        <w:rPr>
          <w:rFonts w:ascii="仿宋" w:eastAsia="仿宋" w:hAnsi="仿宋" w:cs="仿宋" w:hint="eastAsia"/>
          <w:sz w:val="30"/>
          <w:szCs w:val="30"/>
        </w:rPr>
        <w:t>，</w:t>
      </w:r>
      <w:r>
        <w:rPr>
          <w:rFonts w:ascii="仿宋" w:eastAsia="仿宋" w:hAnsi="仿宋" w:cs="仿宋" w:hint="eastAsia"/>
          <w:sz w:val="30"/>
          <w:szCs w:val="30"/>
        </w:rPr>
        <w:t>现</w:t>
      </w:r>
      <w:r>
        <w:rPr>
          <w:rFonts w:ascii="仿宋" w:eastAsia="仿宋" w:hAnsi="仿宋" w:cs="仿宋" w:hint="eastAsia"/>
          <w:sz w:val="30"/>
          <w:szCs w:val="30"/>
        </w:rPr>
        <w:t>向投资者和社会公众披露</w:t>
      </w:r>
      <w:r>
        <w:rPr>
          <w:rFonts w:ascii="仿宋" w:eastAsia="仿宋" w:hAnsi="仿宋" w:cs="仿宋" w:hint="eastAsia"/>
          <w:sz w:val="30"/>
          <w:szCs w:val="30"/>
        </w:rPr>
        <w:t>信丰农商银行（以下简称“本行”）</w:t>
      </w:r>
      <w:r>
        <w:rPr>
          <w:rFonts w:ascii="仿宋" w:eastAsia="仿宋" w:hAnsi="仿宋" w:cs="仿宋" w:hint="eastAsia"/>
          <w:sz w:val="30"/>
          <w:szCs w:val="30"/>
        </w:rPr>
        <w:t>2026</w:t>
      </w:r>
      <w:r>
        <w:rPr>
          <w:rFonts w:ascii="仿宋" w:eastAsia="仿宋" w:hAnsi="仿宋" w:cs="仿宋" w:hint="eastAsia"/>
          <w:sz w:val="30"/>
          <w:szCs w:val="30"/>
        </w:rPr>
        <w:t>年二季度第三支柱（资本管理）</w:t>
      </w:r>
      <w:r>
        <w:rPr>
          <w:rFonts w:ascii="仿宋" w:eastAsia="仿宋" w:hAnsi="仿宋" w:cs="仿宋" w:hint="eastAsia"/>
          <w:sz w:val="30"/>
          <w:szCs w:val="30"/>
        </w:rPr>
        <w:t>相关信息：</w:t>
      </w:r>
    </w:p>
    <w:p w:rsidR="00A02D10" w:rsidRDefault="00612159">
      <w:pPr>
        <w:spacing w:line="240" w:lineRule="atLeas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b/>
          <w:bCs/>
          <w:sz w:val="30"/>
          <w:szCs w:val="30"/>
        </w:rPr>
        <w:t xml:space="preserve"> </w:t>
      </w:r>
      <w:r>
        <w:rPr>
          <w:rFonts w:ascii="仿宋" w:eastAsia="仿宋" w:hAnsi="仿宋" w:cs="仿宋" w:hint="eastAsia"/>
          <w:b/>
          <w:bCs/>
          <w:sz w:val="30"/>
          <w:szCs w:val="30"/>
        </w:rPr>
        <w:t>一、资</w:t>
      </w:r>
      <w:r>
        <w:rPr>
          <w:rFonts w:ascii="仿宋" w:eastAsia="仿宋" w:hAnsi="仿宋" w:cs="仿宋" w:hint="eastAsia"/>
          <w:b/>
          <w:bCs/>
          <w:sz w:val="30"/>
          <w:szCs w:val="30"/>
        </w:rPr>
        <w:t>本管理</w:t>
      </w:r>
      <w:r>
        <w:rPr>
          <w:rFonts w:ascii="仿宋" w:eastAsia="仿宋" w:hAnsi="仿宋" w:cs="仿宋" w:hint="eastAsia"/>
          <w:b/>
          <w:bCs/>
          <w:sz w:val="30"/>
          <w:szCs w:val="30"/>
        </w:rPr>
        <w:t>概览</w:t>
      </w:r>
    </w:p>
    <w:p w:rsidR="00A02D10" w:rsidRDefault="00612159">
      <w:pPr>
        <w:widowControl/>
        <w:shd w:val="clear" w:color="auto" w:fill="FEFEFE"/>
        <w:spacing w:line="560" w:lineRule="atLeast"/>
        <w:ind w:firstLine="652"/>
        <w:rPr>
          <w:rFonts w:ascii="仿宋" w:eastAsia="仿宋" w:hAnsi="仿宋" w:cs="仿宋"/>
          <w:sz w:val="30"/>
          <w:szCs w:val="30"/>
        </w:rPr>
      </w:pPr>
      <w:r>
        <w:rPr>
          <w:rFonts w:ascii="仿宋" w:eastAsia="仿宋" w:hAnsi="仿宋" w:cs="仿宋" w:hint="eastAsia"/>
          <w:sz w:val="30"/>
          <w:szCs w:val="30"/>
        </w:rPr>
        <w:t>2026</w:t>
      </w:r>
      <w:r>
        <w:rPr>
          <w:rFonts w:ascii="仿宋" w:eastAsia="仿宋" w:hAnsi="仿宋" w:cs="仿宋" w:hint="eastAsia"/>
          <w:sz w:val="30"/>
          <w:szCs w:val="30"/>
        </w:rPr>
        <w:t>年</w:t>
      </w:r>
      <w:r>
        <w:rPr>
          <w:rFonts w:ascii="仿宋" w:eastAsia="仿宋" w:hAnsi="仿宋" w:cs="仿宋" w:hint="eastAsia"/>
          <w:sz w:val="30"/>
          <w:szCs w:val="30"/>
        </w:rPr>
        <w:t>6</w:t>
      </w:r>
      <w:r>
        <w:rPr>
          <w:rFonts w:ascii="仿宋" w:eastAsia="仿宋" w:hAnsi="仿宋" w:cs="仿宋" w:hint="eastAsia"/>
          <w:sz w:val="30"/>
          <w:szCs w:val="30"/>
        </w:rPr>
        <w:t>月末，本行实收资本（股本）</w:t>
      </w:r>
      <w:r>
        <w:rPr>
          <w:rFonts w:ascii="仿宋" w:eastAsia="仿宋" w:hAnsi="仿宋" w:cs="仿宋" w:hint="eastAsia"/>
          <w:sz w:val="30"/>
          <w:szCs w:val="30"/>
        </w:rPr>
        <w:t>31704.55</w:t>
      </w:r>
      <w:r>
        <w:rPr>
          <w:rFonts w:ascii="仿宋" w:eastAsia="仿宋" w:hAnsi="仿宋" w:cs="仿宋" w:hint="eastAsia"/>
          <w:sz w:val="30"/>
          <w:szCs w:val="30"/>
        </w:rPr>
        <w:t>万元，核心一级资本净额</w:t>
      </w:r>
      <w:r>
        <w:rPr>
          <w:rFonts w:ascii="仿宋" w:eastAsia="仿宋" w:hAnsi="仿宋" w:cs="仿宋" w:hint="eastAsia"/>
          <w:sz w:val="30"/>
          <w:szCs w:val="30"/>
        </w:rPr>
        <w:t>179754.59</w:t>
      </w:r>
      <w:r>
        <w:rPr>
          <w:rFonts w:ascii="仿宋" w:eastAsia="仿宋" w:hAnsi="仿宋" w:cs="仿宋" w:hint="eastAsia"/>
          <w:sz w:val="30"/>
          <w:szCs w:val="30"/>
        </w:rPr>
        <w:t>万元，一级资本净额</w:t>
      </w:r>
      <w:r>
        <w:rPr>
          <w:rFonts w:ascii="仿宋" w:eastAsia="仿宋" w:hAnsi="仿宋" w:cs="仿宋" w:hint="eastAsia"/>
          <w:sz w:val="30"/>
          <w:szCs w:val="30"/>
        </w:rPr>
        <w:t>179754.59</w:t>
      </w:r>
      <w:r>
        <w:rPr>
          <w:rFonts w:ascii="仿宋" w:eastAsia="仿宋" w:hAnsi="仿宋" w:cs="仿宋" w:hint="eastAsia"/>
          <w:sz w:val="30"/>
          <w:szCs w:val="30"/>
        </w:rPr>
        <w:t>万元，资本净额</w:t>
      </w:r>
      <w:r>
        <w:rPr>
          <w:rFonts w:ascii="仿宋" w:eastAsia="仿宋" w:hAnsi="仿宋" w:cs="仿宋" w:hint="eastAsia"/>
          <w:sz w:val="30"/>
          <w:szCs w:val="30"/>
        </w:rPr>
        <w:t>194708.07</w:t>
      </w:r>
      <w:r>
        <w:rPr>
          <w:rFonts w:ascii="仿宋" w:eastAsia="仿宋" w:hAnsi="仿宋" w:cs="仿宋" w:hint="eastAsia"/>
          <w:sz w:val="30"/>
          <w:szCs w:val="30"/>
        </w:rPr>
        <w:t>万元，风险加权资产</w:t>
      </w:r>
      <w:r>
        <w:rPr>
          <w:rFonts w:ascii="仿宋" w:eastAsia="仿宋" w:hAnsi="仿宋" w:cs="仿宋" w:hint="eastAsia"/>
          <w:sz w:val="30"/>
          <w:szCs w:val="30"/>
        </w:rPr>
        <w:t>1336706.92</w:t>
      </w:r>
      <w:r>
        <w:rPr>
          <w:rFonts w:ascii="仿宋" w:eastAsia="仿宋" w:hAnsi="仿宋" w:cs="仿宋" w:hint="eastAsia"/>
          <w:sz w:val="30"/>
          <w:szCs w:val="30"/>
        </w:rPr>
        <w:t>万元，核心一级资本充足率为</w:t>
      </w:r>
      <w:r>
        <w:rPr>
          <w:rFonts w:ascii="仿宋" w:eastAsia="仿宋" w:hAnsi="仿宋" w:cs="仿宋" w:hint="eastAsia"/>
          <w:sz w:val="30"/>
          <w:szCs w:val="30"/>
        </w:rPr>
        <w:t>13.45%</w:t>
      </w:r>
      <w:r>
        <w:rPr>
          <w:rFonts w:ascii="仿宋" w:eastAsia="仿宋" w:hAnsi="仿宋" w:cs="仿宋" w:hint="eastAsia"/>
          <w:sz w:val="30"/>
          <w:szCs w:val="30"/>
        </w:rPr>
        <w:t>，一级资本充足率为</w:t>
      </w:r>
      <w:r>
        <w:rPr>
          <w:rFonts w:ascii="仿宋" w:eastAsia="仿宋" w:hAnsi="仿宋" w:cs="仿宋" w:hint="eastAsia"/>
          <w:sz w:val="30"/>
          <w:szCs w:val="30"/>
        </w:rPr>
        <w:t>13.45%</w:t>
      </w:r>
      <w:r>
        <w:rPr>
          <w:rFonts w:ascii="仿宋" w:eastAsia="仿宋" w:hAnsi="仿宋" w:cs="仿宋" w:hint="eastAsia"/>
          <w:sz w:val="30"/>
          <w:szCs w:val="30"/>
        </w:rPr>
        <w:t>，资本充足率为</w:t>
      </w:r>
      <w:r>
        <w:rPr>
          <w:rFonts w:ascii="仿宋" w:eastAsia="仿宋" w:hAnsi="仿宋" w:cs="仿宋" w:hint="eastAsia"/>
          <w:sz w:val="30"/>
          <w:szCs w:val="30"/>
        </w:rPr>
        <w:t>14.57%</w:t>
      </w:r>
      <w:r>
        <w:rPr>
          <w:rFonts w:ascii="仿宋" w:eastAsia="仿宋" w:hAnsi="仿宋" w:cs="仿宋" w:hint="eastAsia"/>
          <w:sz w:val="30"/>
          <w:szCs w:val="30"/>
        </w:rPr>
        <w:t>，杠杆率为</w:t>
      </w:r>
      <w:r>
        <w:rPr>
          <w:rFonts w:ascii="仿宋" w:eastAsia="仿宋" w:hAnsi="仿宋" w:cs="仿宋" w:hint="eastAsia"/>
          <w:sz w:val="30"/>
          <w:szCs w:val="30"/>
        </w:rPr>
        <w:t>7.64%</w:t>
      </w:r>
      <w:r>
        <w:rPr>
          <w:rFonts w:ascii="仿宋" w:eastAsia="仿宋" w:hAnsi="仿宋" w:cs="仿宋" w:hint="eastAsia"/>
          <w:sz w:val="30"/>
          <w:szCs w:val="30"/>
        </w:rPr>
        <w:t>。</w:t>
      </w:r>
    </w:p>
    <w:p w:rsidR="00A02D10" w:rsidRDefault="00612159">
      <w:pPr>
        <w:widowControl/>
        <w:shd w:val="clear" w:color="auto" w:fill="FEFEFE"/>
        <w:spacing w:line="560" w:lineRule="atLeast"/>
        <w:ind w:firstLine="652"/>
        <w:rPr>
          <w:rFonts w:ascii="仿宋" w:eastAsia="仿宋" w:hAnsi="仿宋" w:cs="仿宋"/>
          <w:sz w:val="30"/>
          <w:szCs w:val="30"/>
        </w:rPr>
      </w:pPr>
      <w:r>
        <w:rPr>
          <w:rFonts w:ascii="仿宋" w:eastAsia="仿宋" w:hAnsi="仿宋" w:cs="仿宋" w:hint="eastAsia"/>
          <w:sz w:val="30"/>
          <w:szCs w:val="30"/>
        </w:rPr>
        <w:t>本行调整后表内外资产余额</w:t>
      </w:r>
      <w:r>
        <w:rPr>
          <w:rFonts w:ascii="仿宋" w:eastAsia="仿宋" w:hAnsi="仿宋" w:cs="仿宋" w:hint="eastAsia"/>
          <w:sz w:val="30"/>
          <w:szCs w:val="30"/>
        </w:rPr>
        <w:t>235.26</w:t>
      </w:r>
      <w:r>
        <w:rPr>
          <w:rFonts w:ascii="仿宋" w:eastAsia="仿宋" w:hAnsi="仿宋" w:cs="仿宋" w:hint="eastAsia"/>
          <w:sz w:val="30"/>
          <w:szCs w:val="30"/>
        </w:rPr>
        <w:t>亿元，满足《商业银行资本管理办法》第六条第二款“</w:t>
      </w:r>
      <w:r>
        <w:rPr>
          <w:rFonts w:ascii="仿宋" w:eastAsia="仿宋" w:hAnsi="仿宋" w:cs="仿宋" w:hint="eastAsia"/>
          <w:sz w:val="30"/>
          <w:szCs w:val="30"/>
        </w:rPr>
        <w:t>1</w:t>
      </w:r>
      <w:r>
        <w:rPr>
          <w:rFonts w:ascii="仿宋" w:eastAsia="仿宋" w:hAnsi="仿宋" w:cs="仿宋" w:hint="eastAsia"/>
          <w:sz w:val="30"/>
          <w:szCs w:val="30"/>
        </w:rPr>
        <w:t>．并表口径调整后表内外资产余额</w:t>
      </w:r>
      <w:r>
        <w:rPr>
          <w:rFonts w:ascii="仿宋" w:eastAsia="仿宋" w:hAnsi="仿宋" w:cs="仿宋" w:hint="eastAsia"/>
          <w:sz w:val="30"/>
          <w:szCs w:val="30"/>
        </w:rPr>
        <w:t>100</w:t>
      </w:r>
      <w:r>
        <w:rPr>
          <w:rFonts w:ascii="仿宋" w:eastAsia="仿宋" w:hAnsi="仿宋" w:cs="仿宋" w:hint="eastAsia"/>
          <w:sz w:val="30"/>
          <w:szCs w:val="30"/>
        </w:rPr>
        <w:t>亿元人民币（含）以上，且不符合第一档商业银行条件”规定的机构档次划分标准</w:t>
      </w:r>
      <w:r>
        <w:rPr>
          <w:rFonts w:ascii="仿宋" w:eastAsia="仿宋" w:hAnsi="仿宋" w:cs="仿宋" w:hint="eastAsia"/>
          <w:sz w:val="30"/>
          <w:szCs w:val="30"/>
        </w:rPr>
        <w:t>，适用于第二档商业银行。</w:t>
      </w:r>
    </w:p>
    <w:p w:rsidR="00A02D10" w:rsidRDefault="00612159">
      <w:pPr>
        <w:spacing w:line="240" w:lineRule="atLeast"/>
        <w:ind w:firstLine="600"/>
        <w:rPr>
          <w:rFonts w:ascii="仿宋" w:eastAsia="仿宋" w:hAnsi="仿宋" w:cs="仿宋"/>
          <w:sz w:val="30"/>
          <w:szCs w:val="30"/>
        </w:rPr>
      </w:pPr>
      <w:r>
        <w:rPr>
          <w:rFonts w:ascii="仿宋" w:eastAsia="仿宋" w:hAnsi="仿宋" w:cs="仿宋" w:hint="eastAsia"/>
          <w:sz w:val="30"/>
          <w:szCs w:val="30"/>
        </w:rPr>
        <w:t>本行建立健全全面风险管理架构和内部资本充足评估程序，建立风险计量体系并覆盖信用、市场、操作等各类风险，涵盖全部表内资产、表外业务等全部风险敞口。本行严格按照监管规定计算资本监管指标，分别采用权重法计量信用风险加权资产、标准法计量市场风险资本要求、基本指标法计量操作风险资本要求。</w:t>
      </w:r>
    </w:p>
    <w:p w:rsidR="00A02D10" w:rsidRDefault="00612159">
      <w:pPr>
        <w:spacing w:line="240" w:lineRule="atLeast"/>
        <w:ind w:firstLineChars="200" w:firstLine="602"/>
        <w:rPr>
          <w:rFonts w:ascii="仿宋" w:eastAsia="仿宋" w:hAnsi="仿宋" w:cs="仿宋"/>
          <w:b/>
          <w:bCs/>
          <w:sz w:val="30"/>
          <w:szCs w:val="30"/>
        </w:rPr>
      </w:pPr>
      <w:r>
        <w:rPr>
          <w:rFonts w:ascii="仿宋" w:eastAsia="仿宋" w:hAnsi="仿宋" w:cs="仿宋" w:hint="eastAsia"/>
          <w:b/>
          <w:bCs/>
          <w:sz w:val="30"/>
          <w:szCs w:val="30"/>
        </w:rPr>
        <w:t>二、信息披露主要内容</w:t>
      </w:r>
    </w:p>
    <w:p w:rsidR="00A02D10" w:rsidRDefault="00612159">
      <w:pPr>
        <w:spacing w:line="240" w:lineRule="atLeast"/>
        <w:ind w:firstLine="600"/>
        <w:rPr>
          <w:rFonts w:ascii="仿宋" w:eastAsia="仿宋" w:hAnsi="仿宋" w:cs="仿宋"/>
          <w:sz w:val="30"/>
          <w:szCs w:val="30"/>
        </w:rPr>
      </w:pPr>
      <w:r>
        <w:rPr>
          <w:rFonts w:ascii="仿宋" w:eastAsia="仿宋" w:hAnsi="仿宋" w:cs="仿宋" w:hint="eastAsia"/>
          <w:sz w:val="30"/>
          <w:szCs w:val="30"/>
        </w:rPr>
        <w:lastRenderedPageBreak/>
        <w:t>2026</w:t>
      </w:r>
      <w:r>
        <w:rPr>
          <w:rFonts w:ascii="仿宋" w:eastAsia="仿宋" w:hAnsi="仿宋" w:cs="仿宋" w:hint="eastAsia"/>
          <w:sz w:val="30"/>
          <w:szCs w:val="30"/>
        </w:rPr>
        <w:t>年二季度，本行以表格形式进行第三支柱信息披露，包括《监管并表关键审慎监管指标》、《资本构成》（详见附表</w:t>
      </w:r>
      <w:r>
        <w:rPr>
          <w:rFonts w:ascii="仿宋" w:eastAsia="仿宋" w:hAnsi="仿宋" w:cs="仿宋" w:hint="eastAsia"/>
          <w:sz w:val="30"/>
          <w:szCs w:val="30"/>
        </w:rPr>
        <w:t>KM1</w:t>
      </w:r>
      <w:r>
        <w:rPr>
          <w:rFonts w:ascii="仿宋" w:eastAsia="仿宋" w:hAnsi="仿宋" w:cs="仿宋" w:hint="eastAsia"/>
          <w:sz w:val="30"/>
          <w:szCs w:val="30"/>
        </w:rPr>
        <w:t>、</w:t>
      </w:r>
      <w:r>
        <w:rPr>
          <w:rFonts w:ascii="仿宋" w:eastAsia="仿宋" w:hAnsi="仿宋" w:cs="仿宋" w:hint="eastAsia"/>
          <w:sz w:val="30"/>
          <w:szCs w:val="30"/>
        </w:rPr>
        <w:t>CC1</w:t>
      </w:r>
      <w:r>
        <w:rPr>
          <w:rFonts w:ascii="仿宋" w:eastAsia="仿宋" w:hAnsi="仿宋" w:cs="仿宋" w:hint="eastAsia"/>
          <w:sz w:val="30"/>
          <w:szCs w:val="30"/>
        </w:rPr>
        <w:t>），风险计量、资本评估均采用境内单一法人机构口径。</w:t>
      </w:r>
    </w:p>
    <w:p w:rsidR="00A02D10" w:rsidRDefault="00612159">
      <w:pPr>
        <w:spacing w:line="240" w:lineRule="atLeast"/>
        <w:ind w:firstLineChars="200" w:firstLine="602"/>
        <w:rPr>
          <w:rFonts w:ascii="仿宋" w:eastAsia="仿宋" w:hAnsi="仿宋" w:cs="仿宋"/>
          <w:b/>
          <w:bCs/>
          <w:sz w:val="30"/>
          <w:szCs w:val="30"/>
        </w:rPr>
      </w:pPr>
      <w:r>
        <w:rPr>
          <w:rFonts w:ascii="仿宋" w:eastAsia="仿宋" w:hAnsi="仿宋" w:cs="仿宋" w:hint="eastAsia"/>
          <w:b/>
          <w:bCs/>
          <w:sz w:val="30"/>
          <w:szCs w:val="30"/>
        </w:rPr>
        <w:t>三、特别</w:t>
      </w:r>
      <w:r>
        <w:rPr>
          <w:rFonts w:ascii="仿宋" w:eastAsia="仿宋" w:hAnsi="仿宋" w:cs="仿宋" w:hint="eastAsia"/>
          <w:b/>
          <w:bCs/>
          <w:sz w:val="30"/>
          <w:szCs w:val="30"/>
        </w:rPr>
        <w:t>说明</w:t>
      </w:r>
    </w:p>
    <w:p w:rsidR="00A02D10" w:rsidRDefault="00612159">
      <w:pPr>
        <w:spacing w:line="240" w:lineRule="atLeast"/>
        <w:ind w:firstLineChars="200" w:firstLine="600"/>
        <w:rPr>
          <w:rFonts w:ascii="仿宋" w:eastAsia="仿宋" w:hAnsi="仿宋" w:cs="仿宋"/>
          <w:sz w:val="30"/>
          <w:szCs w:val="30"/>
        </w:rPr>
      </w:pPr>
      <w:r>
        <w:rPr>
          <w:rFonts w:ascii="仿宋" w:eastAsia="仿宋" w:hAnsi="仿宋" w:cs="仿宋" w:hint="eastAsia"/>
          <w:sz w:val="30"/>
          <w:szCs w:val="30"/>
        </w:rPr>
        <w:t>本行为单一法人农村商业银行，无资本工具发行、无</w:t>
      </w:r>
      <w:r>
        <w:rPr>
          <w:rFonts w:ascii="仿宋" w:eastAsia="仿宋" w:hAnsi="仿宋" w:cs="仿宋" w:hint="eastAsia"/>
          <w:sz w:val="30"/>
          <w:szCs w:val="30"/>
        </w:rPr>
        <w:t>TLAC</w:t>
      </w:r>
      <w:r>
        <w:rPr>
          <w:rFonts w:ascii="仿宋" w:eastAsia="仿宋" w:hAnsi="仿宋" w:cs="仿宋" w:hint="eastAsia"/>
          <w:sz w:val="30"/>
          <w:szCs w:val="30"/>
        </w:rPr>
        <w:t>要求，无直接或间接控制的各类金融附属机构，不构成银行集团，不存在财务并表范围与监管并表范围，二者无差异。</w:t>
      </w:r>
    </w:p>
    <w:p w:rsidR="00A02D10" w:rsidRDefault="00A02D10">
      <w:pPr>
        <w:spacing w:line="240" w:lineRule="atLeast"/>
        <w:ind w:firstLineChars="200" w:firstLine="600"/>
        <w:rPr>
          <w:rFonts w:ascii="仿宋" w:eastAsia="仿宋" w:hAnsi="仿宋" w:cs="仿宋"/>
          <w:sz w:val="30"/>
          <w:szCs w:val="30"/>
        </w:rPr>
      </w:pPr>
    </w:p>
    <w:p w:rsidR="00A02D10" w:rsidRDefault="00A02D10">
      <w:pPr>
        <w:spacing w:line="240" w:lineRule="atLeast"/>
        <w:rPr>
          <w:rFonts w:ascii="仿宋" w:eastAsia="仿宋" w:hAnsi="仿宋" w:cs="仿宋"/>
          <w:sz w:val="30"/>
          <w:szCs w:val="30"/>
        </w:rPr>
      </w:pPr>
    </w:p>
    <w:p w:rsidR="00A02D10" w:rsidRDefault="00A02D10">
      <w:pPr>
        <w:spacing w:line="240" w:lineRule="atLeast"/>
        <w:rPr>
          <w:rFonts w:ascii="仿宋" w:eastAsia="仿宋" w:hAnsi="仿宋" w:cs="仿宋"/>
          <w:sz w:val="30"/>
          <w:szCs w:val="30"/>
        </w:rPr>
      </w:pPr>
    </w:p>
    <w:p w:rsidR="00A02D10" w:rsidRDefault="00A02D10">
      <w:pPr>
        <w:spacing w:line="240" w:lineRule="atLeast"/>
        <w:rPr>
          <w:rFonts w:ascii="仿宋" w:eastAsia="仿宋" w:hAnsi="仿宋" w:cs="仿宋"/>
          <w:sz w:val="30"/>
          <w:szCs w:val="30"/>
        </w:rPr>
      </w:pPr>
    </w:p>
    <w:p w:rsidR="00A02D10" w:rsidRDefault="00A02D10">
      <w:pPr>
        <w:spacing w:line="240" w:lineRule="atLeast"/>
        <w:rPr>
          <w:rFonts w:ascii="仿宋" w:eastAsia="仿宋" w:hAnsi="仿宋" w:cs="仿宋"/>
          <w:sz w:val="30"/>
          <w:szCs w:val="30"/>
        </w:rPr>
      </w:pPr>
    </w:p>
    <w:p w:rsidR="00A02D10" w:rsidRDefault="00A02D10">
      <w:pPr>
        <w:spacing w:line="240" w:lineRule="atLeast"/>
        <w:rPr>
          <w:rFonts w:ascii="仿宋" w:eastAsia="仿宋" w:hAnsi="仿宋" w:cs="仿宋"/>
          <w:sz w:val="30"/>
          <w:szCs w:val="30"/>
        </w:rPr>
      </w:pPr>
    </w:p>
    <w:p w:rsidR="00A02D10" w:rsidRDefault="00A02D10">
      <w:pPr>
        <w:spacing w:line="240" w:lineRule="atLeast"/>
        <w:rPr>
          <w:rFonts w:ascii="仿宋" w:eastAsia="仿宋" w:hAnsi="仿宋" w:cs="仿宋"/>
          <w:sz w:val="30"/>
          <w:szCs w:val="30"/>
        </w:rPr>
      </w:pPr>
    </w:p>
    <w:p w:rsidR="00A02D10" w:rsidRDefault="00A02D10">
      <w:pPr>
        <w:spacing w:line="240" w:lineRule="atLeast"/>
        <w:rPr>
          <w:rFonts w:ascii="仿宋" w:eastAsia="仿宋" w:hAnsi="仿宋" w:cs="仿宋"/>
          <w:sz w:val="30"/>
          <w:szCs w:val="30"/>
        </w:rPr>
      </w:pPr>
    </w:p>
    <w:p w:rsidR="00A02D10" w:rsidRDefault="00A02D10">
      <w:pPr>
        <w:spacing w:line="240" w:lineRule="atLeast"/>
        <w:rPr>
          <w:rFonts w:ascii="仿宋" w:eastAsia="仿宋" w:hAnsi="仿宋" w:cs="仿宋"/>
          <w:sz w:val="30"/>
          <w:szCs w:val="30"/>
        </w:rPr>
      </w:pPr>
    </w:p>
    <w:p w:rsidR="00A02D10" w:rsidRDefault="00A02D10">
      <w:pPr>
        <w:spacing w:line="240" w:lineRule="atLeast"/>
        <w:rPr>
          <w:rFonts w:ascii="仿宋" w:eastAsia="仿宋" w:hAnsi="仿宋" w:cs="仿宋"/>
          <w:sz w:val="30"/>
          <w:szCs w:val="30"/>
        </w:rPr>
      </w:pPr>
    </w:p>
    <w:p w:rsidR="00A02D10" w:rsidRDefault="00A02D10">
      <w:pPr>
        <w:spacing w:line="240" w:lineRule="atLeast"/>
        <w:rPr>
          <w:rFonts w:ascii="仿宋" w:eastAsia="仿宋" w:hAnsi="仿宋" w:cs="仿宋"/>
          <w:sz w:val="30"/>
          <w:szCs w:val="30"/>
        </w:rPr>
      </w:pPr>
    </w:p>
    <w:p w:rsidR="00A02D10" w:rsidRDefault="00A02D10">
      <w:pPr>
        <w:spacing w:line="240" w:lineRule="atLeast"/>
        <w:rPr>
          <w:rFonts w:ascii="仿宋" w:eastAsia="仿宋" w:hAnsi="仿宋" w:cs="仿宋"/>
          <w:sz w:val="30"/>
          <w:szCs w:val="30"/>
        </w:rPr>
      </w:pPr>
    </w:p>
    <w:p w:rsidR="00A02D10" w:rsidRDefault="00A02D10">
      <w:pPr>
        <w:spacing w:line="240" w:lineRule="atLeast"/>
        <w:rPr>
          <w:rFonts w:ascii="仿宋" w:eastAsia="仿宋" w:hAnsi="仿宋" w:cs="仿宋"/>
          <w:sz w:val="30"/>
          <w:szCs w:val="30"/>
        </w:rPr>
      </w:pPr>
    </w:p>
    <w:p w:rsidR="00A02D10" w:rsidRDefault="00A02D10">
      <w:pPr>
        <w:spacing w:line="240" w:lineRule="atLeast"/>
        <w:rPr>
          <w:rFonts w:ascii="仿宋" w:eastAsia="仿宋" w:hAnsi="仿宋" w:cs="仿宋"/>
          <w:sz w:val="30"/>
          <w:szCs w:val="30"/>
        </w:rPr>
      </w:pPr>
    </w:p>
    <w:p w:rsidR="00A02D10" w:rsidRDefault="00A02D10">
      <w:pPr>
        <w:spacing w:line="240" w:lineRule="atLeast"/>
        <w:rPr>
          <w:rFonts w:ascii="仿宋" w:eastAsia="仿宋" w:hAnsi="仿宋" w:cs="仿宋"/>
          <w:sz w:val="30"/>
          <w:szCs w:val="30"/>
        </w:rPr>
      </w:pPr>
    </w:p>
    <w:tbl>
      <w:tblPr>
        <w:tblW w:w="9564" w:type="dxa"/>
        <w:tblInd w:w="-509" w:type="dxa"/>
        <w:tblLayout w:type="fixed"/>
        <w:tblCellMar>
          <w:left w:w="0" w:type="dxa"/>
          <w:right w:w="0" w:type="dxa"/>
        </w:tblCellMar>
        <w:tblLook w:val="04A0" w:firstRow="1" w:lastRow="0" w:firstColumn="1" w:lastColumn="0" w:noHBand="0" w:noVBand="1"/>
      </w:tblPr>
      <w:tblGrid>
        <w:gridCol w:w="476"/>
        <w:gridCol w:w="3309"/>
        <w:gridCol w:w="1255"/>
        <w:gridCol w:w="1176"/>
        <w:gridCol w:w="1116"/>
        <w:gridCol w:w="1104"/>
        <w:gridCol w:w="1128"/>
      </w:tblGrid>
      <w:tr w:rsidR="00A02D10">
        <w:trPr>
          <w:trHeight w:val="600"/>
        </w:trPr>
        <w:tc>
          <w:tcPr>
            <w:tcW w:w="9564" w:type="dxa"/>
            <w:gridSpan w:val="7"/>
            <w:tcBorders>
              <w:top w:val="nil"/>
              <w:left w:val="nil"/>
              <w:bottom w:val="nil"/>
              <w:right w:val="nil"/>
            </w:tcBorders>
            <w:shd w:val="clear" w:color="auto" w:fill="auto"/>
            <w:noWrap/>
            <w:tcMar>
              <w:top w:w="12" w:type="dxa"/>
              <w:left w:w="12" w:type="dxa"/>
              <w:right w:w="12" w:type="dxa"/>
            </w:tcMar>
            <w:vAlign w:val="center"/>
          </w:tcPr>
          <w:p w:rsidR="00A02D10" w:rsidRDefault="00612159">
            <w:pPr>
              <w:widowControl/>
              <w:ind w:firstLineChars="200" w:firstLine="562"/>
              <w:textAlignment w:val="center"/>
              <w:rPr>
                <w:rFonts w:ascii="宋体" w:eastAsia="宋体" w:hAnsi="宋体" w:cs="宋体"/>
                <w:b/>
                <w:color w:val="000000"/>
                <w:sz w:val="28"/>
                <w:szCs w:val="28"/>
              </w:rPr>
            </w:pPr>
            <w:r>
              <w:rPr>
                <w:rFonts w:ascii="宋体" w:eastAsia="宋体" w:hAnsi="宋体" w:cs="宋体" w:hint="eastAsia"/>
                <w:b/>
                <w:color w:val="000000"/>
                <w:kern w:val="0"/>
                <w:sz w:val="28"/>
                <w:szCs w:val="28"/>
                <w:lang w:bidi="ar"/>
              </w:rPr>
              <w:lastRenderedPageBreak/>
              <w:t>附表</w:t>
            </w:r>
            <w:r>
              <w:rPr>
                <w:rFonts w:ascii="宋体" w:eastAsia="宋体" w:hAnsi="宋体" w:cs="宋体" w:hint="eastAsia"/>
                <w:b/>
                <w:color w:val="000000"/>
                <w:kern w:val="0"/>
                <w:sz w:val="28"/>
                <w:szCs w:val="28"/>
                <w:lang w:bidi="ar"/>
              </w:rPr>
              <w:t>KM1</w:t>
            </w:r>
            <w:r>
              <w:rPr>
                <w:rFonts w:ascii="宋体" w:eastAsia="宋体" w:hAnsi="宋体" w:cs="宋体" w:hint="eastAsia"/>
                <w:b/>
                <w:color w:val="000000"/>
                <w:kern w:val="0"/>
                <w:sz w:val="28"/>
                <w:szCs w:val="28"/>
                <w:lang w:bidi="ar"/>
              </w:rPr>
              <w:t>：监管并表关键审慎监管指标</w:t>
            </w:r>
          </w:p>
        </w:tc>
      </w:tr>
      <w:tr w:rsidR="00A02D10">
        <w:trPr>
          <w:trHeight w:val="516"/>
        </w:trPr>
        <w:tc>
          <w:tcPr>
            <w:tcW w:w="9564" w:type="dxa"/>
            <w:gridSpan w:val="7"/>
            <w:tcBorders>
              <w:top w:val="nil"/>
              <w:left w:val="nil"/>
              <w:bottom w:val="nil"/>
              <w:right w:val="nil"/>
            </w:tcBorders>
            <w:shd w:val="clear" w:color="auto" w:fill="auto"/>
            <w:noWrap/>
            <w:tcMar>
              <w:top w:w="12" w:type="dxa"/>
              <w:left w:w="12" w:type="dxa"/>
              <w:right w:w="12" w:type="dxa"/>
            </w:tcMar>
            <w:vAlign w:val="center"/>
          </w:tcPr>
          <w:p w:rsidR="00A02D10" w:rsidRDefault="00612159">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日期</w:t>
            </w:r>
            <w:r>
              <w:rPr>
                <w:rFonts w:ascii="宋体" w:eastAsia="宋体" w:hAnsi="宋体" w:cs="宋体" w:hint="eastAsia"/>
                <w:color w:val="000000"/>
                <w:kern w:val="0"/>
                <w:sz w:val="22"/>
                <w:szCs w:val="22"/>
                <w:lang w:bidi="ar"/>
              </w:rPr>
              <w:t>T</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2026</w:t>
            </w:r>
            <w:r>
              <w:rPr>
                <w:rFonts w:ascii="宋体" w:eastAsia="宋体" w:hAnsi="宋体" w:cs="宋体" w:hint="eastAsia"/>
                <w:color w:val="000000"/>
                <w:kern w:val="0"/>
                <w:sz w:val="22"/>
                <w:szCs w:val="22"/>
                <w:lang w:bidi="ar"/>
              </w:rPr>
              <w:t>年二季度</w:t>
            </w: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单位：人民币、万元、</w:t>
            </w:r>
            <w:r>
              <w:rPr>
                <w:rFonts w:ascii="宋体" w:eastAsia="宋体" w:hAnsi="宋体" w:cs="宋体" w:hint="eastAsia"/>
                <w:color w:val="000000"/>
                <w:kern w:val="0"/>
                <w:sz w:val="22"/>
                <w:szCs w:val="22"/>
                <w:lang w:bidi="ar"/>
              </w:rPr>
              <w:t>%</w:t>
            </w:r>
          </w:p>
        </w:tc>
      </w:tr>
      <w:tr w:rsidR="00A02D10">
        <w:trPr>
          <w:trHeight w:val="345"/>
        </w:trPr>
        <w:tc>
          <w:tcPr>
            <w:tcW w:w="476" w:type="dxa"/>
            <w:vMerge w:val="restart"/>
            <w:tcBorders>
              <w:top w:val="single" w:sz="8" w:space="0" w:color="000000"/>
              <w:left w:val="single" w:sz="8" w:space="0" w:color="000000"/>
              <w:bottom w:val="single" w:sz="4" w:space="0" w:color="000000"/>
              <w:right w:val="nil"/>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序号</w:t>
            </w:r>
          </w:p>
        </w:tc>
        <w:tc>
          <w:tcPr>
            <w:tcW w:w="3309" w:type="dxa"/>
            <w:vMerge w:val="restart"/>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项目</w:t>
            </w:r>
          </w:p>
        </w:tc>
        <w:tc>
          <w:tcPr>
            <w:tcW w:w="1255" w:type="dxa"/>
            <w:tcBorders>
              <w:top w:val="single" w:sz="8"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a</w:t>
            </w:r>
          </w:p>
        </w:tc>
        <w:tc>
          <w:tcPr>
            <w:tcW w:w="1176" w:type="dxa"/>
            <w:tcBorders>
              <w:top w:val="single" w:sz="8"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b</w:t>
            </w:r>
          </w:p>
        </w:tc>
        <w:tc>
          <w:tcPr>
            <w:tcW w:w="1116" w:type="dxa"/>
            <w:tcBorders>
              <w:top w:val="single" w:sz="8"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c</w:t>
            </w:r>
          </w:p>
        </w:tc>
        <w:tc>
          <w:tcPr>
            <w:tcW w:w="1104" w:type="dxa"/>
            <w:tcBorders>
              <w:top w:val="single" w:sz="8"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d</w:t>
            </w:r>
          </w:p>
        </w:tc>
        <w:tc>
          <w:tcPr>
            <w:tcW w:w="1128" w:type="dxa"/>
            <w:tcBorders>
              <w:top w:val="single" w:sz="8"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abs>
                <w:tab w:val="left" w:pos="1470"/>
              </w:tabs>
              <w:ind w:leftChars="100" w:left="210" w:rightChars="1189" w:right="2497"/>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e</w:t>
            </w:r>
          </w:p>
        </w:tc>
      </w:tr>
      <w:tr w:rsidR="00A02D10">
        <w:trPr>
          <w:trHeight w:val="345"/>
        </w:trPr>
        <w:tc>
          <w:tcPr>
            <w:tcW w:w="476" w:type="dxa"/>
            <w:vMerge/>
            <w:tcBorders>
              <w:top w:val="single" w:sz="8" w:space="0" w:color="000000"/>
              <w:left w:val="single" w:sz="8" w:space="0" w:color="000000"/>
              <w:bottom w:val="single" w:sz="4" w:space="0" w:color="000000"/>
              <w:right w:val="nil"/>
            </w:tcBorders>
            <w:shd w:val="clear" w:color="auto" w:fill="auto"/>
            <w:tcMar>
              <w:top w:w="12" w:type="dxa"/>
              <w:left w:w="12" w:type="dxa"/>
              <w:right w:w="12" w:type="dxa"/>
            </w:tcMar>
            <w:vAlign w:val="center"/>
          </w:tcPr>
          <w:p w:rsidR="00A02D10" w:rsidRDefault="00A02D10">
            <w:pPr>
              <w:jc w:val="center"/>
              <w:rPr>
                <w:rFonts w:ascii="仿宋_GB2312" w:eastAsia="仿宋_GB2312" w:hAnsi="宋体" w:cs="仿宋_GB2312"/>
                <w:b/>
                <w:color w:val="000000"/>
                <w:sz w:val="20"/>
                <w:szCs w:val="20"/>
              </w:rPr>
            </w:pPr>
          </w:p>
        </w:tc>
        <w:tc>
          <w:tcPr>
            <w:tcW w:w="3309" w:type="dxa"/>
            <w:vMerge/>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jc w:val="center"/>
              <w:rPr>
                <w:rFonts w:ascii="仿宋_GB2312" w:eastAsia="仿宋_GB2312" w:hAnsi="宋体" w:cs="仿宋_GB2312"/>
                <w:b/>
                <w:color w:val="000000"/>
                <w:sz w:val="20"/>
                <w:szCs w:val="20"/>
              </w:rPr>
            </w:pPr>
          </w:p>
        </w:tc>
        <w:tc>
          <w:tcPr>
            <w:tcW w:w="1255" w:type="dxa"/>
            <w:tcBorders>
              <w:top w:val="single" w:sz="4" w:space="0" w:color="000000"/>
              <w:left w:val="nil"/>
              <w:bottom w:val="nil"/>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T</w:t>
            </w:r>
          </w:p>
        </w:tc>
        <w:tc>
          <w:tcPr>
            <w:tcW w:w="1176"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T-1</w:t>
            </w:r>
          </w:p>
        </w:tc>
        <w:tc>
          <w:tcPr>
            <w:tcW w:w="1116"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T-2</w:t>
            </w:r>
          </w:p>
        </w:tc>
        <w:tc>
          <w:tcPr>
            <w:tcW w:w="1104"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T-3</w:t>
            </w:r>
          </w:p>
        </w:tc>
        <w:tc>
          <w:tcPr>
            <w:tcW w:w="1128" w:type="dxa"/>
            <w:tcBorders>
              <w:top w:val="single" w:sz="4" w:space="0" w:color="000000"/>
              <w:left w:val="single" w:sz="4" w:space="0" w:color="000000"/>
              <w:bottom w:val="nil"/>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T-4</w:t>
            </w:r>
          </w:p>
        </w:tc>
      </w:tr>
      <w:tr w:rsidR="00A02D10">
        <w:trPr>
          <w:trHeight w:val="252"/>
        </w:trPr>
        <w:tc>
          <w:tcPr>
            <w:tcW w:w="9564" w:type="dxa"/>
            <w:gridSpan w:val="7"/>
            <w:tcBorders>
              <w:top w:val="single" w:sz="8" w:space="0" w:color="000000"/>
              <w:left w:val="single" w:sz="8" w:space="0" w:color="000000"/>
              <w:bottom w:val="single" w:sz="8" w:space="0" w:color="000000"/>
              <w:right w:val="single" w:sz="8" w:space="0" w:color="000000"/>
            </w:tcBorders>
            <w:shd w:val="clear" w:color="auto" w:fill="D9D9D9"/>
            <w:noWrap/>
            <w:tcMar>
              <w:top w:w="12" w:type="dxa"/>
              <w:left w:w="12" w:type="dxa"/>
              <w:right w:w="12" w:type="dxa"/>
            </w:tcMar>
          </w:tcPr>
          <w:p w:rsidR="00A02D10" w:rsidRDefault="00612159">
            <w:pPr>
              <w:jc w:val="left"/>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可用资本（数额）</w:t>
            </w:r>
          </w:p>
        </w:tc>
      </w:tr>
      <w:tr w:rsidR="00A02D10">
        <w:trPr>
          <w:trHeight w:val="345"/>
        </w:trPr>
        <w:tc>
          <w:tcPr>
            <w:tcW w:w="476" w:type="dxa"/>
            <w:tcBorders>
              <w:top w:val="nil"/>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w:t>
            </w:r>
          </w:p>
        </w:tc>
        <w:tc>
          <w:tcPr>
            <w:tcW w:w="3309" w:type="dxa"/>
            <w:tcBorders>
              <w:top w:val="nil"/>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核心一级资本净额</w:t>
            </w:r>
          </w:p>
        </w:tc>
        <w:tc>
          <w:tcPr>
            <w:tcW w:w="1255" w:type="dxa"/>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179754.59</w:t>
            </w:r>
          </w:p>
        </w:tc>
        <w:tc>
          <w:tcPr>
            <w:tcW w:w="1176"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176212.51</w:t>
            </w:r>
          </w:p>
        </w:tc>
        <w:tc>
          <w:tcPr>
            <w:tcW w:w="1116"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170357.18</w:t>
            </w:r>
          </w:p>
        </w:tc>
        <w:tc>
          <w:tcPr>
            <w:tcW w:w="110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166820.66</w:t>
            </w:r>
          </w:p>
        </w:tc>
        <w:tc>
          <w:tcPr>
            <w:tcW w:w="1128" w:type="dxa"/>
            <w:tcBorders>
              <w:top w:val="nil"/>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164873.58</w:t>
            </w:r>
          </w:p>
        </w:tc>
      </w:tr>
      <w:tr w:rsidR="00A02D10">
        <w:trPr>
          <w:trHeight w:val="335"/>
        </w:trPr>
        <w:tc>
          <w:tcPr>
            <w:tcW w:w="4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2</w:t>
            </w:r>
          </w:p>
        </w:tc>
        <w:tc>
          <w:tcPr>
            <w:tcW w:w="3309"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一级资本净额</w:t>
            </w:r>
          </w:p>
        </w:tc>
        <w:tc>
          <w:tcPr>
            <w:tcW w:w="1255"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179754.59</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176212.51</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170357.18</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166820.66</w:t>
            </w:r>
          </w:p>
        </w:tc>
        <w:tc>
          <w:tcPr>
            <w:tcW w:w="1128" w:type="dxa"/>
            <w:tcBorders>
              <w:top w:val="single" w:sz="4"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164873.58</w:t>
            </w:r>
          </w:p>
        </w:tc>
      </w:tr>
      <w:tr w:rsidR="00A02D10">
        <w:trPr>
          <w:trHeight w:val="335"/>
        </w:trPr>
        <w:tc>
          <w:tcPr>
            <w:tcW w:w="476" w:type="dxa"/>
            <w:tcBorders>
              <w:top w:val="single" w:sz="4"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3</w:t>
            </w:r>
          </w:p>
        </w:tc>
        <w:tc>
          <w:tcPr>
            <w:tcW w:w="3309" w:type="dxa"/>
            <w:tcBorders>
              <w:top w:val="single" w:sz="4"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资本净额</w:t>
            </w:r>
          </w:p>
        </w:tc>
        <w:tc>
          <w:tcPr>
            <w:tcW w:w="1255" w:type="dxa"/>
            <w:tcBorders>
              <w:top w:val="single" w:sz="4" w:space="0" w:color="000000"/>
              <w:left w:val="nil"/>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194708.07</w:t>
            </w:r>
          </w:p>
        </w:tc>
        <w:tc>
          <w:tcPr>
            <w:tcW w:w="1176" w:type="dxa"/>
            <w:tcBorders>
              <w:top w:val="single" w:sz="4" w:space="0" w:color="000000"/>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190600.92</w:t>
            </w:r>
          </w:p>
        </w:tc>
        <w:tc>
          <w:tcPr>
            <w:tcW w:w="1116" w:type="dxa"/>
            <w:tcBorders>
              <w:top w:val="single" w:sz="4" w:space="0" w:color="000000"/>
              <w:left w:val="single" w:sz="4" w:space="0" w:color="000000"/>
              <w:bottom w:val="single" w:sz="8" w:space="0" w:color="000000"/>
              <w:right w:val="single" w:sz="4"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184597.86</w:t>
            </w:r>
          </w:p>
        </w:tc>
        <w:tc>
          <w:tcPr>
            <w:tcW w:w="1104" w:type="dxa"/>
            <w:tcBorders>
              <w:top w:val="single" w:sz="4" w:space="0" w:color="000000"/>
              <w:left w:val="single" w:sz="4" w:space="0" w:color="000000"/>
              <w:bottom w:val="single" w:sz="8" w:space="0" w:color="000000"/>
              <w:right w:val="single" w:sz="4"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180635.44</w:t>
            </w:r>
          </w:p>
        </w:tc>
        <w:tc>
          <w:tcPr>
            <w:tcW w:w="1128" w:type="dxa"/>
            <w:tcBorders>
              <w:top w:val="single" w:sz="4" w:space="0" w:color="000000"/>
              <w:left w:val="single" w:sz="4" w:space="0" w:color="000000"/>
              <w:bottom w:val="single" w:sz="8" w:space="0" w:color="000000"/>
              <w:right w:val="single" w:sz="8"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179091.24</w:t>
            </w:r>
          </w:p>
        </w:tc>
      </w:tr>
      <w:tr w:rsidR="00A02D10">
        <w:trPr>
          <w:trHeight w:val="238"/>
        </w:trPr>
        <w:tc>
          <w:tcPr>
            <w:tcW w:w="9564" w:type="dxa"/>
            <w:gridSpan w:val="7"/>
            <w:tcBorders>
              <w:top w:val="single" w:sz="8" w:space="0" w:color="000000"/>
              <w:left w:val="single" w:sz="8" w:space="0" w:color="000000"/>
              <w:bottom w:val="single" w:sz="8" w:space="0" w:color="000000"/>
              <w:right w:val="single" w:sz="8" w:space="0" w:color="000000"/>
            </w:tcBorders>
            <w:shd w:val="clear" w:color="auto" w:fill="D9D9D9"/>
            <w:noWrap/>
            <w:tcMar>
              <w:top w:w="12" w:type="dxa"/>
              <w:left w:w="12" w:type="dxa"/>
              <w:right w:w="12" w:type="dxa"/>
            </w:tcMar>
          </w:tcPr>
          <w:p w:rsidR="00A02D10" w:rsidRDefault="00612159">
            <w:pPr>
              <w:widowControl/>
              <w:jc w:val="left"/>
              <w:textAlignment w:val="center"/>
              <w:rPr>
                <w:rFonts w:ascii="仿宋_GB2312" w:eastAsia="仿宋_GB2312" w:hAnsi="宋体" w:cs="仿宋_GB2312"/>
                <w:b/>
                <w:bCs/>
                <w:color w:val="000000"/>
                <w:kern w:val="0"/>
                <w:sz w:val="20"/>
                <w:szCs w:val="20"/>
                <w:lang w:bidi="ar"/>
              </w:rPr>
            </w:pPr>
            <w:r>
              <w:rPr>
                <w:rFonts w:ascii="仿宋_GB2312" w:eastAsia="仿宋_GB2312" w:hAnsi="宋体" w:cs="仿宋_GB2312"/>
                <w:b/>
                <w:bCs/>
                <w:color w:val="000000"/>
                <w:kern w:val="0"/>
                <w:sz w:val="20"/>
                <w:szCs w:val="20"/>
                <w:lang w:bidi="ar"/>
              </w:rPr>
              <w:t>风险加权资产（数额）</w:t>
            </w:r>
          </w:p>
        </w:tc>
      </w:tr>
      <w:tr w:rsidR="00A02D10">
        <w:trPr>
          <w:trHeight w:val="345"/>
        </w:trPr>
        <w:tc>
          <w:tcPr>
            <w:tcW w:w="476" w:type="dxa"/>
            <w:tcBorders>
              <w:top w:val="single" w:sz="8" w:space="0" w:color="000000"/>
              <w:left w:val="single" w:sz="8" w:space="0" w:color="000000"/>
              <w:bottom w:val="single" w:sz="8" w:space="0" w:color="000000"/>
              <w:right w:val="nil"/>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4</w:t>
            </w:r>
          </w:p>
        </w:tc>
        <w:tc>
          <w:tcPr>
            <w:tcW w:w="33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风险加权资产</w:t>
            </w:r>
          </w:p>
        </w:tc>
        <w:tc>
          <w:tcPr>
            <w:tcW w:w="1255" w:type="dxa"/>
            <w:tcBorders>
              <w:top w:val="single" w:sz="8" w:space="0" w:color="000000"/>
              <w:left w:val="nil"/>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1336706.92</w:t>
            </w:r>
          </w:p>
        </w:tc>
        <w:tc>
          <w:tcPr>
            <w:tcW w:w="1176" w:type="dxa"/>
            <w:tcBorders>
              <w:top w:val="single" w:sz="8" w:space="0" w:color="000000"/>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1290936.29</w:t>
            </w:r>
          </w:p>
        </w:tc>
        <w:tc>
          <w:tcPr>
            <w:tcW w:w="1116" w:type="dxa"/>
            <w:tcBorders>
              <w:top w:val="single" w:sz="8" w:space="0" w:color="000000"/>
              <w:left w:val="single" w:sz="4" w:space="0" w:color="000000"/>
              <w:bottom w:val="single" w:sz="8" w:space="0" w:color="000000"/>
              <w:right w:val="single" w:sz="4"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1278969.99</w:t>
            </w:r>
          </w:p>
        </w:tc>
        <w:tc>
          <w:tcPr>
            <w:tcW w:w="1104" w:type="dxa"/>
            <w:tcBorders>
              <w:top w:val="single" w:sz="8" w:space="0" w:color="000000"/>
              <w:left w:val="single" w:sz="4" w:space="0" w:color="000000"/>
              <w:bottom w:val="single" w:sz="8" w:space="0" w:color="000000"/>
              <w:right w:val="single" w:sz="4"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1238022.04</w:t>
            </w:r>
          </w:p>
        </w:tc>
        <w:tc>
          <w:tcPr>
            <w:tcW w:w="1128" w:type="dxa"/>
            <w:tcBorders>
              <w:top w:val="single" w:sz="8" w:space="0" w:color="000000"/>
              <w:left w:val="single" w:sz="4" w:space="0" w:color="000000"/>
              <w:bottom w:val="single" w:sz="8" w:space="0" w:color="000000"/>
              <w:right w:val="single" w:sz="8"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1270655.26</w:t>
            </w:r>
          </w:p>
        </w:tc>
      </w:tr>
      <w:tr w:rsidR="00A02D10">
        <w:trPr>
          <w:trHeight w:val="271"/>
        </w:trPr>
        <w:tc>
          <w:tcPr>
            <w:tcW w:w="9564" w:type="dxa"/>
            <w:gridSpan w:val="7"/>
            <w:tcBorders>
              <w:top w:val="single" w:sz="8" w:space="0" w:color="000000"/>
              <w:left w:val="single" w:sz="8" w:space="0" w:color="000000"/>
              <w:bottom w:val="single" w:sz="8" w:space="0" w:color="000000"/>
              <w:right w:val="single" w:sz="8" w:space="0" w:color="000000"/>
            </w:tcBorders>
            <w:shd w:val="clear" w:color="auto" w:fill="D9D9D9"/>
            <w:noWrap/>
            <w:tcMar>
              <w:top w:w="12" w:type="dxa"/>
              <w:left w:w="12" w:type="dxa"/>
              <w:right w:w="12" w:type="dxa"/>
            </w:tcMar>
          </w:tcPr>
          <w:p w:rsidR="00A02D10" w:rsidRDefault="00612159">
            <w:pPr>
              <w:jc w:val="left"/>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资本充足率</w:t>
            </w:r>
          </w:p>
        </w:tc>
      </w:tr>
      <w:tr w:rsidR="00A02D10">
        <w:trPr>
          <w:trHeight w:val="345"/>
        </w:trPr>
        <w:tc>
          <w:tcPr>
            <w:tcW w:w="476" w:type="dxa"/>
            <w:tcBorders>
              <w:top w:val="single" w:sz="8" w:space="0" w:color="000000"/>
              <w:left w:val="single" w:sz="8" w:space="0" w:color="000000"/>
              <w:bottom w:val="single" w:sz="4" w:space="0" w:color="000000"/>
              <w:right w:val="nil"/>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5</w:t>
            </w:r>
          </w:p>
        </w:tc>
        <w:tc>
          <w:tcPr>
            <w:tcW w:w="3309" w:type="dxa"/>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核心一级资本充足率（</w:t>
            </w:r>
            <w:r>
              <w:rPr>
                <w:rFonts w:ascii="仿宋_GB2312" w:eastAsia="仿宋_GB2312" w:hAnsi="宋体" w:cs="仿宋_GB2312"/>
                <w:color w:val="000000"/>
                <w:kern w:val="0"/>
                <w:sz w:val="20"/>
                <w:szCs w:val="20"/>
                <w:lang w:bidi="ar"/>
              </w:rPr>
              <w:t>%</w:t>
            </w:r>
            <w:r>
              <w:rPr>
                <w:rFonts w:ascii="仿宋_GB2312" w:eastAsia="仿宋_GB2312" w:hAnsi="宋体" w:cs="仿宋_GB2312"/>
                <w:color w:val="000000"/>
                <w:kern w:val="0"/>
                <w:sz w:val="20"/>
                <w:szCs w:val="20"/>
                <w:lang w:bidi="ar"/>
              </w:rPr>
              <w:t>）</w:t>
            </w:r>
          </w:p>
        </w:tc>
        <w:tc>
          <w:tcPr>
            <w:tcW w:w="1255" w:type="dxa"/>
            <w:tcBorders>
              <w:top w:val="single" w:sz="8"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13.45</w:t>
            </w:r>
          </w:p>
        </w:tc>
        <w:tc>
          <w:tcPr>
            <w:tcW w:w="1176" w:type="dxa"/>
            <w:tcBorders>
              <w:top w:val="single" w:sz="8"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13.65</w:t>
            </w:r>
          </w:p>
        </w:tc>
        <w:tc>
          <w:tcPr>
            <w:tcW w:w="1116" w:type="dxa"/>
            <w:tcBorders>
              <w:top w:val="single" w:sz="8"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13.32</w:t>
            </w:r>
          </w:p>
        </w:tc>
        <w:tc>
          <w:tcPr>
            <w:tcW w:w="1104" w:type="dxa"/>
            <w:tcBorders>
              <w:top w:val="single" w:sz="8"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13.47</w:t>
            </w:r>
          </w:p>
        </w:tc>
        <w:tc>
          <w:tcPr>
            <w:tcW w:w="1128" w:type="dxa"/>
            <w:tcBorders>
              <w:top w:val="single" w:sz="8"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12.98</w:t>
            </w:r>
          </w:p>
        </w:tc>
      </w:tr>
      <w:tr w:rsidR="00A02D10">
        <w:trPr>
          <w:trHeight w:val="335"/>
        </w:trPr>
        <w:tc>
          <w:tcPr>
            <w:tcW w:w="476" w:type="dxa"/>
            <w:tcBorders>
              <w:top w:val="single" w:sz="4" w:space="0" w:color="000000"/>
              <w:left w:val="single" w:sz="8" w:space="0" w:color="000000"/>
              <w:bottom w:val="single" w:sz="4" w:space="0" w:color="000000"/>
              <w:right w:val="nil"/>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6</w:t>
            </w:r>
          </w:p>
        </w:tc>
        <w:tc>
          <w:tcPr>
            <w:tcW w:w="3309"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一级资本充足率（</w:t>
            </w:r>
            <w:r>
              <w:rPr>
                <w:rFonts w:ascii="仿宋_GB2312" w:eastAsia="仿宋_GB2312" w:hAnsi="宋体" w:cs="仿宋_GB2312"/>
                <w:color w:val="000000"/>
                <w:kern w:val="0"/>
                <w:sz w:val="20"/>
                <w:szCs w:val="20"/>
                <w:lang w:bidi="ar"/>
              </w:rPr>
              <w:t>%</w:t>
            </w:r>
            <w:r>
              <w:rPr>
                <w:rFonts w:ascii="仿宋_GB2312" w:eastAsia="仿宋_GB2312" w:hAnsi="宋体" w:cs="仿宋_GB2312"/>
                <w:color w:val="000000"/>
                <w:kern w:val="0"/>
                <w:sz w:val="20"/>
                <w:szCs w:val="20"/>
                <w:lang w:bidi="ar"/>
              </w:rPr>
              <w:t>）</w:t>
            </w:r>
          </w:p>
        </w:tc>
        <w:tc>
          <w:tcPr>
            <w:tcW w:w="1255"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13.45</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13.65</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13.32</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13.47</w:t>
            </w:r>
          </w:p>
        </w:tc>
        <w:tc>
          <w:tcPr>
            <w:tcW w:w="1128" w:type="dxa"/>
            <w:tcBorders>
              <w:top w:val="single" w:sz="4"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12.98</w:t>
            </w:r>
          </w:p>
        </w:tc>
      </w:tr>
      <w:tr w:rsidR="00A02D10">
        <w:trPr>
          <w:trHeight w:val="335"/>
        </w:trPr>
        <w:tc>
          <w:tcPr>
            <w:tcW w:w="476" w:type="dxa"/>
            <w:tcBorders>
              <w:top w:val="single" w:sz="4" w:space="0" w:color="000000"/>
              <w:left w:val="single" w:sz="8" w:space="0" w:color="000000"/>
              <w:bottom w:val="single" w:sz="8" w:space="0" w:color="000000"/>
              <w:right w:val="nil"/>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7</w:t>
            </w:r>
          </w:p>
        </w:tc>
        <w:tc>
          <w:tcPr>
            <w:tcW w:w="3309" w:type="dxa"/>
            <w:tcBorders>
              <w:top w:val="single" w:sz="4"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资本充足率（</w:t>
            </w:r>
            <w:r>
              <w:rPr>
                <w:rFonts w:ascii="仿宋_GB2312" w:eastAsia="仿宋_GB2312" w:hAnsi="宋体" w:cs="仿宋_GB2312"/>
                <w:color w:val="000000"/>
                <w:kern w:val="0"/>
                <w:sz w:val="20"/>
                <w:szCs w:val="20"/>
                <w:lang w:bidi="ar"/>
              </w:rPr>
              <w:t>%</w:t>
            </w:r>
            <w:r>
              <w:rPr>
                <w:rFonts w:ascii="仿宋_GB2312" w:eastAsia="仿宋_GB2312" w:hAnsi="宋体" w:cs="仿宋_GB2312"/>
                <w:color w:val="000000"/>
                <w:kern w:val="0"/>
                <w:sz w:val="20"/>
                <w:szCs w:val="20"/>
                <w:lang w:bidi="ar"/>
              </w:rPr>
              <w:t>）</w:t>
            </w:r>
          </w:p>
        </w:tc>
        <w:tc>
          <w:tcPr>
            <w:tcW w:w="1255" w:type="dxa"/>
            <w:tcBorders>
              <w:top w:val="single" w:sz="4" w:space="0" w:color="000000"/>
              <w:left w:val="nil"/>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14.57</w:t>
            </w:r>
          </w:p>
        </w:tc>
        <w:tc>
          <w:tcPr>
            <w:tcW w:w="1176" w:type="dxa"/>
            <w:tcBorders>
              <w:top w:val="single" w:sz="4" w:space="0" w:color="000000"/>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14.76</w:t>
            </w:r>
          </w:p>
        </w:tc>
        <w:tc>
          <w:tcPr>
            <w:tcW w:w="1116" w:type="dxa"/>
            <w:tcBorders>
              <w:top w:val="single" w:sz="4" w:space="0" w:color="000000"/>
              <w:left w:val="single" w:sz="4" w:space="0" w:color="000000"/>
              <w:bottom w:val="single" w:sz="8" w:space="0" w:color="000000"/>
              <w:right w:val="single" w:sz="4"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14.43</w:t>
            </w:r>
          </w:p>
        </w:tc>
        <w:tc>
          <w:tcPr>
            <w:tcW w:w="1104" w:type="dxa"/>
            <w:tcBorders>
              <w:top w:val="single" w:sz="4" w:space="0" w:color="000000"/>
              <w:left w:val="single" w:sz="4" w:space="0" w:color="000000"/>
              <w:bottom w:val="single" w:sz="8" w:space="0" w:color="000000"/>
              <w:right w:val="single" w:sz="4"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14.59</w:t>
            </w:r>
          </w:p>
        </w:tc>
        <w:tc>
          <w:tcPr>
            <w:tcW w:w="1128" w:type="dxa"/>
            <w:tcBorders>
              <w:top w:val="single" w:sz="4" w:space="0" w:color="000000"/>
              <w:left w:val="single" w:sz="4" w:space="0" w:color="000000"/>
              <w:bottom w:val="single" w:sz="8" w:space="0" w:color="000000"/>
              <w:right w:val="single" w:sz="8"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14.09</w:t>
            </w:r>
          </w:p>
        </w:tc>
      </w:tr>
      <w:tr w:rsidR="00A02D10">
        <w:trPr>
          <w:trHeight w:val="90"/>
        </w:trPr>
        <w:tc>
          <w:tcPr>
            <w:tcW w:w="9564" w:type="dxa"/>
            <w:gridSpan w:val="7"/>
            <w:tcBorders>
              <w:top w:val="single" w:sz="8" w:space="0" w:color="000000"/>
              <w:left w:val="single" w:sz="8" w:space="0" w:color="000000"/>
              <w:bottom w:val="single" w:sz="8" w:space="0" w:color="000000"/>
              <w:right w:val="single" w:sz="8" w:space="0" w:color="000000"/>
            </w:tcBorders>
            <w:shd w:val="clear" w:color="auto" w:fill="D9D9D9"/>
            <w:noWrap/>
            <w:tcMar>
              <w:top w:w="12" w:type="dxa"/>
              <w:left w:w="12" w:type="dxa"/>
              <w:right w:w="12" w:type="dxa"/>
            </w:tcMar>
          </w:tcPr>
          <w:p w:rsidR="00A02D10" w:rsidRDefault="00612159">
            <w:pPr>
              <w:jc w:val="left"/>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其他各级资本要求</w:t>
            </w:r>
          </w:p>
        </w:tc>
      </w:tr>
      <w:tr w:rsidR="00A02D10">
        <w:trPr>
          <w:trHeight w:val="345"/>
        </w:trPr>
        <w:tc>
          <w:tcPr>
            <w:tcW w:w="476" w:type="dxa"/>
            <w:tcBorders>
              <w:top w:val="single" w:sz="8" w:space="0" w:color="000000"/>
              <w:left w:val="single" w:sz="8" w:space="0" w:color="000000"/>
              <w:bottom w:val="single" w:sz="4" w:space="0" w:color="000000"/>
              <w:right w:val="nil"/>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8</w:t>
            </w:r>
          </w:p>
        </w:tc>
        <w:tc>
          <w:tcPr>
            <w:tcW w:w="3309" w:type="dxa"/>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储备资本要求（</w:t>
            </w:r>
            <w:r>
              <w:rPr>
                <w:rFonts w:ascii="仿宋_GB2312" w:eastAsia="仿宋_GB2312" w:hAnsi="宋体" w:cs="仿宋_GB2312"/>
                <w:color w:val="000000"/>
                <w:kern w:val="0"/>
                <w:sz w:val="20"/>
                <w:szCs w:val="20"/>
                <w:lang w:bidi="ar"/>
              </w:rPr>
              <w:t>%</w:t>
            </w:r>
            <w:r>
              <w:rPr>
                <w:rFonts w:ascii="仿宋_GB2312" w:eastAsia="仿宋_GB2312" w:hAnsi="宋体" w:cs="仿宋_GB2312"/>
                <w:color w:val="000000"/>
                <w:kern w:val="0"/>
                <w:sz w:val="20"/>
                <w:szCs w:val="20"/>
                <w:lang w:bidi="ar"/>
              </w:rPr>
              <w:t>）</w:t>
            </w:r>
          </w:p>
        </w:tc>
        <w:tc>
          <w:tcPr>
            <w:tcW w:w="1255" w:type="dxa"/>
            <w:tcBorders>
              <w:top w:val="single" w:sz="8"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2.5</w:t>
            </w:r>
          </w:p>
        </w:tc>
        <w:tc>
          <w:tcPr>
            <w:tcW w:w="1176" w:type="dxa"/>
            <w:tcBorders>
              <w:top w:val="single" w:sz="8"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2.5</w:t>
            </w:r>
          </w:p>
        </w:tc>
        <w:tc>
          <w:tcPr>
            <w:tcW w:w="1116" w:type="dxa"/>
            <w:tcBorders>
              <w:top w:val="single" w:sz="8"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2.5</w:t>
            </w:r>
          </w:p>
        </w:tc>
        <w:tc>
          <w:tcPr>
            <w:tcW w:w="1104" w:type="dxa"/>
            <w:tcBorders>
              <w:top w:val="single" w:sz="8"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2.5</w:t>
            </w:r>
          </w:p>
        </w:tc>
        <w:tc>
          <w:tcPr>
            <w:tcW w:w="1128" w:type="dxa"/>
            <w:tcBorders>
              <w:top w:val="single" w:sz="8"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2.5</w:t>
            </w:r>
          </w:p>
        </w:tc>
      </w:tr>
      <w:tr w:rsidR="00A02D10">
        <w:trPr>
          <w:trHeight w:val="335"/>
        </w:trPr>
        <w:tc>
          <w:tcPr>
            <w:tcW w:w="476" w:type="dxa"/>
            <w:tcBorders>
              <w:top w:val="single" w:sz="4" w:space="0" w:color="000000"/>
              <w:left w:val="single" w:sz="8" w:space="0" w:color="000000"/>
              <w:bottom w:val="single" w:sz="4" w:space="0" w:color="000000"/>
              <w:right w:val="nil"/>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9</w:t>
            </w:r>
          </w:p>
        </w:tc>
        <w:tc>
          <w:tcPr>
            <w:tcW w:w="3309"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逆周期资本要求（</w:t>
            </w:r>
            <w:r>
              <w:rPr>
                <w:rFonts w:ascii="仿宋_GB2312" w:eastAsia="仿宋_GB2312" w:hAnsi="宋体" w:cs="仿宋_GB2312"/>
                <w:color w:val="000000"/>
                <w:kern w:val="0"/>
                <w:sz w:val="20"/>
                <w:szCs w:val="20"/>
                <w:lang w:bidi="ar"/>
              </w:rPr>
              <w:t>%</w:t>
            </w:r>
            <w:r>
              <w:rPr>
                <w:rFonts w:ascii="仿宋_GB2312" w:eastAsia="仿宋_GB2312" w:hAnsi="宋体" w:cs="仿宋_GB2312"/>
                <w:color w:val="000000"/>
                <w:kern w:val="0"/>
                <w:sz w:val="20"/>
                <w:szCs w:val="20"/>
                <w:lang w:bidi="ar"/>
              </w:rPr>
              <w:t>）</w:t>
            </w:r>
          </w:p>
        </w:tc>
        <w:tc>
          <w:tcPr>
            <w:tcW w:w="1255"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0</w:t>
            </w:r>
          </w:p>
        </w:tc>
        <w:tc>
          <w:tcPr>
            <w:tcW w:w="1128" w:type="dxa"/>
            <w:tcBorders>
              <w:top w:val="single" w:sz="4"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0</w:t>
            </w:r>
          </w:p>
        </w:tc>
      </w:tr>
      <w:tr w:rsidR="00A02D10">
        <w:trPr>
          <w:trHeight w:val="648"/>
        </w:trPr>
        <w:tc>
          <w:tcPr>
            <w:tcW w:w="476" w:type="dxa"/>
            <w:tcBorders>
              <w:top w:val="single" w:sz="4" w:space="0" w:color="000000"/>
              <w:left w:val="single" w:sz="8" w:space="0" w:color="000000"/>
              <w:bottom w:val="single" w:sz="4" w:space="0" w:color="000000"/>
              <w:right w:val="nil"/>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10</w:t>
            </w:r>
          </w:p>
        </w:tc>
        <w:tc>
          <w:tcPr>
            <w:tcW w:w="3309"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全球系统重要性银行或国内系统重要性银行附加资本要求（</w:t>
            </w:r>
            <w:r>
              <w:rPr>
                <w:rFonts w:ascii="仿宋_GB2312" w:eastAsia="仿宋_GB2312" w:hAnsi="宋体" w:cs="仿宋_GB2312"/>
                <w:color w:val="000000"/>
                <w:kern w:val="0"/>
                <w:sz w:val="20"/>
                <w:szCs w:val="20"/>
                <w:lang w:bidi="ar"/>
              </w:rPr>
              <w:t>%</w:t>
            </w:r>
            <w:r>
              <w:rPr>
                <w:rFonts w:ascii="仿宋_GB2312" w:eastAsia="仿宋_GB2312" w:hAnsi="宋体" w:cs="仿宋_GB2312"/>
                <w:color w:val="000000"/>
                <w:kern w:val="0"/>
                <w:sz w:val="20"/>
                <w:szCs w:val="20"/>
                <w:lang w:bidi="ar"/>
              </w:rPr>
              <w:t>）</w:t>
            </w:r>
          </w:p>
        </w:tc>
        <w:tc>
          <w:tcPr>
            <w:tcW w:w="1255" w:type="dxa"/>
            <w:tcBorders>
              <w:top w:val="single" w:sz="4" w:space="0" w:color="000000"/>
              <w:left w:val="nil"/>
              <w:bottom w:val="single" w:sz="4" w:space="0" w:color="000000"/>
              <w:right w:val="single" w:sz="4" w:space="0" w:color="000000"/>
            </w:tcBorders>
            <w:shd w:val="clear" w:color="auto" w:fill="BEBEBE"/>
            <w:tcMar>
              <w:top w:w="12" w:type="dxa"/>
              <w:left w:w="12" w:type="dxa"/>
              <w:right w:w="12" w:type="dxa"/>
            </w:tcMar>
            <w:vAlign w:val="center"/>
          </w:tcPr>
          <w:p w:rsidR="00A02D10" w:rsidRDefault="00A02D10">
            <w:pPr>
              <w:jc w:val="right"/>
              <w:rPr>
                <w:rFonts w:ascii="仿宋_GB2312" w:eastAsia="仿宋_GB2312" w:hAnsi="宋体" w:cs="仿宋_GB2312"/>
                <w:color w:val="000000"/>
                <w:sz w:val="20"/>
                <w:szCs w:val="20"/>
              </w:rPr>
            </w:pPr>
          </w:p>
        </w:tc>
        <w:tc>
          <w:tcPr>
            <w:tcW w:w="1176" w:type="dxa"/>
            <w:tcBorders>
              <w:top w:val="single" w:sz="4" w:space="0" w:color="000000"/>
              <w:left w:val="single" w:sz="4" w:space="0" w:color="000000"/>
              <w:bottom w:val="single" w:sz="4" w:space="0" w:color="000000"/>
              <w:right w:val="single" w:sz="4" w:space="0" w:color="000000"/>
            </w:tcBorders>
            <w:shd w:val="clear" w:color="auto" w:fill="BEBEBE"/>
            <w:tcMar>
              <w:top w:w="12" w:type="dxa"/>
              <w:left w:w="12" w:type="dxa"/>
              <w:right w:w="12" w:type="dxa"/>
            </w:tcMar>
            <w:vAlign w:val="center"/>
          </w:tcPr>
          <w:p w:rsidR="00A02D10" w:rsidRDefault="00A02D10">
            <w:pPr>
              <w:jc w:val="right"/>
              <w:rPr>
                <w:rFonts w:ascii="仿宋_GB2312" w:eastAsia="仿宋_GB2312" w:hAnsi="宋体" w:cs="仿宋_GB2312"/>
                <w:color w:val="000000"/>
                <w:sz w:val="20"/>
                <w:szCs w:val="20"/>
              </w:rPr>
            </w:pPr>
          </w:p>
        </w:tc>
        <w:tc>
          <w:tcPr>
            <w:tcW w:w="1116" w:type="dxa"/>
            <w:tcBorders>
              <w:top w:val="single" w:sz="4" w:space="0" w:color="000000"/>
              <w:left w:val="single" w:sz="4" w:space="0" w:color="000000"/>
              <w:bottom w:val="single" w:sz="4" w:space="0" w:color="000000"/>
              <w:right w:val="single" w:sz="4" w:space="0" w:color="000000"/>
            </w:tcBorders>
            <w:shd w:val="clear" w:color="auto" w:fill="BEBEBE"/>
            <w:tcMar>
              <w:top w:w="12" w:type="dxa"/>
              <w:left w:w="12" w:type="dxa"/>
              <w:right w:w="12" w:type="dxa"/>
            </w:tcMar>
            <w:vAlign w:val="center"/>
          </w:tcPr>
          <w:p w:rsidR="00A02D10" w:rsidRDefault="00A02D10">
            <w:pPr>
              <w:jc w:val="right"/>
              <w:rPr>
                <w:rFonts w:ascii="仿宋_GB2312" w:eastAsia="仿宋_GB2312" w:hAnsi="宋体" w:cs="仿宋_GB2312"/>
                <w:color w:val="000000"/>
                <w:sz w:val="20"/>
                <w:szCs w:val="20"/>
              </w:rPr>
            </w:pPr>
          </w:p>
        </w:tc>
        <w:tc>
          <w:tcPr>
            <w:tcW w:w="1104" w:type="dxa"/>
            <w:tcBorders>
              <w:top w:val="single" w:sz="4" w:space="0" w:color="000000"/>
              <w:left w:val="single" w:sz="4" w:space="0" w:color="000000"/>
              <w:bottom w:val="single" w:sz="4" w:space="0" w:color="000000"/>
              <w:right w:val="single" w:sz="4" w:space="0" w:color="000000"/>
            </w:tcBorders>
            <w:shd w:val="clear" w:color="auto" w:fill="BEBEBE"/>
            <w:tcMar>
              <w:top w:w="12" w:type="dxa"/>
              <w:left w:w="12" w:type="dxa"/>
              <w:right w:w="12" w:type="dxa"/>
            </w:tcMar>
            <w:vAlign w:val="center"/>
          </w:tcPr>
          <w:p w:rsidR="00A02D10" w:rsidRDefault="00A02D10">
            <w:pPr>
              <w:jc w:val="right"/>
              <w:rPr>
                <w:rFonts w:ascii="仿宋_GB2312" w:eastAsia="仿宋_GB2312" w:hAnsi="宋体" w:cs="仿宋_GB2312"/>
                <w:color w:val="000000"/>
                <w:sz w:val="20"/>
                <w:szCs w:val="20"/>
              </w:rPr>
            </w:pPr>
          </w:p>
        </w:tc>
        <w:tc>
          <w:tcPr>
            <w:tcW w:w="1128" w:type="dxa"/>
            <w:tcBorders>
              <w:top w:val="single" w:sz="4" w:space="0" w:color="000000"/>
              <w:left w:val="single" w:sz="4" w:space="0" w:color="000000"/>
              <w:bottom w:val="single" w:sz="4" w:space="0" w:color="000000"/>
              <w:right w:val="single" w:sz="8" w:space="0" w:color="000000"/>
            </w:tcBorders>
            <w:shd w:val="clear" w:color="auto" w:fill="BEBEBE"/>
            <w:tcMar>
              <w:top w:w="12" w:type="dxa"/>
              <w:left w:w="12" w:type="dxa"/>
              <w:right w:w="12" w:type="dxa"/>
            </w:tcMar>
            <w:vAlign w:val="center"/>
          </w:tcPr>
          <w:p w:rsidR="00A02D10" w:rsidRDefault="00A02D10">
            <w:pPr>
              <w:jc w:val="right"/>
              <w:rPr>
                <w:rFonts w:ascii="仿宋_GB2312" w:eastAsia="仿宋_GB2312" w:hAnsi="宋体" w:cs="仿宋_GB2312"/>
                <w:color w:val="000000"/>
                <w:sz w:val="20"/>
                <w:szCs w:val="20"/>
              </w:rPr>
            </w:pPr>
          </w:p>
        </w:tc>
      </w:tr>
      <w:tr w:rsidR="00A02D10">
        <w:trPr>
          <w:trHeight w:val="335"/>
        </w:trPr>
        <w:tc>
          <w:tcPr>
            <w:tcW w:w="476" w:type="dxa"/>
            <w:tcBorders>
              <w:top w:val="single" w:sz="4" w:space="0" w:color="000000"/>
              <w:left w:val="single" w:sz="8" w:space="0" w:color="000000"/>
              <w:bottom w:val="single" w:sz="4" w:space="0" w:color="000000"/>
              <w:right w:val="nil"/>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11</w:t>
            </w:r>
          </w:p>
        </w:tc>
        <w:tc>
          <w:tcPr>
            <w:tcW w:w="3309"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其他各级资本要求（</w:t>
            </w:r>
            <w:r>
              <w:rPr>
                <w:rFonts w:ascii="仿宋_GB2312" w:eastAsia="仿宋_GB2312" w:hAnsi="宋体" w:cs="仿宋_GB2312"/>
                <w:color w:val="000000"/>
                <w:kern w:val="0"/>
                <w:sz w:val="20"/>
                <w:szCs w:val="20"/>
                <w:lang w:bidi="ar"/>
              </w:rPr>
              <w:t>%</w:t>
            </w:r>
            <w:r>
              <w:rPr>
                <w:rFonts w:ascii="仿宋_GB2312" w:eastAsia="仿宋_GB2312" w:hAnsi="宋体" w:cs="仿宋_GB2312"/>
                <w:color w:val="000000"/>
                <w:kern w:val="0"/>
                <w:sz w:val="20"/>
                <w:szCs w:val="20"/>
                <w:lang w:bidi="ar"/>
              </w:rPr>
              <w:t>）（</w:t>
            </w:r>
            <w:r>
              <w:rPr>
                <w:rFonts w:ascii="仿宋_GB2312" w:eastAsia="仿宋_GB2312" w:hAnsi="宋体" w:cs="仿宋_GB2312"/>
                <w:color w:val="000000"/>
                <w:kern w:val="0"/>
                <w:sz w:val="20"/>
                <w:szCs w:val="20"/>
                <w:lang w:bidi="ar"/>
              </w:rPr>
              <w:t>8+9+10</w:t>
            </w:r>
            <w:r>
              <w:rPr>
                <w:rFonts w:ascii="仿宋_GB2312" w:eastAsia="仿宋_GB2312" w:hAnsi="宋体" w:cs="仿宋_GB2312"/>
                <w:color w:val="000000"/>
                <w:kern w:val="0"/>
                <w:sz w:val="20"/>
                <w:szCs w:val="20"/>
                <w:lang w:bidi="ar"/>
              </w:rPr>
              <w:t>）</w:t>
            </w:r>
          </w:p>
        </w:tc>
        <w:tc>
          <w:tcPr>
            <w:tcW w:w="1255"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2.5</w:t>
            </w:r>
          </w:p>
        </w:tc>
        <w:tc>
          <w:tcPr>
            <w:tcW w:w="1176"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2.5</w:t>
            </w:r>
          </w:p>
        </w:tc>
        <w:tc>
          <w:tcPr>
            <w:tcW w:w="1116"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2.5</w:t>
            </w:r>
          </w:p>
        </w:tc>
        <w:tc>
          <w:tcPr>
            <w:tcW w:w="1104"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2.5</w:t>
            </w:r>
          </w:p>
        </w:tc>
        <w:tc>
          <w:tcPr>
            <w:tcW w:w="1128" w:type="dxa"/>
            <w:tcBorders>
              <w:top w:val="single" w:sz="4"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2.5</w:t>
            </w:r>
          </w:p>
        </w:tc>
      </w:tr>
      <w:tr w:rsidR="00A02D10">
        <w:trPr>
          <w:trHeight w:val="648"/>
        </w:trPr>
        <w:tc>
          <w:tcPr>
            <w:tcW w:w="476" w:type="dxa"/>
            <w:tcBorders>
              <w:top w:val="single" w:sz="4" w:space="0" w:color="000000"/>
              <w:left w:val="single" w:sz="8" w:space="0" w:color="000000"/>
              <w:bottom w:val="single" w:sz="8" w:space="0" w:color="000000"/>
              <w:right w:val="nil"/>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12</w:t>
            </w:r>
          </w:p>
        </w:tc>
        <w:tc>
          <w:tcPr>
            <w:tcW w:w="3309" w:type="dxa"/>
            <w:tcBorders>
              <w:top w:val="single" w:sz="4"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满足最低资本要求后的可用核心一级资本净额占风险加权资产的比例（</w:t>
            </w:r>
            <w:r>
              <w:rPr>
                <w:rFonts w:ascii="仿宋_GB2312" w:eastAsia="仿宋_GB2312" w:hAnsi="宋体" w:cs="仿宋_GB2312"/>
                <w:color w:val="000000"/>
                <w:kern w:val="0"/>
                <w:sz w:val="20"/>
                <w:szCs w:val="20"/>
                <w:lang w:bidi="ar"/>
              </w:rPr>
              <w:t>%</w:t>
            </w:r>
            <w:r>
              <w:rPr>
                <w:rFonts w:ascii="仿宋_GB2312" w:eastAsia="仿宋_GB2312" w:hAnsi="宋体" w:cs="仿宋_GB2312"/>
                <w:color w:val="000000"/>
                <w:kern w:val="0"/>
                <w:sz w:val="20"/>
                <w:szCs w:val="20"/>
                <w:lang w:bidi="ar"/>
              </w:rPr>
              <w:t>）</w:t>
            </w:r>
          </w:p>
        </w:tc>
        <w:tc>
          <w:tcPr>
            <w:tcW w:w="1255" w:type="dxa"/>
            <w:tcBorders>
              <w:top w:val="single" w:sz="4" w:space="0" w:color="000000"/>
              <w:left w:val="nil"/>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8.45</w:t>
            </w:r>
          </w:p>
        </w:tc>
        <w:tc>
          <w:tcPr>
            <w:tcW w:w="1176" w:type="dxa"/>
            <w:tcBorders>
              <w:top w:val="single" w:sz="4" w:space="0" w:color="000000"/>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8.65</w:t>
            </w:r>
          </w:p>
        </w:tc>
        <w:tc>
          <w:tcPr>
            <w:tcW w:w="1116" w:type="dxa"/>
            <w:tcBorders>
              <w:top w:val="single" w:sz="4" w:space="0" w:color="000000"/>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8.32</w:t>
            </w:r>
          </w:p>
        </w:tc>
        <w:tc>
          <w:tcPr>
            <w:tcW w:w="1104" w:type="dxa"/>
            <w:tcBorders>
              <w:top w:val="single" w:sz="4" w:space="0" w:color="000000"/>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8.47</w:t>
            </w:r>
          </w:p>
        </w:tc>
        <w:tc>
          <w:tcPr>
            <w:tcW w:w="1128" w:type="dxa"/>
            <w:tcBorders>
              <w:top w:val="single" w:sz="4" w:space="0" w:color="000000"/>
              <w:left w:val="single" w:sz="4" w:space="0" w:color="000000"/>
              <w:bottom w:val="single" w:sz="8" w:space="0" w:color="000000"/>
              <w:right w:val="single" w:sz="8"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7.98</w:t>
            </w:r>
          </w:p>
        </w:tc>
      </w:tr>
      <w:tr w:rsidR="00A02D10">
        <w:trPr>
          <w:trHeight w:val="242"/>
        </w:trPr>
        <w:tc>
          <w:tcPr>
            <w:tcW w:w="9564" w:type="dxa"/>
            <w:gridSpan w:val="7"/>
            <w:tcBorders>
              <w:top w:val="single" w:sz="8" w:space="0" w:color="000000"/>
              <w:left w:val="single" w:sz="8" w:space="0" w:color="000000"/>
              <w:bottom w:val="single" w:sz="8" w:space="0" w:color="000000"/>
              <w:right w:val="single" w:sz="8" w:space="0" w:color="000000"/>
            </w:tcBorders>
            <w:shd w:val="clear" w:color="auto" w:fill="D9D9D9"/>
            <w:noWrap/>
            <w:tcMar>
              <w:top w:w="12" w:type="dxa"/>
              <w:left w:w="12" w:type="dxa"/>
              <w:right w:w="12" w:type="dxa"/>
            </w:tcMar>
          </w:tcPr>
          <w:p w:rsidR="00A02D10" w:rsidRDefault="00612159">
            <w:pPr>
              <w:jc w:val="left"/>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杠杆率</w:t>
            </w:r>
          </w:p>
        </w:tc>
      </w:tr>
      <w:tr w:rsidR="00A02D10">
        <w:trPr>
          <w:trHeight w:val="345"/>
        </w:trPr>
        <w:tc>
          <w:tcPr>
            <w:tcW w:w="476" w:type="dxa"/>
            <w:tcBorders>
              <w:top w:val="single" w:sz="4" w:space="0" w:color="000000"/>
              <w:left w:val="single" w:sz="8" w:space="0" w:color="000000"/>
              <w:bottom w:val="single" w:sz="4" w:space="0" w:color="000000"/>
              <w:right w:val="nil"/>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13</w:t>
            </w:r>
          </w:p>
        </w:tc>
        <w:tc>
          <w:tcPr>
            <w:tcW w:w="3309" w:type="dxa"/>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调整后表内外资产余额</w:t>
            </w:r>
          </w:p>
        </w:tc>
        <w:tc>
          <w:tcPr>
            <w:tcW w:w="1255" w:type="dxa"/>
            <w:tcBorders>
              <w:top w:val="single" w:sz="8"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2352588.53</w:t>
            </w:r>
          </w:p>
        </w:tc>
        <w:tc>
          <w:tcPr>
            <w:tcW w:w="1176" w:type="dxa"/>
            <w:tcBorders>
              <w:top w:val="single" w:sz="8"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2340884.16</w:t>
            </w:r>
          </w:p>
        </w:tc>
        <w:tc>
          <w:tcPr>
            <w:tcW w:w="1116" w:type="dxa"/>
            <w:tcBorders>
              <w:top w:val="single" w:sz="8"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2231135.15</w:t>
            </w:r>
          </w:p>
        </w:tc>
        <w:tc>
          <w:tcPr>
            <w:tcW w:w="1104" w:type="dxa"/>
            <w:tcBorders>
              <w:top w:val="single" w:sz="8"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2203789.15</w:t>
            </w:r>
          </w:p>
        </w:tc>
        <w:tc>
          <w:tcPr>
            <w:tcW w:w="1128" w:type="dxa"/>
            <w:tcBorders>
              <w:top w:val="single" w:sz="8"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2210302.46</w:t>
            </w:r>
          </w:p>
        </w:tc>
      </w:tr>
      <w:tr w:rsidR="00A02D10">
        <w:trPr>
          <w:trHeight w:val="335"/>
        </w:trPr>
        <w:tc>
          <w:tcPr>
            <w:tcW w:w="476" w:type="dxa"/>
            <w:tcBorders>
              <w:top w:val="single" w:sz="4" w:space="0" w:color="000000"/>
              <w:left w:val="single" w:sz="8" w:space="0" w:color="000000"/>
              <w:bottom w:val="single" w:sz="4" w:space="0" w:color="000000"/>
              <w:right w:val="nil"/>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14</w:t>
            </w:r>
          </w:p>
        </w:tc>
        <w:tc>
          <w:tcPr>
            <w:tcW w:w="3309"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杠杆率（</w:t>
            </w:r>
            <w:r>
              <w:rPr>
                <w:rFonts w:ascii="仿宋_GB2312" w:eastAsia="仿宋_GB2312" w:hAnsi="宋体" w:cs="仿宋_GB2312"/>
                <w:color w:val="000000"/>
                <w:kern w:val="0"/>
                <w:sz w:val="20"/>
                <w:szCs w:val="20"/>
                <w:lang w:bidi="ar"/>
              </w:rPr>
              <w:t>%</w:t>
            </w:r>
            <w:r>
              <w:rPr>
                <w:rFonts w:ascii="仿宋_GB2312" w:eastAsia="仿宋_GB2312" w:hAnsi="宋体" w:cs="仿宋_GB2312"/>
                <w:color w:val="000000"/>
                <w:kern w:val="0"/>
                <w:sz w:val="20"/>
                <w:szCs w:val="20"/>
                <w:lang w:bidi="ar"/>
              </w:rPr>
              <w:t>）</w:t>
            </w:r>
          </w:p>
        </w:tc>
        <w:tc>
          <w:tcPr>
            <w:tcW w:w="1255"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7.64</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7.53</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7.64</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7.57</w:t>
            </w:r>
          </w:p>
        </w:tc>
        <w:tc>
          <w:tcPr>
            <w:tcW w:w="1128" w:type="dxa"/>
            <w:tcBorders>
              <w:top w:val="single" w:sz="4"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7.46</w:t>
            </w:r>
          </w:p>
        </w:tc>
      </w:tr>
      <w:tr w:rsidR="00A02D10">
        <w:trPr>
          <w:trHeight w:val="335"/>
        </w:trPr>
        <w:tc>
          <w:tcPr>
            <w:tcW w:w="476" w:type="dxa"/>
            <w:tcBorders>
              <w:top w:val="single" w:sz="4" w:space="0" w:color="000000"/>
              <w:left w:val="single" w:sz="8" w:space="0" w:color="000000"/>
              <w:bottom w:val="single" w:sz="8" w:space="0" w:color="000000"/>
              <w:right w:val="nil"/>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14a</w:t>
            </w:r>
          </w:p>
        </w:tc>
        <w:tc>
          <w:tcPr>
            <w:tcW w:w="3309" w:type="dxa"/>
            <w:tcBorders>
              <w:top w:val="single" w:sz="4"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杠杆率</w:t>
            </w:r>
            <w:r>
              <w:rPr>
                <w:rFonts w:ascii="仿宋_GB2312" w:eastAsia="仿宋_GB2312" w:hAnsi="宋体" w:cs="仿宋_GB2312"/>
                <w:color w:val="000000"/>
                <w:kern w:val="0"/>
                <w:sz w:val="20"/>
                <w:szCs w:val="20"/>
                <w:lang w:bidi="ar"/>
              </w:rPr>
              <w:t>a</w:t>
            </w:r>
            <w:r>
              <w:rPr>
                <w:rFonts w:ascii="仿宋_GB2312" w:eastAsia="仿宋_GB2312" w:hAnsi="宋体" w:cs="仿宋_GB2312"/>
                <w:color w:val="000000"/>
                <w:kern w:val="0"/>
                <w:sz w:val="20"/>
                <w:szCs w:val="20"/>
                <w:lang w:bidi="ar"/>
              </w:rPr>
              <w:t>（</w:t>
            </w:r>
            <w:r>
              <w:rPr>
                <w:rFonts w:ascii="仿宋_GB2312" w:eastAsia="仿宋_GB2312" w:hAnsi="宋体" w:cs="仿宋_GB2312"/>
                <w:color w:val="000000"/>
                <w:kern w:val="0"/>
                <w:sz w:val="20"/>
                <w:szCs w:val="20"/>
                <w:lang w:bidi="ar"/>
              </w:rPr>
              <w:t>%</w:t>
            </w:r>
            <w:r>
              <w:rPr>
                <w:rFonts w:ascii="仿宋_GB2312" w:eastAsia="仿宋_GB2312" w:hAnsi="宋体" w:cs="仿宋_GB2312"/>
                <w:color w:val="000000"/>
                <w:kern w:val="0"/>
                <w:sz w:val="20"/>
                <w:szCs w:val="20"/>
                <w:lang w:bidi="ar"/>
              </w:rPr>
              <w:t>）</w:t>
            </w:r>
          </w:p>
        </w:tc>
        <w:tc>
          <w:tcPr>
            <w:tcW w:w="1255" w:type="dxa"/>
            <w:tcBorders>
              <w:top w:val="single" w:sz="4" w:space="0" w:color="000000"/>
              <w:left w:val="nil"/>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7.64</w:t>
            </w:r>
          </w:p>
        </w:tc>
        <w:tc>
          <w:tcPr>
            <w:tcW w:w="1176" w:type="dxa"/>
            <w:tcBorders>
              <w:top w:val="single" w:sz="4" w:space="0" w:color="000000"/>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7.53</w:t>
            </w:r>
          </w:p>
        </w:tc>
        <w:tc>
          <w:tcPr>
            <w:tcW w:w="1116" w:type="dxa"/>
            <w:tcBorders>
              <w:top w:val="single" w:sz="4" w:space="0" w:color="000000"/>
              <w:left w:val="single" w:sz="4" w:space="0" w:color="000000"/>
              <w:bottom w:val="single" w:sz="8" w:space="0" w:color="000000"/>
              <w:right w:val="single" w:sz="4"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7.64</w:t>
            </w:r>
          </w:p>
        </w:tc>
        <w:tc>
          <w:tcPr>
            <w:tcW w:w="1104" w:type="dxa"/>
            <w:tcBorders>
              <w:top w:val="single" w:sz="4" w:space="0" w:color="000000"/>
              <w:left w:val="single" w:sz="4" w:space="0" w:color="000000"/>
              <w:bottom w:val="single" w:sz="8" w:space="0" w:color="000000"/>
              <w:right w:val="single" w:sz="4"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7.57</w:t>
            </w:r>
          </w:p>
        </w:tc>
        <w:tc>
          <w:tcPr>
            <w:tcW w:w="1128" w:type="dxa"/>
            <w:tcBorders>
              <w:top w:val="single" w:sz="4" w:space="0" w:color="000000"/>
              <w:left w:val="single" w:sz="4" w:space="0" w:color="000000"/>
              <w:bottom w:val="single" w:sz="8" w:space="0" w:color="000000"/>
              <w:right w:val="single" w:sz="8"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7.46</w:t>
            </w:r>
          </w:p>
        </w:tc>
      </w:tr>
      <w:tr w:rsidR="00A02D10">
        <w:trPr>
          <w:trHeight w:val="291"/>
        </w:trPr>
        <w:tc>
          <w:tcPr>
            <w:tcW w:w="9564" w:type="dxa"/>
            <w:gridSpan w:val="7"/>
            <w:tcBorders>
              <w:top w:val="single" w:sz="8" w:space="0" w:color="000000"/>
              <w:left w:val="single" w:sz="8" w:space="0" w:color="000000"/>
              <w:bottom w:val="single" w:sz="8" w:space="0" w:color="000000"/>
              <w:right w:val="single" w:sz="8" w:space="0" w:color="000000"/>
            </w:tcBorders>
            <w:shd w:val="clear" w:color="auto" w:fill="D9D9D9"/>
            <w:noWrap/>
            <w:tcMar>
              <w:top w:w="12" w:type="dxa"/>
              <w:left w:w="12" w:type="dxa"/>
              <w:right w:w="12" w:type="dxa"/>
            </w:tcMar>
          </w:tcPr>
          <w:p w:rsidR="00A02D10" w:rsidRDefault="00612159">
            <w:pPr>
              <w:jc w:val="left"/>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流动性覆盖率</w:t>
            </w:r>
          </w:p>
        </w:tc>
      </w:tr>
      <w:tr w:rsidR="00A02D10">
        <w:trPr>
          <w:trHeight w:val="345"/>
        </w:trPr>
        <w:tc>
          <w:tcPr>
            <w:tcW w:w="476" w:type="dxa"/>
            <w:tcBorders>
              <w:top w:val="single" w:sz="8" w:space="0" w:color="000000"/>
              <w:left w:val="single" w:sz="8" w:space="0" w:color="000000"/>
              <w:bottom w:val="single" w:sz="4" w:space="0" w:color="000000"/>
              <w:right w:val="nil"/>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15</w:t>
            </w:r>
          </w:p>
        </w:tc>
        <w:tc>
          <w:tcPr>
            <w:tcW w:w="3309" w:type="dxa"/>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合格优质流动性资产</w:t>
            </w:r>
          </w:p>
        </w:tc>
        <w:tc>
          <w:tcPr>
            <w:tcW w:w="1255" w:type="dxa"/>
            <w:tcBorders>
              <w:top w:val="single" w:sz="8"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不适用</w:t>
            </w:r>
          </w:p>
        </w:tc>
        <w:tc>
          <w:tcPr>
            <w:tcW w:w="1176" w:type="dxa"/>
            <w:tcBorders>
              <w:top w:val="single" w:sz="8"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不适用</w:t>
            </w:r>
          </w:p>
        </w:tc>
        <w:tc>
          <w:tcPr>
            <w:tcW w:w="1116" w:type="dxa"/>
            <w:tcBorders>
              <w:top w:val="single" w:sz="8"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不适用</w:t>
            </w:r>
          </w:p>
        </w:tc>
        <w:tc>
          <w:tcPr>
            <w:tcW w:w="1104" w:type="dxa"/>
            <w:tcBorders>
              <w:top w:val="single" w:sz="8"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不适用</w:t>
            </w:r>
          </w:p>
        </w:tc>
        <w:tc>
          <w:tcPr>
            <w:tcW w:w="1128" w:type="dxa"/>
            <w:tcBorders>
              <w:top w:val="single" w:sz="8"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不适用</w:t>
            </w:r>
          </w:p>
        </w:tc>
      </w:tr>
      <w:tr w:rsidR="00A02D10">
        <w:trPr>
          <w:trHeight w:val="335"/>
        </w:trPr>
        <w:tc>
          <w:tcPr>
            <w:tcW w:w="476" w:type="dxa"/>
            <w:tcBorders>
              <w:top w:val="single" w:sz="4" w:space="0" w:color="000000"/>
              <w:left w:val="single" w:sz="8" w:space="0" w:color="000000"/>
              <w:bottom w:val="single" w:sz="4" w:space="0" w:color="000000"/>
              <w:right w:val="nil"/>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16</w:t>
            </w:r>
          </w:p>
        </w:tc>
        <w:tc>
          <w:tcPr>
            <w:tcW w:w="3309"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现金净流出量</w:t>
            </w:r>
          </w:p>
        </w:tc>
        <w:tc>
          <w:tcPr>
            <w:tcW w:w="1255"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不适用</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不适用</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不适用</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不适用</w:t>
            </w:r>
          </w:p>
        </w:tc>
        <w:tc>
          <w:tcPr>
            <w:tcW w:w="112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不适用</w:t>
            </w:r>
          </w:p>
        </w:tc>
      </w:tr>
      <w:tr w:rsidR="00A02D10">
        <w:trPr>
          <w:trHeight w:val="335"/>
        </w:trPr>
        <w:tc>
          <w:tcPr>
            <w:tcW w:w="476" w:type="dxa"/>
            <w:tcBorders>
              <w:top w:val="single" w:sz="4" w:space="0" w:color="000000"/>
              <w:left w:val="single" w:sz="8" w:space="0" w:color="000000"/>
              <w:bottom w:val="single" w:sz="8" w:space="0" w:color="000000"/>
              <w:right w:val="nil"/>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17</w:t>
            </w:r>
          </w:p>
        </w:tc>
        <w:tc>
          <w:tcPr>
            <w:tcW w:w="3309" w:type="dxa"/>
            <w:tcBorders>
              <w:top w:val="single" w:sz="4"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流动性覆盖率（</w:t>
            </w:r>
            <w:r>
              <w:rPr>
                <w:rFonts w:ascii="仿宋_GB2312" w:eastAsia="仿宋_GB2312" w:hAnsi="宋体" w:cs="仿宋_GB2312"/>
                <w:color w:val="000000"/>
                <w:kern w:val="0"/>
                <w:sz w:val="20"/>
                <w:szCs w:val="20"/>
                <w:lang w:bidi="ar"/>
              </w:rPr>
              <w:t>%</w:t>
            </w:r>
            <w:r>
              <w:rPr>
                <w:rFonts w:ascii="仿宋_GB2312" w:eastAsia="仿宋_GB2312" w:hAnsi="宋体" w:cs="仿宋_GB2312"/>
                <w:color w:val="000000"/>
                <w:kern w:val="0"/>
                <w:sz w:val="20"/>
                <w:szCs w:val="20"/>
                <w:lang w:bidi="ar"/>
              </w:rPr>
              <w:t>）</w:t>
            </w:r>
          </w:p>
        </w:tc>
        <w:tc>
          <w:tcPr>
            <w:tcW w:w="1255" w:type="dxa"/>
            <w:tcBorders>
              <w:top w:val="single" w:sz="4" w:space="0" w:color="000000"/>
              <w:left w:val="nil"/>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不适用</w:t>
            </w:r>
          </w:p>
        </w:tc>
        <w:tc>
          <w:tcPr>
            <w:tcW w:w="1176" w:type="dxa"/>
            <w:tcBorders>
              <w:top w:val="single" w:sz="4" w:space="0" w:color="000000"/>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不适用</w:t>
            </w:r>
          </w:p>
        </w:tc>
        <w:tc>
          <w:tcPr>
            <w:tcW w:w="1116" w:type="dxa"/>
            <w:tcBorders>
              <w:top w:val="single" w:sz="4" w:space="0" w:color="000000"/>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不适用</w:t>
            </w:r>
          </w:p>
        </w:tc>
        <w:tc>
          <w:tcPr>
            <w:tcW w:w="1104" w:type="dxa"/>
            <w:tcBorders>
              <w:top w:val="single" w:sz="4" w:space="0" w:color="000000"/>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不适用</w:t>
            </w:r>
          </w:p>
        </w:tc>
        <w:tc>
          <w:tcPr>
            <w:tcW w:w="1128" w:type="dxa"/>
            <w:tcBorders>
              <w:top w:val="single" w:sz="4" w:space="0" w:color="000000"/>
              <w:left w:val="single" w:sz="4"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不适用</w:t>
            </w:r>
          </w:p>
        </w:tc>
      </w:tr>
      <w:tr w:rsidR="00A02D10">
        <w:trPr>
          <w:trHeight w:val="256"/>
        </w:trPr>
        <w:tc>
          <w:tcPr>
            <w:tcW w:w="9564" w:type="dxa"/>
            <w:gridSpan w:val="7"/>
            <w:tcBorders>
              <w:top w:val="single" w:sz="8" w:space="0" w:color="000000"/>
              <w:left w:val="single" w:sz="8" w:space="0" w:color="000000"/>
              <w:bottom w:val="single" w:sz="8" w:space="0" w:color="000000"/>
              <w:right w:val="single" w:sz="8" w:space="0" w:color="000000"/>
            </w:tcBorders>
            <w:shd w:val="clear" w:color="auto" w:fill="D9D9D9"/>
            <w:noWrap/>
            <w:tcMar>
              <w:top w:w="12" w:type="dxa"/>
              <w:left w:w="12" w:type="dxa"/>
              <w:right w:w="12" w:type="dxa"/>
            </w:tcMar>
          </w:tcPr>
          <w:p w:rsidR="00A02D10" w:rsidRDefault="00612159">
            <w:pPr>
              <w:jc w:val="left"/>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净稳定资金比例</w:t>
            </w:r>
          </w:p>
        </w:tc>
      </w:tr>
      <w:tr w:rsidR="00A02D10">
        <w:trPr>
          <w:trHeight w:val="345"/>
        </w:trPr>
        <w:tc>
          <w:tcPr>
            <w:tcW w:w="476" w:type="dxa"/>
            <w:tcBorders>
              <w:top w:val="single" w:sz="8" w:space="0" w:color="000000"/>
              <w:left w:val="single" w:sz="8" w:space="0" w:color="000000"/>
              <w:bottom w:val="single" w:sz="4" w:space="0" w:color="000000"/>
              <w:right w:val="nil"/>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18</w:t>
            </w:r>
          </w:p>
        </w:tc>
        <w:tc>
          <w:tcPr>
            <w:tcW w:w="3309" w:type="dxa"/>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可用稳定资金合计</w:t>
            </w:r>
          </w:p>
        </w:tc>
        <w:tc>
          <w:tcPr>
            <w:tcW w:w="1255" w:type="dxa"/>
            <w:tcBorders>
              <w:top w:val="single" w:sz="8"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不适用</w:t>
            </w:r>
          </w:p>
        </w:tc>
        <w:tc>
          <w:tcPr>
            <w:tcW w:w="1176" w:type="dxa"/>
            <w:tcBorders>
              <w:top w:val="single" w:sz="8"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不适用</w:t>
            </w:r>
          </w:p>
        </w:tc>
        <w:tc>
          <w:tcPr>
            <w:tcW w:w="1116" w:type="dxa"/>
            <w:tcBorders>
              <w:top w:val="single" w:sz="8"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不适用</w:t>
            </w:r>
          </w:p>
        </w:tc>
        <w:tc>
          <w:tcPr>
            <w:tcW w:w="1104" w:type="dxa"/>
            <w:tcBorders>
              <w:top w:val="single" w:sz="8"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不适用</w:t>
            </w:r>
          </w:p>
        </w:tc>
        <w:tc>
          <w:tcPr>
            <w:tcW w:w="1128" w:type="dxa"/>
            <w:tcBorders>
              <w:top w:val="single" w:sz="8"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不适用</w:t>
            </w:r>
          </w:p>
        </w:tc>
      </w:tr>
      <w:tr w:rsidR="00A02D10">
        <w:trPr>
          <w:trHeight w:val="335"/>
        </w:trPr>
        <w:tc>
          <w:tcPr>
            <w:tcW w:w="476" w:type="dxa"/>
            <w:tcBorders>
              <w:top w:val="single" w:sz="4" w:space="0" w:color="000000"/>
              <w:left w:val="single" w:sz="8" w:space="0" w:color="000000"/>
              <w:bottom w:val="single" w:sz="4" w:space="0" w:color="000000"/>
              <w:right w:val="nil"/>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19</w:t>
            </w:r>
          </w:p>
        </w:tc>
        <w:tc>
          <w:tcPr>
            <w:tcW w:w="3309"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所需稳定资金合计</w:t>
            </w:r>
          </w:p>
        </w:tc>
        <w:tc>
          <w:tcPr>
            <w:tcW w:w="1255"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不适用</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不适用</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不适用</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不适用</w:t>
            </w:r>
          </w:p>
        </w:tc>
        <w:tc>
          <w:tcPr>
            <w:tcW w:w="112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不适用</w:t>
            </w:r>
          </w:p>
        </w:tc>
      </w:tr>
      <w:tr w:rsidR="00A02D10">
        <w:trPr>
          <w:trHeight w:val="335"/>
        </w:trPr>
        <w:tc>
          <w:tcPr>
            <w:tcW w:w="476" w:type="dxa"/>
            <w:tcBorders>
              <w:top w:val="single" w:sz="4" w:space="0" w:color="000000"/>
              <w:left w:val="single" w:sz="8" w:space="0" w:color="000000"/>
              <w:bottom w:val="single" w:sz="8" w:space="0" w:color="000000"/>
              <w:right w:val="nil"/>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20</w:t>
            </w:r>
          </w:p>
        </w:tc>
        <w:tc>
          <w:tcPr>
            <w:tcW w:w="3309" w:type="dxa"/>
            <w:tcBorders>
              <w:top w:val="single" w:sz="4"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净稳定资金比例（</w:t>
            </w:r>
            <w:r>
              <w:rPr>
                <w:rFonts w:ascii="仿宋_GB2312" w:eastAsia="仿宋_GB2312" w:hAnsi="宋体" w:cs="仿宋_GB2312"/>
                <w:color w:val="000000"/>
                <w:kern w:val="0"/>
                <w:sz w:val="20"/>
                <w:szCs w:val="20"/>
                <w:lang w:bidi="ar"/>
              </w:rPr>
              <w:t>%</w:t>
            </w:r>
            <w:r>
              <w:rPr>
                <w:rFonts w:ascii="仿宋_GB2312" w:eastAsia="仿宋_GB2312" w:hAnsi="宋体" w:cs="仿宋_GB2312"/>
                <w:color w:val="000000"/>
                <w:kern w:val="0"/>
                <w:sz w:val="20"/>
                <w:szCs w:val="20"/>
                <w:lang w:bidi="ar"/>
              </w:rPr>
              <w:t>）</w:t>
            </w:r>
          </w:p>
        </w:tc>
        <w:tc>
          <w:tcPr>
            <w:tcW w:w="1255" w:type="dxa"/>
            <w:tcBorders>
              <w:top w:val="single" w:sz="4" w:space="0" w:color="000000"/>
              <w:left w:val="nil"/>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不适用</w:t>
            </w:r>
          </w:p>
        </w:tc>
        <w:tc>
          <w:tcPr>
            <w:tcW w:w="1176" w:type="dxa"/>
            <w:tcBorders>
              <w:top w:val="single" w:sz="4" w:space="0" w:color="000000"/>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不适用</w:t>
            </w:r>
          </w:p>
        </w:tc>
        <w:tc>
          <w:tcPr>
            <w:tcW w:w="1116" w:type="dxa"/>
            <w:tcBorders>
              <w:top w:val="single" w:sz="4" w:space="0" w:color="000000"/>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不适用</w:t>
            </w:r>
          </w:p>
        </w:tc>
        <w:tc>
          <w:tcPr>
            <w:tcW w:w="1104" w:type="dxa"/>
            <w:tcBorders>
              <w:top w:val="single" w:sz="4" w:space="0" w:color="000000"/>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不适用</w:t>
            </w:r>
          </w:p>
        </w:tc>
        <w:tc>
          <w:tcPr>
            <w:tcW w:w="1128" w:type="dxa"/>
            <w:tcBorders>
              <w:top w:val="single" w:sz="4" w:space="0" w:color="000000"/>
              <w:left w:val="single" w:sz="4"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color w:val="000000"/>
                <w:kern w:val="0"/>
                <w:sz w:val="20"/>
                <w:szCs w:val="20"/>
                <w:lang w:bidi="ar"/>
              </w:rPr>
              <w:t>不适用</w:t>
            </w:r>
          </w:p>
        </w:tc>
      </w:tr>
      <w:tr w:rsidR="00A02D10">
        <w:trPr>
          <w:trHeight w:val="265"/>
        </w:trPr>
        <w:tc>
          <w:tcPr>
            <w:tcW w:w="9564" w:type="dxa"/>
            <w:gridSpan w:val="7"/>
            <w:tcBorders>
              <w:top w:val="single" w:sz="8" w:space="0" w:color="000000"/>
              <w:left w:val="single" w:sz="8" w:space="0" w:color="000000"/>
              <w:bottom w:val="single" w:sz="8" w:space="0" w:color="000000"/>
              <w:right w:val="single" w:sz="8" w:space="0" w:color="000000"/>
            </w:tcBorders>
            <w:shd w:val="clear" w:color="auto" w:fill="D9D9D9"/>
            <w:noWrap/>
            <w:tcMar>
              <w:top w:w="12" w:type="dxa"/>
              <w:left w:w="12" w:type="dxa"/>
              <w:right w:w="12" w:type="dxa"/>
            </w:tcMar>
          </w:tcPr>
          <w:p w:rsidR="00A02D10" w:rsidRDefault="00612159">
            <w:pPr>
              <w:jc w:val="left"/>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流动性比例</w:t>
            </w:r>
          </w:p>
        </w:tc>
      </w:tr>
      <w:tr w:rsidR="00A02D10">
        <w:trPr>
          <w:trHeight w:val="365"/>
        </w:trPr>
        <w:tc>
          <w:tcPr>
            <w:tcW w:w="476" w:type="dxa"/>
            <w:tcBorders>
              <w:top w:val="single" w:sz="8" w:space="0" w:color="000000"/>
              <w:left w:val="single" w:sz="8" w:space="0" w:color="000000"/>
              <w:bottom w:val="single" w:sz="8" w:space="0" w:color="000000"/>
              <w:right w:val="nil"/>
            </w:tcBorders>
            <w:shd w:val="clear" w:color="auto" w:fill="FFFFFF"/>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21</w:t>
            </w:r>
          </w:p>
        </w:tc>
        <w:tc>
          <w:tcPr>
            <w:tcW w:w="3309" w:type="dxa"/>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流动性比例（</w:t>
            </w:r>
            <w:r>
              <w:rPr>
                <w:rFonts w:ascii="仿宋_GB2312" w:eastAsia="仿宋_GB2312" w:hAnsi="宋体" w:cs="仿宋_GB2312"/>
                <w:color w:val="000000"/>
                <w:kern w:val="0"/>
                <w:sz w:val="20"/>
                <w:szCs w:val="20"/>
                <w:lang w:bidi="ar"/>
              </w:rPr>
              <w:t>%</w:t>
            </w:r>
            <w:r>
              <w:rPr>
                <w:rFonts w:ascii="仿宋_GB2312" w:eastAsia="仿宋_GB2312" w:hAnsi="宋体" w:cs="仿宋_GB2312"/>
                <w:color w:val="000000"/>
                <w:kern w:val="0"/>
                <w:sz w:val="20"/>
                <w:szCs w:val="20"/>
                <w:lang w:bidi="ar"/>
              </w:rPr>
              <w:t>）</w:t>
            </w:r>
          </w:p>
        </w:tc>
        <w:tc>
          <w:tcPr>
            <w:tcW w:w="1255" w:type="dxa"/>
            <w:tcBorders>
              <w:top w:val="single" w:sz="8" w:space="0" w:color="000000"/>
              <w:left w:val="nil"/>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66.71</w:t>
            </w:r>
          </w:p>
        </w:tc>
        <w:tc>
          <w:tcPr>
            <w:tcW w:w="1176" w:type="dxa"/>
            <w:tcBorders>
              <w:top w:val="single" w:sz="8" w:space="0" w:color="000000"/>
              <w:left w:val="single" w:sz="4" w:space="0" w:color="000000"/>
              <w:bottom w:val="single" w:sz="8" w:space="0" w:color="000000"/>
              <w:right w:val="single" w:sz="4" w:space="0" w:color="000000"/>
            </w:tcBorders>
            <w:shd w:val="clear" w:color="auto" w:fill="FFFFFF"/>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67.93</w:t>
            </w:r>
          </w:p>
        </w:tc>
        <w:tc>
          <w:tcPr>
            <w:tcW w:w="1116" w:type="dxa"/>
            <w:tcBorders>
              <w:top w:val="single" w:sz="8" w:space="0" w:color="000000"/>
              <w:left w:val="single" w:sz="4" w:space="0" w:color="000000"/>
              <w:bottom w:val="single" w:sz="8" w:space="0" w:color="000000"/>
              <w:right w:val="single" w:sz="4"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71.45</w:t>
            </w:r>
          </w:p>
        </w:tc>
        <w:tc>
          <w:tcPr>
            <w:tcW w:w="1104" w:type="dxa"/>
            <w:tcBorders>
              <w:top w:val="single" w:sz="8" w:space="0" w:color="000000"/>
              <w:left w:val="single" w:sz="4" w:space="0" w:color="000000"/>
              <w:bottom w:val="single" w:sz="8" w:space="0" w:color="000000"/>
              <w:right w:val="single" w:sz="4"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60.44</w:t>
            </w:r>
          </w:p>
        </w:tc>
        <w:tc>
          <w:tcPr>
            <w:tcW w:w="1128" w:type="dxa"/>
            <w:tcBorders>
              <w:top w:val="single" w:sz="8" w:space="0" w:color="000000"/>
              <w:left w:val="single" w:sz="4" w:space="0" w:color="000000"/>
              <w:bottom w:val="single" w:sz="8" w:space="0" w:color="000000"/>
              <w:right w:val="single" w:sz="8" w:space="0" w:color="000000"/>
            </w:tcBorders>
            <w:shd w:val="clear" w:color="auto" w:fill="auto"/>
            <w:noWrap/>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67.16</w:t>
            </w:r>
          </w:p>
        </w:tc>
      </w:tr>
    </w:tbl>
    <w:p w:rsidR="00A02D10" w:rsidRDefault="00A02D10">
      <w:pPr>
        <w:spacing w:line="240" w:lineRule="atLeast"/>
        <w:rPr>
          <w:rFonts w:ascii="仿宋" w:eastAsia="仿宋" w:hAnsi="仿宋" w:cs="仿宋"/>
          <w:sz w:val="30"/>
          <w:szCs w:val="30"/>
        </w:rPr>
      </w:pPr>
    </w:p>
    <w:tbl>
      <w:tblPr>
        <w:tblW w:w="9576" w:type="dxa"/>
        <w:tblInd w:w="-497" w:type="dxa"/>
        <w:tblLayout w:type="fixed"/>
        <w:tblCellMar>
          <w:left w:w="0" w:type="dxa"/>
          <w:right w:w="0" w:type="dxa"/>
        </w:tblCellMar>
        <w:tblLook w:val="04A0" w:firstRow="1" w:lastRow="0" w:firstColumn="1" w:lastColumn="0" w:noHBand="0" w:noVBand="1"/>
      </w:tblPr>
      <w:tblGrid>
        <w:gridCol w:w="936"/>
        <w:gridCol w:w="6276"/>
        <w:gridCol w:w="1356"/>
        <w:gridCol w:w="1008"/>
      </w:tblGrid>
      <w:tr w:rsidR="00A02D10">
        <w:trPr>
          <w:trHeight w:val="600"/>
        </w:trPr>
        <w:tc>
          <w:tcPr>
            <w:tcW w:w="9576" w:type="dxa"/>
            <w:gridSpan w:val="4"/>
            <w:tcBorders>
              <w:top w:val="nil"/>
              <w:left w:val="nil"/>
              <w:bottom w:val="nil"/>
              <w:right w:val="nil"/>
            </w:tcBorders>
            <w:shd w:val="clear" w:color="auto" w:fill="auto"/>
            <w:noWrap/>
            <w:tcMar>
              <w:top w:w="12" w:type="dxa"/>
              <w:left w:w="12" w:type="dxa"/>
              <w:right w:w="12" w:type="dxa"/>
            </w:tcMar>
            <w:vAlign w:val="center"/>
          </w:tcPr>
          <w:p w:rsidR="00A02D10" w:rsidRDefault="00612159">
            <w:pPr>
              <w:widowControl/>
              <w:textAlignment w:val="center"/>
              <w:rPr>
                <w:rFonts w:ascii="宋体" w:eastAsia="宋体" w:hAnsi="宋体" w:cs="宋体"/>
                <w:b/>
                <w:color w:val="000000"/>
                <w:sz w:val="28"/>
                <w:szCs w:val="28"/>
              </w:rPr>
            </w:pPr>
            <w:r>
              <w:rPr>
                <w:rFonts w:ascii="宋体" w:eastAsia="宋体" w:hAnsi="宋体" w:cs="宋体" w:hint="eastAsia"/>
                <w:b/>
                <w:color w:val="000000"/>
                <w:kern w:val="0"/>
                <w:sz w:val="28"/>
                <w:szCs w:val="28"/>
                <w:lang w:bidi="ar"/>
              </w:rPr>
              <w:lastRenderedPageBreak/>
              <w:t>附表</w:t>
            </w:r>
            <w:r>
              <w:rPr>
                <w:rFonts w:ascii="宋体" w:eastAsia="宋体" w:hAnsi="宋体" w:cs="宋体" w:hint="eastAsia"/>
                <w:b/>
                <w:color w:val="000000"/>
                <w:kern w:val="0"/>
                <w:sz w:val="28"/>
                <w:szCs w:val="28"/>
                <w:lang w:bidi="ar"/>
              </w:rPr>
              <w:t>CC1</w:t>
            </w:r>
            <w:r>
              <w:rPr>
                <w:rFonts w:ascii="宋体" w:eastAsia="宋体" w:hAnsi="宋体" w:cs="宋体" w:hint="eastAsia"/>
                <w:b/>
                <w:color w:val="000000"/>
                <w:kern w:val="0"/>
                <w:sz w:val="28"/>
                <w:szCs w:val="28"/>
                <w:lang w:bidi="ar"/>
              </w:rPr>
              <w:t>：资本构成</w:t>
            </w:r>
          </w:p>
        </w:tc>
      </w:tr>
      <w:tr w:rsidR="00A02D10">
        <w:trPr>
          <w:trHeight w:val="318"/>
        </w:trPr>
        <w:tc>
          <w:tcPr>
            <w:tcW w:w="9576" w:type="dxa"/>
            <w:gridSpan w:val="4"/>
            <w:tcBorders>
              <w:top w:val="nil"/>
              <w:left w:val="nil"/>
              <w:bottom w:val="nil"/>
              <w:right w:val="nil"/>
            </w:tcBorders>
            <w:shd w:val="clear" w:color="auto" w:fill="auto"/>
            <w:noWrap/>
            <w:tcMar>
              <w:top w:w="12" w:type="dxa"/>
              <w:left w:w="12" w:type="dxa"/>
              <w:right w:w="12" w:type="dxa"/>
            </w:tcMar>
            <w:vAlign w:val="center"/>
          </w:tcPr>
          <w:p w:rsidR="00A02D10" w:rsidRDefault="00612159">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日期：</w:t>
            </w:r>
            <w:r>
              <w:rPr>
                <w:rFonts w:ascii="宋体" w:eastAsia="宋体" w:hAnsi="宋体" w:cs="宋体" w:hint="eastAsia"/>
                <w:color w:val="000000"/>
                <w:kern w:val="0"/>
                <w:sz w:val="22"/>
                <w:szCs w:val="22"/>
                <w:lang w:bidi="ar"/>
              </w:rPr>
              <w:t>2026</w:t>
            </w:r>
            <w:r>
              <w:rPr>
                <w:rFonts w:ascii="宋体" w:eastAsia="宋体" w:hAnsi="宋体" w:cs="宋体" w:hint="eastAsia"/>
                <w:color w:val="000000"/>
                <w:kern w:val="0"/>
                <w:sz w:val="22"/>
                <w:szCs w:val="22"/>
                <w:lang w:bidi="ar"/>
              </w:rPr>
              <w:t>年二季度</w:t>
            </w: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单位：人民币、万元、</w:t>
            </w:r>
            <w:r>
              <w:rPr>
                <w:rFonts w:ascii="宋体" w:eastAsia="宋体" w:hAnsi="宋体" w:cs="宋体" w:hint="eastAsia"/>
                <w:color w:val="000000"/>
                <w:kern w:val="0"/>
                <w:sz w:val="22"/>
                <w:szCs w:val="22"/>
                <w:lang w:bidi="ar"/>
              </w:rPr>
              <w:t>%</w:t>
            </w:r>
          </w:p>
        </w:tc>
      </w:tr>
      <w:tr w:rsidR="00A02D10">
        <w:trPr>
          <w:trHeight w:val="288"/>
        </w:trPr>
        <w:tc>
          <w:tcPr>
            <w:tcW w:w="936" w:type="dxa"/>
            <w:vMerge w:val="restart"/>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序号</w:t>
            </w:r>
          </w:p>
        </w:tc>
        <w:tc>
          <w:tcPr>
            <w:tcW w:w="6276" w:type="dxa"/>
            <w:vMerge w:val="restart"/>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项目</w:t>
            </w:r>
          </w:p>
        </w:tc>
        <w:tc>
          <w:tcPr>
            <w:tcW w:w="1356" w:type="dxa"/>
            <w:tcBorders>
              <w:top w:val="single" w:sz="8"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a</w:t>
            </w:r>
          </w:p>
        </w:tc>
        <w:tc>
          <w:tcPr>
            <w:tcW w:w="1008" w:type="dxa"/>
            <w:tcBorders>
              <w:top w:val="single" w:sz="8"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b</w:t>
            </w:r>
          </w:p>
        </w:tc>
      </w:tr>
      <w:tr w:rsidR="00A02D10">
        <w:trPr>
          <w:trHeight w:val="303"/>
        </w:trPr>
        <w:tc>
          <w:tcPr>
            <w:tcW w:w="936" w:type="dxa"/>
            <w:vMerge/>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jc w:val="center"/>
              <w:rPr>
                <w:rFonts w:ascii="仿宋_GB2312" w:eastAsia="仿宋_GB2312" w:hAnsi="宋体" w:cs="仿宋_GB2312"/>
                <w:b/>
                <w:color w:val="000000"/>
                <w:sz w:val="20"/>
                <w:szCs w:val="20"/>
              </w:rPr>
            </w:pPr>
          </w:p>
        </w:tc>
        <w:tc>
          <w:tcPr>
            <w:tcW w:w="6276" w:type="dxa"/>
            <w:vMerge/>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jc w:val="center"/>
              <w:rPr>
                <w:rFonts w:ascii="仿宋_GB2312" w:eastAsia="仿宋_GB2312" w:hAnsi="宋体" w:cs="仿宋_GB2312"/>
                <w:b/>
                <w:color w:val="000000"/>
                <w:sz w:val="20"/>
                <w:szCs w:val="20"/>
              </w:rPr>
            </w:pPr>
          </w:p>
        </w:tc>
        <w:tc>
          <w:tcPr>
            <w:tcW w:w="1356" w:type="dxa"/>
            <w:tcBorders>
              <w:top w:val="single" w:sz="4" w:space="0" w:color="000000"/>
              <w:left w:val="single" w:sz="8" w:space="0" w:color="000000"/>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数额</w:t>
            </w:r>
          </w:p>
        </w:tc>
        <w:tc>
          <w:tcPr>
            <w:tcW w:w="1008" w:type="dxa"/>
            <w:tcBorders>
              <w:top w:val="single" w:sz="4" w:space="0" w:color="000000"/>
              <w:left w:val="single" w:sz="4"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代码</w:t>
            </w:r>
          </w:p>
        </w:tc>
      </w:tr>
      <w:tr w:rsidR="00A02D10">
        <w:trPr>
          <w:trHeight w:val="303"/>
        </w:trPr>
        <w:tc>
          <w:tcPr>
            <w:tcW w:w="9576" w:type="dxa"/>
            <w:gridSpan w:val="4"/>
            <w:tcBorders>
              <w:top w:val="nil"/>
              <w:left w:val="single" w:sz="8" w:space="0" w:color="000000"/>
              <w:bottom w:val="nil"/>
              <w:right w:val="single" w:sz="8" w:space="0" w:color="000000"/>
            </w:tcBorders>
            <w:shd w:val="clear" w:color="auto" w:fill="auto"/>
            <w:noWrap/>
            <w:tcMar>
              <w:top w:w="12" w:type="dxa"/>
              <w:left w:w="12" w:type="dxa"/>
              <w:right w:w="12" w:type="dxa"/>
            </w:tcMar>
            <w:vAlign w:val="center"/>
          </w:tcPr>
          <w:p w:rsidR="00A02D10" w:rsidRDefault="00612159">
            <w:pP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核心一级资本</w:t>
            </w:r>
          </w:p>
        </w:tc>
      </w:tr>
      <w:tr w:rsidR="00A02D10">
        <w:trPr>
          <w:trHeight w:val="288"/>
        </w:trPr>
        <w:tc>
          <w:tcPr>
            <w:tcW w:w="936" w:type="dxa"/>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w:t>
            </w:r>
          </w:p>
        </w:tc>
        <w:tc>
          <w:tcPr>
            <w:tcW w:w="6276" w:type="dxa"/>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实收资本和资本公积可计入部分</w:t>
            </w:r>
          </w:p>
        </w:tc>
        <w:tc>
          <w:tcPr>
            <w:tcW w:w="1356" w:type="dxa"/>
            <w:tcBorders>
              <w:top w:val="single" w:sz="8"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34460.97</w:t>
            </w:r>
          </w:p>
        </w:tc>
        <w:tc>
          <w:tcPr>
            <w:tcW w:w="1008" w:type="dxa"/>
            <w:tcBorders>
              <w:top w:val="single" w:sz="8"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e+g</w:t>
            </w: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2</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留存收益</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145067.63</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jc w:val="cente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2a</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盈余公积</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40569.16</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h</w:t>
            </w: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2b</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一般风险准备</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38014.72</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i</w:t>
            </w: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2c</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未分配利润</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66483.75</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j</w:t>
            </w: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3</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累计其他综合收益</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847.02</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jc w:val="cente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4</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少数股东资本可计入部分</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jc w:val="center"/>
              <w:rPr>
                <w:rFonts w:ascii="仿宋_GB2312" w:eastAsia="仿宋_GB2312" w:hAnsi="宋体" w:cs="仿宋_GB2312"/>
                <w:color w:val="000000"/>
                <w:sz w:val="20"/>
                <w:szCs w:val="20"/>
              </w:rPr>
            </w:pPr>
          </w:p>
        </w:tc>
      </w:tr>
      <w:tr w:rsidR="00A02D10">
        <w:trPr>
          <w:trHeight w:val="303"/>
        </w:trPr>
        <w:tc>
          <w:tcPr>
            <w:tcW w:w="936" w:type="dxa"/>
            <w:tcBorders>
              <w:top w:val="single" w:sz="4"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5</w:t>
            </w:r>
          </w:p>
        </w:tc>
        <w:tc>
          <w:tcPr>
            <w:tcW w:w="6276" w:type="dxa"/>
            <w:tcBorders>
              <w:top w:val="single" w:sz="4"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扣除前的核心一级资本</w:t>
            </w:r>
          </w:p>
        </w:tc>
        <w:tc>
          <w:tcPr>
            <w:tcW w:w="1356" w:type="dxa"/>
            <w:tcBorders>
              <w:top w:val="single" w:sz="4" w:space="0" w:color="000000"/>
              <w:left w:val="single" w:sz="8" w:space="0" w:color="000000"/>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180375.62</w:t>
            </w:r>
          </w:p>
        </w:tc>
        <w:tc>
          <w:tcPr>
            <w:tcW w:w="1008" w:type="dxa"/>
            <w:tcBorders>
              <w:top w:val="single" w:sz="4" w:space="0" w:color="000000"/>
              <w:left w:val="single" w:sz="4"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A02D10">
            <w:pPr>
              <w:jc w:val="center"/>
              <w:rPr>
                <w:rFonts w:ascii="仿宋_GB2312" w:eastAsia="仿宋_GB2312" w:hAnsi="宋体" w:cs="仿宋_GB2312"/>
                <w:color w:val="000000"/>
                <w:sz w:val="20"/>
                <w:szCs w:val="20"/>
              </w:rPr>
            </w:pPr>
          </w:p>
        </w:tc>
      </w:tr>
      <w:tr w:rsidR="00A02D10">
        <w:trPr>
          <w:trHeight w:val="303"/>
        </w:trPr>
        <w:tc>
          <w:tcPr>
            <w:tcW w:w="9576" w:type="dxa"/>
            <w:gridSpan w:val="4"/>
            <w:tcBorders>
              <w:top w:val="nil"/>
              <w:left w:val="single" w:sz="8" w:space="0" w:color="000000"/>
              <w:bottom w:val="nil"/>
              <w:right w:val="single" w:sz="8" w:space="0" w:color="000000"/>
            </w:tcBorders>
            <w:shd w:val="clear" w:color="auto" w:fill="auto"/>
            <w:noWrap/>
            <w:tcMar>
              <w:top w:w="12" w:type="dxa"/>
              <w:left w:w="12" w:type="dxa"/>
              <w:right w:w="12" w:type="dxa"/>
            </w:tcMar>
            <w:vAlign w:val="center"/>
          </w:tcPr>
          <w:p w:rsidR="00A02D10" w:rsidRDefault="00612159">
            <w:pPr>
              <w:rPr>
                <w:rFonts w:ascii="仿宋_GB2312" w:eastAsia="仿宋_GB2312" w:hAnsi="宋体" w:cs="仿宋_GB2312"/>
                <w:b/>
                <w:color w:val="000000"/>
                <w:sz w:val="20"/>
                <w:szCs w:val="20"/>
              </w:rPr>
            </w:pPr>
            <w:r>
              <w:rPr>
                <w:rStyle w:val="font31"/>
                <w:rFonts w:hAnsi="宋体"/>
                <w:lang w:bidi="ar"/>
              </w:rPr>
              <w:t>核心一级资本：扣除项</w:t>
            </w:r>
            <w:r>
              <w:rPr>
                <w:rStyle w:val="font21"/>
                <w:rFonts w:hAnsi="宋体"/>
                <w:lang w:bidi="ar"/>
              </w:rPr>
              <w:t xml:space="preserve">　</w:t>
            </w:r>
          </w:p>
        </w:tc>
      </w:tr>
      <w:tr w:rsidR="00A02D10">
        <w:trPr>
          <w:trHeight w:val="288"/>
        </w:trPr>
        <w:tc>
          <w:tcPr>
            <w:tcW w:w="936" w:type="dxa"/>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6</w:t>
            </w:r>
          </w:p>
        </w:tc>
        <w:tc>
          <w:tcPr>
            <w:tcW w:w="6276" w:type="dxa"/>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审慎估值调整</w:t>
            </w:r>
          </w:p>
        </w:tc>
        <w:tc>
          <w:tcPr>
            <w:tcW w:w="1356" w:type="dxa"/>
            <w:tcBorders>
              <w:top w:val="single" w:sz="8"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8"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jc w:val="cente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7</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商誉（扣除递延税负债）</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a-c</w:t>
            </w:r>
          </w:p>
        </w:tc>
      </w:tr>
      <w:tr w:rsidR="00A02D10">
        <w:trPr>
          <w:trHeight w:val="266"/>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8</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其他无形资产（土地使用权除外）（扣除递延税负债）</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621.03</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b-d</w:t>
            </w: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9</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依赖未来盈利的由经营亏损引起的净递延税资产</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66"/>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10</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对未按公允价值计量的项目进行套期形成的现金流储备</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11</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损失准备缺口</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12</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资产证券化销售利得</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90"/>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13</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自身信用风险变化导致其负债公允价值变化带来的未实现损益</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14</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确定受益类的养老金资产净额（扣除递延税负债）</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15</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直接或间接持有本银行的股票</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314"/>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16</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银行间或银行与其他金融机构间通过协议相互持有的核心一级资本</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54"/>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17</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对未并表金融机构小额少数资本投资中的核心一级资本中应扣除金额</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90"/>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18</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对未并表金融机构大额少数资本投资中的核心一级资本中应扣除金额</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33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19</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其他依赖于银行未来盈利的净递延税资产中应扣除金额</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720"/>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20</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对未并表金融机构大额少数资本投资中的核心一级资本和其他依赖于银行未来盈利的净递延税资产的未扣除部分超过核心一级资本</w:t>
            </w:r>
            <w:r>
              <w:rPr>
                <w:rFonts w:ascii="仿宋_GB2312" w:eastAsia="仿宋_GB2312" w:hAnsi="宋体" w:cs="仿宋_GB2312"/>
                <w:color w:val="000000"/>
                <w:kern w:val="0"/>
                <w:sz w:val="20"/>
                <w:szCs w:val="20"/>
                <w:lang w:bidi="ar"/>
              </w:rPr>
              <w:t>15%</w:t>
            </w:r>
            <w:r>
              <w:rPr>
                <w:rFonts w:ascii="仿宋_GB2312" w:eastAsia="仿宋_GB2312" w:hAnsi="宋体" w:cs="仿宋_GB2312"/>
                <w:color w:val="000000"/>
                <w:kern w:val="0"/>
                <w:sz w:val="20"/>
                <w:szCs w:val="20"/>
                <w:lang w:bidi="ar"/>
              </w:rPr>
              <w:t>的应扣除金额</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30"/>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21</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 xml:space="preserve">    </w:t>
            </w:r>
            <w:r>
              <w:rPr>
                <w:rFonts w:ascii="仿宋_GB2312" w:eastAsia="仿宋_GB2312" w:hAnsi="宋体" w:cs="仿宋_GB2312"/>
                <w:color w:val="000000"/>
                <w:kern w:val="0"/>
                <w:sz w:val="20"/>
                <w:szCs w:val="20"/>
                <w:lang w:bidi="ar"/>
              </w:rPr>
              <w:t>其中：应在对金融机构大额少数资本投资中扣除的金额</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100"/>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22</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 xml:space="preserve">    </w:t>
            </w:r>
            <w:r>
              <w:rPr>
                <w:rFonts w:ascii="仿宋_GB2312" w:eastAsia="仿宋_GB2312" w:hAnsi="宋体" w:cs="仿宋_GB2312"/>
                <w:color w:val="000000"/>
                <w:kern w:val="0"/>
                <w:sz w:val="20"/>
                <w:szCs w:val="20"/>
                <w:lang w:bidi="ar"/>
              </w:rPr>
              <w:t>其中：应在其他依赖于银行未来盈利的净递延税资产中扣除的金额</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23</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其他应在核心一级资本中扣除的项目合计</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24</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应从其他一级资本和二级资本中扣除的未扣缺口</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25</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核心一级资本扣除项总和</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621.03</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303"/>
        </w:trPr>
        <w:tc>
          <w:tcPr>
            <w:tcW w:w="936" w:type="dxa"/>
            <w:tcBorders>
              <w:top w:val="single" w:sz="4"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26</w:t>
            </w:r>
          </w:p>
        </w:tc>
        <w:tc>
          <w:tcPr>
            <w:tcW w:w="6276" w:type="dxa"/>
            <w:tcBorders>
              <w:top w:val="single" w:sz="4"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核心一级资本净额</w:t>
            </w:r>
          </w:p>
        </w:tc>
        <w:tc>
          <w:tcPr>
            <w:tcW w:w="1356" w:type="dxa"/>
            <w:tcBorders>
              <w:top w:val="single" w:sz="4" w:space="0" w:color="000000"/>
              <w:left w:val="single" w:sz="8" w:space="0" w:color="000000"/>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179754.59</w:t>
            </w:r>
          </w:p>
        </w:tc>
        <w:tc>
          <w:tcPr>
            <w:tcW w:w="1008" w:type="dxa"/>
            <w:tcBorders>
              <w:top w:val="single" w:sz="4" w:space="0" w:color="000000"/>
              <w:left w:val="single" w:sz="4"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303"/>
        </w:trPr>
        <w:tc>
          <w:tcPr>
            <w:tcW w:w="9576" w:type="dxa"/>
            <w:gridSpan w:val="4"/>
            <w:tcBorders>
              <w:top w:val="nil"/>
              <w:left w:val="single" w:sz="8" w:space="0" w:color="000000"/>
              <w:bottom w:val="nil"/>
              <w:right w:val="single" w:sz="8" w:space="0" w:color="000000"/>
            </w:tcBorders>
            <w:shd w:val="clear" w:color="auto" w:fill="auto"/>
            <w:noWrap/>
            <w:tcMar>
              <w:top w:w="12" w:type="dxa"/>
              <w:left w:w="12" w:type="dxa"/>
              <w:right w:w="12" w:type="dxa"/>
            </w:tcMar>
            <w:vAlign w:val="center"/>
          </w:tcPr>
          <w:p w:rsidR="00A02D10" w:rsidRDefault="00612159">
            <w:pP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其他一级资本</w:t>
            </w:r>
          </w:p>
        </w:tc>
      </w:tr>
      <w:tr w:rsidR="00A02D10">
        <w:trPr>
          <w:trHeight w:val="288"/>
        </w:trPr>
        <w:tc>
          <w:tcPr>
            <w:tcW w:w="936" w:type="dxa"/>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27</w:t>
            </w:r>
          </w:p>
        </w:tc>
        <w:tc>
          <w:tcPr>
            <w:tcW w:w="6276" w:type="dxa"/>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其他一级资本工具及其溢价</w:t>
            </w:r>
          </w:p>
        </w:tc>
        <w:tc>
          <w:tcPr>
            <w:tcW w:w="1356" w:type="dxa"/>
            <w:tcBorders>
              <w:top w:val="single" w:sz="8"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8"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28</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 xml:space="preserve">    </w:t>
            </w:r>
            <w:r>
              <w:rPr>
                <w:rFonts w:ascii="仿宋_GB2312" w:eastAsia="仿宋_GB2312" w:hAnsi="宋体" w:cs="仿宋_GB2312"/>
                <w:color w:val="000000"/>
                <w:kern w:val="0"/>
                <w:sz w:val="20"/>
                <w:szCs w:val="20"/>
                <w:lang w:bidi="ar"/>
              </w:rPr>
              <w:t>其中：权益部分</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lastRenderedPageBreak/>
              <w:t>29</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 xml:space="preserve">    </w:t>
            </w:r>
            <w:r>
              <w:rPr>
                <w:rFonts w:ascii="仿宋_GB2312" w:eastAsia="仿宋_GB2312" w:hAnsi="宋体" w:cs="仿宋_GB2312"/>
                <w:color w:val="000000"/>
                <w:kern w:val="0"/>
                <w:sz w:val="20"/>
                <w:szCs w:val="20"/>
                <w:lang w:bidi="ar"/>
              </w:rPr>
              <w:t>其中：负债部分</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30</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少数股东资本可计入部分</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303"/>
        </w:trPr>
        <w:tc>
          <w:tcPr>
            <w:tcW w:w="936" w:type="dxa"/>
            <w:tcBorders>
              <w:top w:val="single" w:sz="4"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31</w:t>
            </w:r>
          </w:p>
        </w:tc>
        <w:tc>
          <w:tcPr>
            <w:tcW w:w="6276" w:type="dxa"/>
            <w:tcBorders>
              <w:top w:val="single" w:sz="4"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扣除前的其他一级资本</w:t>
            </w:r>
          </w:p>
        </w:tc>
        <w:tc>
          <w:tcPr>
            <w:tcW w:w="1356" w:type="dxa"/>
            <w:tcBorders>
              <w:top w:val="single" w:sz="4" w:space="0" w:color="000000"/>
              <w:left w:val="single" w:sz="8" w:space="0" w:color="000000"/>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0</w:t>
            </w:r>
          </w:p>
        </w:tc>
        <w:tc>
          <w:tcPr>
            <w:tcW w:w="1008" w:type="dxa"/>
            <w:tcBorders>
              <w:top w:val="single" w:sz="4" w:space="0" w:color="000000"/>
              <w:left w:val="single" w:sz="4"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303"/>
        </w:trPr>
        <w:tc>
          <w:tcPr>
            <w:tcW w:w="9576" w:type="dxa"/>
            <w:gridSpan w:val="4"/>
            <w:tcBorders>
              <w:top w:val="nil"/>
              <w:left w:val="single" w:sz="8" w:space="0" w:color="000000"/>
              <w:bottom w:val="nil"/>
              <w:right w:val="single" w:sz="8" w:space="0" w:color="000000"/>
            </w:tcBorders>
            <w:shd w:val="clear" w:color="auto" w:fill="auto"/>
            <w:noWrap/>
            <w:tcMar>
              <w:top w:w="12" w:type="dxa"/>
              <w:left w:w="12" w:type="dxa"/>
              <w:right w:w="12" w:type="dxa"/>
            </w:tcMar>
            <w:vAlign w:val="center"/>
          </w:tcPr>
          <w:p w:rsidR="00A02D10" w:rsidRDefault="00612159">
            <w:pP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其他一级资本</w:t>
            </w:r>
            <w:r>
              <w:rPr>
                <w:rFonts w:ascii="仿宋_GB2312" w:eastAsia="仿宋_GB2312" w:hAnsi="宋体" w:cs="仿宋_GB2312"/>
                <w:b/>
                <w:color w:val="000000"/>
                <w:kern w:val="0"/>
                <w:sz w:val="20"/>
                <w:szCs w:val="20"/>
                <w:lang w:bidi="ar"/>
              </w:rPr>
              <w:t>:</w:t>
            </w:r>
            <w:r>
              <w:rPr>
                <w:rFonts w:ascii="仿宋_GB2312" w:eastAsia="仿宋_GB2312" w:hAnsi="宋体" w:cs="仿宋_GB2312"/>
                <w:b/>
                <w:color w:val="000000"/>
                <w:kern w:val="0"/>
                <w:sz w:val="20"/>
                <w:szCs w:val="20"/>
                <w:lang w:bidi="ar"/>
              </w:rPr>
              <w:t>扣除项</w:t>
            </w:r>
          </w:p>
        </w:tc>
      </w:tr>
      <w:tr w:rsidR="00A02D10">
        <w:trPr>
          <w:trHeight w:val="288"/>
        </w:trPr>
        <w:tc>
          <w:tcPr>
            <w:tcW w:w="936" w:type="dxa"/>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32</w:t>
            </w:r>
          </w:p>
        </w:tc>
        <w:tc>
          <w:tcPr>
            <w:tcW w:w="6276" w:type="dxa"/>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直接或间接持有的本银行其他一级资本</w:t>
            </w:r>
          </w:p>
        </w:tc>
        <w:tc>
          <w:tcPr>
            <w:tcW w:w="1356" w:type="dxa"/>
            <w:tcBorders>
              <w:top w:val="single" w:sz="8"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8"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1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33</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银行间或银行与其他金融机构间通过协议相互持有的其他一级资本</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7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34</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对未并表金融机构小额少数资本投资中的其他一级资本中应扣除金额</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194"/>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35</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对未并表金融机构大额少数资本投资中的其他一级资本中应扣除金额</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36</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其他应在其他一级资本中扣除的项目合计</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37</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应从二级资本中扣除的未扣缺口</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38</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其他一级资本扣除项总和</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39</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其他一级资本净额</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303"/>
        </w:trPr>
        <w:tc>
          <w:tcPr>
            <w:tcW w:w="936" w:type="dxa"/>
            <w:tcBorders>
              <w:top w:val="single" w:sz="4"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40</w:t>
            </w:r>
          </w:p>
        </w:tc>
        <w:tc>
          <w:tcPr>
            <w:tcW w:w="6276" w:type="dxa"/>
            <w:tcBorders>
              <w:top w:val="single" w:sz="4"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一级资本净额</w:t>
            </w:r>
          </w:p>
        </w:tc>
        <w:tc>
          <w:tcPr>
            <w:tcW w:w="1356" w:type="dxa"/>
            <w:tcBorders>
              <w:top w:val="single" w:sz="4" w:space="0" w:color="000000"/>
              <w:left w:val="single" w:sz="8" w:space="0" w:color="000000"/>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179754.59</w:t>
            </w:r>
          </w:p>
        </w:tc>
        <w:tc>
          <w:tcPr>
            <w:tcW w:w="1008" w:type="dxa"/>
            <w:tcBorders>
              <w:top w:val="single" w:sz="4" w:space="0" w:color="000000"/>
              <w:left w:val="single" w:sz="4"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303"/>
        </w:trPr>
        <w:tc>
          <w:tcPr>
            <w:tcW w:w="9576" w:type="dxa"/>
            <w:gridSpan w:val="4"/>
            <w:tcBorders>
              <w:top w:val="nil"/>
              <w:left w:val="single" w:sz="8" w:space="0" w:color="000000"/>
              <w:bottom w:val="nil"/>
              <w:right w:val="single" w:sz="8" w:space="0" w:color="000000"/>
            </w:tcBorders>
            <w:shd w:val="clear" w:color="auto" w:fill="auto"/>
            <w:noWrap/>
            <w:tcMar>
              <w:top w:w="12" w:type="dxa"/>
              <w:left w:w="12" w:type="dxa"/>
              <w:right w:w="12" w:type="dxa"/>
            </w:tcMar>
            <w:vAlign w:val="center"/>
          </w:tcPr>
          <w:p w:rsidR="00A02D10" w:rsidRDefault="00612159">
            <w:pP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二级资本</w:t>
            </w:r>
          </w:p>
        </w:tc>
      </w:tr>
      <w:tr w:rsidR="00A02D10">
        <w:trPr>
          <w:trHeight w:val="288"/>
        </w:trPr>
        <w:tc>
          <w:tcPr>
            <w:tcW w:w="936" w:type="dxa"/>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41</w:t>
            </w:r>
          </w:p>
        </w:tc>
        <w:tc>
          <w:tcPr>
            <w:tcW w:w="6276" w:type="dxa"/>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二级资本工具及其溢价</w:t>
            </w:r>
          </w:p>
        </w:tc>
        <w:tc>
          <w:tcPr>
            <w:tcW w:w="1356" w:type="dxa"/>
            <w:tcBorders>
              <w:top w:val="single" w:sz="8"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8"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42</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少数股东资本可计入部分</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43</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超额损失准备可计入部分</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14953.48</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303"/>
        </w:trPr>
        <w:tc>
          <w:tcPr>
            <w:tcW w:w="936" w:type="dxa"/>
            <w:tcBorders>
              <w:top w:val="single" w:sz="4"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44</w:t>
            </w:r>
          </w:p>
        </w:tc>
        <w:tc>
          <w:tcPr>
            <w:tcW w:w="6276" w:type="dxa"/>
            <w:tcBorders>
              <w:top w:val="single" w:sz="4"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扣除前的二级资本</w:t>
            </w:r>
          </w:p>
        </w:tc>
        <w:tc>
          <w:tcPr>
            <w:tcW w:w="1356" w:type="dxa"/>
            <w:tcBorders>
              <w:top w:val="single" w:sz="4" w:space="0" w:color="000000"/>
              <w:left w:val="single" w:sz="8" w:space="0" w:color="000000"/>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14953.48</w:t>
            </w:r>
          </w:p>
        </w:tc>
        <w:tc>
          <w:tcPr>
            <w:tcW w:w="1008" w:type="dxa"/>
            <w:tcBorders>
              <w:top w:val="single" w:sz="4" w:space="0" w:color="000000"/>
              <w:left w:val="single" w:sz="4"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303"/>
        </w:trPr>
        <w:tc>
          <w:tcPr>
            <w:tcW w:w="9576" w:type="dxa"/>
            <w:gridSpan w:val="4"/>
            <w:tcBorders>
              <w:top w:val="nil"/>
              <w:left w:val="single" w:sz="8" w:space="0" w:color="000000"/>
              <w:bottom w:val="nil"/>
              <w:right w:val="single" w:sz="8" w:space="0" w:color="000000"/>
            </w:tcBorders>
            <w:shd w:val="clear" w:color="auto" w:fill="auto"/>
            <w:noWrap/>
            <w:tcMar>
              <w:top w:w="12" w:type="dxa"/>
              <w:left w:w="12" w:type="dxa"/>
              <w:right w:w="12" w:type="dxa"/>
            </w:tcMar>
            <w:vAlign w:val="center"/>
          </w:tcPr>
          <w:p w:rsidR="00A02D10" w:rsidRDefault="00612159">
            <w:pP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二级资本：扣除项</w:t>
            </w:r>
          </w:p>
        </w:tc>
      </w:tr>
      <w:tr w:rsidR="00A02D10">
        <w:trPr>
          <w:trHeight w:val="288"/>
        </w:trPr>
        <w:tc>
          <w:tcPr>
            <w:tcW w:w="936" w:type="dxa"/>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45</w:t>
            </w:r>
          </w:p>
        </w:tc>
        <w:tc>
          <w:tcPr>
            <w:tcW w:w="6276" w:type="dxa"/>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直接或间接持有的本银行的二级资本</w:t>
            </w:r>
          </w:p>
        </w:tc>
        <w:tc>
          <w:tcPr>
            <w:tcW w:w="1356" w:type="dxa"/>
            <w:tcBorders>
              <w:top w:val="single" w:sz="8"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8"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42"/>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46</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银行间或银行与其他金融机构间通过协议相互持有的其他一级资本</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15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47</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对未并表金融机构小额少数资本投资中的二级资本中应扣除金额</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48</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对未并表金融机构大额少数资本投资中的二级资本</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49</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其他应在二级资本中扣除的项目合计</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50</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二级资本扣除项总和</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51</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二级资本净额</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14953.48</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52</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总资本净额</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194708.07</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303"/>
        </w:trPr>
        <w:tc>
          <w:tcPr>
            <w:tcW w:w="936" w:type="dxa"/>
            <w:tcBorders>
              <w:top w:val="single" w:sz="4"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53</w:t>
            </w:r>
          </w:p>
        </w:tc>
        <w:tc>
          <w:tcPr>
            <w:tcW w:w="6276" w:type="dxa"/>
            <w:tcBorders>
              <w:top w:val="single" w:sz="4"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风险加权资产</w:t>
            </w:r>
          </w:p>
        </w:tc>
        <w:tc>
          <w:tcPr>
            <w:tcW w:w="1356" w:type="dxa"/>
            <w:tcBorders>
              <w:top w:val="single" w:sz="4" w:space="0" w:color="000000"/>
              <w:left w:val="single" w:sz="8" w:space="0" w:color="000000"/>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1336706.92</w:t>
            </w:r>
          </w:p>
        </w:tc>
        <w:tc>
          <w:tcPr>
            <w:tcW w:w="1008" w:type="dxa"/>
            <w:tcBorders>
              <w:top w:val="single" w:sz="4" w:space="0" w:color="000000"/>
              <w:left w:val="single" w:sz="4"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303"/>
        </w:trPr>
        <w:tc>
          <w:tcPr>
            <w:tcW w:w="9576" w:type="dxa"/>
            <w:gridSpan w:val="4"/>
            <w:tcBorders>
              <w:top w:val="nil"/>
              <w:left w:val="single" w:sz="8" w:space="0" w:color="000000"/>
              <w:bottom w:val="nil"/>
              <w:right w:val="single" w:sz="8" w:space="0" w:color="000000"/>
            </w:tcBorders>
            <w:shd w:val="clear" w:color="auto" w:fill="auto"/>
            <w:noWrap/>
            <w:tcMar>
              <w:top w:w="12" w:type="dxa"/>
              <w:left w:w="12" w:type="dxa"/>
              <w:right w:w="12" w:type="dxa"/>
            </w:tcMar>
            <w:vAlign w:val="center"/>
          </w:tcPr>
          <w:p w:rsidR="00A02D10" w:rsidRDefault="00612159">
            <w:pP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资本充足率和其他各级资本要求</w:t>
            </w:r>
          </w:p>
        </w:tc>
      </w:tr>
      <w:tr w:rsidR="00A02D10">
        <w:trPr>
          <w:trHeight w:val="288"/>
        </w:trPr>
        <w:tc>
          <w:tcPr>
            <w:tcW w:w="936" w:type="dxa"/>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54</w:t>
            </w:r>
          </w:p>
        </w:tc>
        <w:tc>
          <w:tcPr>
            <w:tcW w:w="6276" w:type="dxa"/>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核心一级资本充足率</w:t>
            </w:r>
          </w:p>
        </w:tc>
        <w:tc>
          <w:tcPr>
            <w:tcW w:w="1356" w:type="dxa"/>
            <w:tcBorders>
              <w:top w:val="single" w:sz="8"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13.45%</w:t>
            </w:r>
          </w:p>
        </w:tc>
        <w:tc>
          <w:tcPr>
            <w:tcW w:w="1008" w:type="dxa"/>
            <w:tcBorders>
              <w:top w:val="single" w:sz="8"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55</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一级资本充足率</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13.45%</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56</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资本充足率</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14.57%</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57</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其他各级资本要求（</w:t>
            </w:r>
            <w:r>
              <w:rPr>
                <w:rFonts w:ascii="仿宋_GB2312" w:eastAsia="仿宋_GB2312" w:hAnsi="宋体" w:cs="仿宋_GB2312"/>
                <w:b/>
                <w:color w:val="000000"/>
                <w:kern w:val="0"/>
                <w:sz w:val="20"/>
                <w:szCs w:val="20"/>
                <w:lang w:bidi="ar"/>
              </w:rPr>
              <w:t>%</w:t>
            </w:r>
            <w:r>
              <w:rPr>
                <w:rFonts w:ascii="仿宋_GB2312" w:eastAsia="仿宋_GB2312" w:hAnsi="宋体" w:cs="仿宋_GB2312"/>
                <w:b/>
                <w:color w:val="000000"/>
                <w:kern w:val="0"/>
                <w:sz w:val="20"/>
                <w:szCs w:val="20"/>
                <w:lang w:bidi="ar"/>
              </w:rPr>
              <w:t>）</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2.50%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58</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 xml:space="preserve">    </w:t>
            </w:r>
            <w:r>
              <w:rPr>
                <w:rFonts w:ascii="仿宋_GB2312" w:eastAsia="仿宋_GB2312" w:hAnsi="宋体" w:cs="仿宋_GB2312"/>
                <w:color w:val="000000"/>
                <w:kern w:val="0"/>
                <w:sz w:val="20"/>
                <w:szCs w:val="20"/>
                <w:lang w:bidi="ar"/>
              </w:rPr>
              <w:t>其中：储备资本要求</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33417.67</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170"/>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59</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 xml:space="preserve">    </w:t>
            </w:r>
            <w:r>
              <w:rPr>
                <w:rFonts w:ascii="仿宋_GB2312" w:eastAsia="仿宋_GB2312" w:hAnsi="宋体" w:cs="仿宋_GB2312"/>
                <w:color w:val="000000"/>
                <w:kern w:val="0"/>
                <w:sz w:val="20"/>
                <w:szCs w:val="20"/>
                <w:lang w:bidi="ar"/>
              </w:rPr>
              <w:t>其中：逆周期资本要求</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7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60</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 xml:space="preserve">    </w:t>
            </w:r>
            <w:r>
              <w:rPr>
                <w:rFonts w:ascii="仿宋_GB2312" w:eastAsia="仿宋_GB2312" w:hAnsi="宋体" w:cs="仿宋_GB2312"/>
                <w:color w:val="000000"/>
                <w:kern w:val="0"/>
                <w:sz w:val="20"/>
                <w:szCs w:val="20"/>
                <w:lang w:bidi="ar"/>
              </w:rPr>
              <w:t>其中：全球系统重要性银行或国内系统重要性银行附加资本要求</w:t>
            </w:r>
          </w:p>
        </w:tc>
        <w:tc>
          <w:tcPr>
            <w:tcW w:w="1356" w:type="dxa"/>
            <w:tcBorders>
              <w:top w:val="single" w:sz="4" w:space="0" w:color="000000"/>
              <w:left w:val="single" w:sz="8" w:space="0" w:color="000000"/>
              <w:bottom w:val="single" w:sz="4" w:space="0" w:color="000000"/>
              <w:right w:val="single" w:sz="4" w:space="0" w:color="000000"/>
            </w:tcBorders>
            <w:shd w:val="clear" w:color="auto" w:fill="BEBEBE"/>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484"/>
        </w:trPr>
        <w:tc>
          <w:tcPr>
            <w:tcW w:w="936" w:type="dxa"/>
            <w:tcBorders>
              <w:top w:val="single" w:sz="4"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61</w:t>
            </w:r>
          </w:p>
        </w:tc>
        <w:tc>
          <w:tcPr>
            <w:tcW w:w="6276" w:type="dxa"/>
            <w:tcBorders>
              <w:top w:val="single" w:sz="4"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满足最低资本要求后的可用核心一级资本净额占风险加权资产的比例（</w:t>
            </w:r>
            <w:r>
              <w:rPr>
                <w:rFonts w:ascii="仿宋_GB2312" w:eastAsia="仿宋_GB2312" w:hAnsi="宋体" w:cs="仿宋_GB2312"/>
                <w:b/>
                <w:color w:val="000000"/>
                <w:kern w:val="0"/>
                <w:sz w:val="20"/>
                <w:szCs w:val="20"/>
                <w:lang w:bidi="ar"/>
              </w:rPr>
              <w:t>%</w:t>
            </w:r>
            <w:r>
              <w:rPr>
                <w:rFonts w:ascii="仿宋_GB2312" w:eastAsia="仿宋_GB2312" w:hAnsi="宋体" w:cs="仿宋_GB2312"/>
                <w:b/>
                <w:color w:val="000000"/>
                <w:kern w:val="0"/>
                <w:sz w:val="20"/>
                <w:szCs w:val="20"/>
                <w:lang w:bidi="ar"/>
              </w:rPr>
              <w:t>）</w:t>
            </w:r>
          </w:p>
        </w:tc>
        <w:tc>
          <w:tcPr>
            <w:tcW w:w="1356" w:type="dxa"/>
            <w:tcBorders>
              <w:top w:val="single" w:sz="4" w:space="0" w:color="000000"/>
              <w:left w:val="single" w:sz="8" w:space="0" w:color="000000"/>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8.45%</w:t>
            </w:r>
          </w:p>
        </w:tc>
        <w:tc>
          <w:tcPr>
            <w:tcW w:w="1008" w:type="dxa"/>
            <w:tcBorders>
              <w:top w:val="single" w:sz="4" w:space="0" w:color="000000"/>
              <w:left w:val="single" w:sz="4"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303"/>
        </w:trPr>
        <w:tc>
          <w:tcPr>
            <w:tcW w:w="9576" w:type="dxa"/>
            <w:gridSpan w:val="4"/>
            <w:tcBorders>
              <w:top w:val="nil"/>
              <w:left w:val="single" w:sz="8" w:space="0" w:color="000000"/>
              <w:bottom w:val="nil"/>
              <w:right w:val="single" w:sz="8" w:space="0" w:color="000000"/>
            </w:tcBorders>
            <w:shd w:val="clear" w:color="auto" w:fill="auto"/>
            <w:noWrap/>
            <w:tcMar>
              <w:top w:w="12" w:type="dxa"/>
              <w:left w:w="12" w:type="dxa"/>
              <w:right w:w="12" w:type="dxa"/>
            </w:tcMar>
            <w:vAlign w:val="center"/>
          </w:tcPr>
          <w:p w:rsidR="00A02D10" w:rsidRDefault="00612159">
            <w:pP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我国最低监管资本要求</w:t>
            </w:r>
          </w:p>
        </w:tc>
      </w:tr>
      <w:tr w:rsidR="00A02D10">
        <w:trPr>
          <w:trHeight w:val="288"/>
        </w:trPr>
        <w:tc>
          <w:tcPr>
            <w:tcW w:w="936" w:type="dxa"/>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62</w:t>
            </w:r>
          </w:p>
        </w:tc>
        <w:tc>
          <w:tcPr>
            <w:tcW w:w="6276" w:type="dxa"/>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核心一级资本充足率</w:t>
            </w:r>
          </w:p>
        </w:tc>
        <w:tc>
          <w:tcPr>
            <w:tcW w:w="1356" w:type="dxa"/>
            <w:tcBorders>
              <w:top w:val="single" w:sz="8"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5%</w:t>
            </w:r>
          </w:p>
        </w:tc>
        <w:tc>
          <w:tcPr>
            <w:tcW w:w="1008" w:type="dxa"/>
            <w:tcBorders>
              <w:top w:val="single" w:sz="8"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63</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一级资本充足率</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6%</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303"/>
        </w:trPr>
        <w:tc>
          <w:tcPr>
            <w:tcW w:w="936" w:type="dxa"/>
            <w:tcBorders>
              <w:top w:val="single" w:sz="4"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lastRenderedPageBreak/>
              <w:t>64</w:t>
            </w:r>
          </w:p>
        </w:tc>
        <w:tc>
          <w:tcPr>
            <w:tcW w:w="6276" w:type="dxa"/>
            <w:tcBorders>
              <w:top w:val="single" w:sz="4"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资本充足率</w:t>
            </w:r>
          </w:p>
        </w:tc>
        <w:tc>
          <w:tcPr>
            <w:tcW w:w="1356" w:type="dxa"/>
            <w:tcBorders>
              <w:top w:val="single" w:sz="4" w:space="0" w:color="000000"/>
              <w:left w:val="single" w:sz="8" w:space="0" w:color="000000"/>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8%</w:t>
            </w:r>
          </w:p>
        </w:tc>
        <w:tc>
          <w:tcPr>
            <w:tcW w:w="1008" w:type="dxa"/>
            <w:tcBorders>
              <w:top w:val="single" w:sz="4" w:space="0" w:color="000000"/>
              <w:left w:val="single" w:sz="4"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303"/>
        </w:trPr>
        <w:tc>
          <w:tcPr>
            <w:tcW w:w="9576" w:type="dxa"/>
            <w:gridSpan w:val="4"/>
            <w:tcBorders>
              <w:top w:val="nil"/>
              <w:left w:val="single" w:sz="8" w:space="0" w:color="000000"/>
              <w:bottom w:val="nil"/>
              <w:right w:val="single" w:sz="8" w:space="0" w:color="000000"/>
            </w:tcBorders>
            <w:shd w:val="clear" w:color="auto" w:fill="auto"/>
            <w:noWrap/>
            <w:tcMar>
              <w:top w:w="12" w:type="dxa"/>
              <w:left w:w="12" w:type="dxa"/>
              <w:right w:w="12" w:type="dxa"/>
            </w:tcMar>
            <w:vAlign w:val="center"/>
          </w:tcPr>
          <w:p w:rsidR="00A02D10" w:rsidRDefault="00612159">
            <w:pP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门槛扣除项中未扣除部分</w:t>
            </w:r>
          </w:p>
        </w:tc>
      </w:tr>
      <w:tr w:rsidR="00A02D10">
        <w:trPr>
          <w:trHeight w:val="288"/>
        </w:trPr>
        <w:tc>
          <w:tcPr>
            <w:tcW w:w="936" w:type="dxa"/>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65</w:t>
            </w:r>
          </w:p>
        </w:tc>
        <w:tc>
          <w:tcPr>
            <w:tcW w:w="6276" w:type="dxa"/>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对未并表金融机构的小额少数资本投资中未扣除部分</w:t>
            </w:r>
          </w:p>
        </w:tc>
        <w:tc>
          <w:tcPr>
            <w:tcW w:w="1356" w:type="dxa"/>
            <w:tcBorders>
              <w:top w:val="single" w:sz="8"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sz w:val="20"/>
                <w:szCs w:val="20"/>
              </w:rPr>
            </w:pPr>
            <w:r>
              <w:rPr>
                <w:rFonts w:ascii="仿宋_GB2312" w:eastAsia="仿宋_GB2312" w:hAnsi="宋体" w:cs="仿宋_GB2312"/>
                <w:kern w:val="0"/>
                <w:sz w:val="20"/>
                <w:szCs w:val="20"/>
                <w:lang w:bidi="ar"/>
              </w:rPr>
              <w:t>0</w:t>
            </w:r>
          </w:p>
        </w:tc>
        <w:tc>
          <w:tcPr>
            <w:tcW w:w="1008" w:type="dxa"/>
            <w:tcBorders>
              <w:top w:val="single" w:sz="8"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sz w:val="20"/>
                <w:szCs w:val="20"/>
              </w:rPr>
            </w:pPr>
          </w:p>
        </w:tc>
      </w:tr>
      <w:tr w:rsidR="00A02D10">
        <w:trPr>
          <w:trHeight w:val="288"/>
        </w:trPr>
        <w:tc>
          <w:tcPr>
            <w:tcW w:w="93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66</w:t>
            </w:r>
          </w:p>
        </w:tc>
        <w:tc>
          <w:tcPr>
            <w:tcW w:w="6276" w:type="dxa"/>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对未并表金融机构的大额少数资本投资中未扣除部分</w:t>
            </w:r>
          </w:p>
        </w:tc>
        <w:tc>
          <w:tcPr>
            <w:tcW w:w="1356"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sz w:val="20"/>
                <w:szCs w:val="20"/>
              </w:rPr>
            </w:pPr>
            <w:r>
              <w:rPr>
                <w:rFonts w:ascii="仿宋_GB2312" w:eastAsia="仿宋_GB2312" w:hAnsi="宋体" w:cs="仿宋_GB2312"/>
                <w:kern w:val="0"/>
                <w:sz w:val="20"/>
                <w:szCs w:val="20"/>
                <w:lang w:bidi="ar"/>
              </w:rPr>
              <w:t>0</w:t>
            </w:r>
          </w:p>
        </w:tc>
        <w:tc>
          <w:tcPr>
            <w:tcW w:w="1008"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sz w:val="20"/>
                <w:szCs w:val="20"/>
              </w:rPr>
            </w:pPr>
          </w:p>
        </w:tc>
      </w:tr>
      <w:tr w:rsidR="00A02D10">
        <w:trPr>
          <w:trHeight w:val="271"/>
        </w:trPr>
        <w:tc>
          <w:tcPr>
            <w:tcW w:w="936" w:type="dxa"/>
            <w:tcBorders>
              <w:top w:val="single" w:sz="4"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67</w:t>
            </w:r>
          </w:p>
        </w:tc>
        <w:tc>
          <w:tcPr>
            <w:tcW w:w="6276" w:type="dxa"/>
            <w:tcBorders>
              <w:top w:val="single" w:sz="4"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其他依赖于银行未来盈利的净递延税资产（扣除递延税负债）</w:t>
            </w:r>
          </w:p>
        </w:tc>
        <w:tc>
          <w:tcPr>
            <w:tcW w:w="1356" w:type="dxa"/>
            <w:tcBorders>
              <w:top w:val="single" w:sz="4" w:space="0" w:color="000000"/>
              <w:left w:val="single" w:sz="8" w:space="0" w:color="000000"/>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sz w:val="20"/>
                <w:szCs w:val="20"/>
              </w:rPr>
            </w:pPr>
            <w:r>
              <w:rPr>
                <w:rFonts w:ascii="仿宋_GB2312" w:eastAsia="仿宋_GB2312" w:hAnsi="宋体" w:cs="仿宋_GB2312"/>
                <w:kern w:val="0"/>
                <w:sz w:val="20"/>
                <w:szCs w:val="20"/>
                <w:lang w:bidi="ar"/>
              </w:rPr>
              <w:t>0</w:t>
            </w:r>
          </w:p>
        </w:tc>
        <w:tc>
          <w:tcPr>
            <w:tcW w:w="1008" w:type="dxa"/>
            <w:tcBorders>
              <w:top w:val="single" w:sz="4" w:space="0" w:color="000000"/>
              <w:left w:val="single" w:sz="4"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sz w:val="20"/>
                <w:szCs w:val="20"/>
              </w:rPr>
            </w:pPr>
          </w:p>
        </w:tc>
      </w:tr>
      <w:tr w:rsidR="00A02D10">
        <w:trPr>
          <w:trHeight w:val="303"/>
        </w:trPr>
        <w:tc>
          <w:tcPr>
            <w:tcW w:w="9576" w:type="dxa"/>
            <w:gridSpan w:val="4"/>
            <w:tcBorders>
              <w:top w:val="nil"/>
              <w:left w:val="single" w:sz="8" w:space="0" w:color="000000"/>
              <w:bottom w:val="nil"/>
              <w:right w:val="single" w:sz="8" w:space="0" w:color="000000"/>
            </w:tcBorders>
            <w:shd w:val="clear" w:color="auto" w:fill="auto"/>
            <w:noWrap/>
            <w:tcMar>
              <w:top w:w="12" w:type="dxa"/>
              <w:left w:w="12" w:type="dxa"/>
              <w:right w:w="12" w:type="dxa"/>
            </w:tcMar>
            <w:vAlign w:val="center"/>
          </w:tcPr>
          <w:p w:rsidR="00A02D10" w:rsidRDefault="00612159">
            <w:pPr>
              <w:rPr>
                <w:rFonts w:ascii="仿宋_GB2312" w:eastAsia="仿宋_GB2312" w:hAnsi="宋体" w:cs="仿宋_GB2312"/>
                <w:b/>
                <w:color w:val="000000"/>
                <w:sz w:val="20"/>
                <w:szCs w:val="20"/>
              </w:rPr>
            </w:pPr>
            <w:r>
              <w:rPr>
                <w:rFonts w:ascii="仿宋_GB2312" w:eastAsia="仿宋_GB2312" w:hAnsi="宋体" w:cs="仿宋_GB2312"/>
                <w:b/>
                <w:color w:val="000000"/>
                <w:kern w:val="0"/>
                <w:sz w:val="20"/>
                <w:szCs w:val="20"/>
                <w:lang w:bidi="ar"/>
              </w:rPr>
              <w:t>可计入二级资本的超额损失准备的限额</w:t>
            </w:r>
          </w:p>
        </w:tc>
      </w:tr>
      <w:tr w:rsidR="00A02D10">
        <w:trPr>
          <w:trHeight w:val="288"/>
        </w:trPr>
        <w:tc>
          <w:tcPr>
            <w:tcW w:w="936" w:type="dxa"/>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68</w:t>
            </w:r>
          </w:p>
        </w:tc>
        <w:tc>
          <w:tcPr>
            <w:tcW w:w="6276" w:type="dxa"/>
            <w:tcBorders>
              <w:top w:val="single" w:sz="8"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权重法下，实际计提的超额损失准备金额</w:t>
            </w:r>
          </w:p>
        </w:tc>
        <w:tc>
          <w:tcPr>
            <w:tcW w:w="1356" w:type="dxa"/>
            <w:tcBorders>
              <w:top w:val="single" w:sz="8"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84511.99</w:t>
            </w:r>
          </w:p>
        </w:tc>
        <w:tc>
          <w:tcPr>
            <w:tcW w:w="1008" w:type="dxa"/>
            <w:tcBorders>
              <w:top w:val="single" w:sz="8"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r w:rsidR="00A02D10">
        <w:trPr>
          <w:trHeight w:val="303"/>
        </w:trPr>
        <w:tc>
          <w:tcPr>
            <w:tcW w:w="936" w:type="dxa"/>
            <w:tcBorders>
              <w:top w:val="single" w:sz="4"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69</w:t>
            </w:r>
          </w:p>
        </w:tc>
        <w:tc>
          <w:tcPr>
            <w:tcW w:w="6276" w:type="dxa"/>
            <w:tcBorders>
              <w:top w:val="single" w:sz="4"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612159">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权重法下，可计入二级资本超额损失准备的数额</w:t>
            </w:r>
          </w:p>
        </w:tc>
        <w:tc>
          <w:tcPr>
            <w:tcW w:w="1356" w:type="dxa"/>
            <w:tcBorders>
              <w:top w:val="single" w:sz="4" w:space="0" w:color="000000"/>
              <w:left w:val="single" w:sz="8" w:space="0" w:color="000000"/>
              <w:bottom w:val="single" w:sz="8" w:space="0" w:color="000000"/>
              <w:right w:val="single" w:sz="4" w:space="0" w:color="000000"/>
            </w:tcBorders>
            <w:shd w:val="clear" w:color="auto" w:fill="auto"/>
            <w:tcMar>
              <w:top w:w="12" w:type="dxa"/>
              <w:left w:w="12" w:type="dxa"/>
              <w:right w:w="12" w:type="dxa"/>
            </w:tcMar>
            <w:vAlign w:val="center"/>
          </w:tcPr>
          <w:p w:rsidR="00A02D10" w:rsidRDefault="00612159">
            <w:pPr>
              <w:widowControl/>
              <w:jc w:val="righ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14953.48</w:t>
            </w:r>
          </w:p>
        </w:tc>
        <w:tc>
          <w:tcPr>
            <w:tcW w:w="1008" w:type="dxa"/>
            <w:tcBorders>
              <w:top w:val="single" w:sz="4" w:space="0" w:color="000000"/>
              <w:left w:val="single" w:sz="4" w:space="0" w:color="000000"/>
              <w:bottom w:val="single" w:sz="8" w:space="0" w:color="000000"/>
              <w:right w:val="single" w:sz="8" w:space="0" w:color="000000"/>
            </w:tcBorders>
            <w:shd w:val="clear" w:color="auto" w:fill="auto"/>
            <w:tcMar>
              <w:top w:w="12" w:type="dxa"/>
              <w:left w:w="12" w:type="dxa"/>
              <w:right w:w="12" w:type="dxa"/>
            </w:tcMar>
            <w:vAlign w:val="center"/>
          </w:tcPr>
          <w:p w:rsidR="00A02D10" w:rsidRDefault="00A02D10">
            <w:pPr>
              <w:rPr>
                <w:rFonts w:ascii="仿宋_GB2312" w:eastAsia="仿宋_GB2312" w:hAnsi="宋体" w:cs="仿宋_GB2312"/>
                <w:color w:val="000000"/>
                <w:sz w:val="20"/>
                <w:szCs w:val="20"/>
              </w:rPr>
            </w:pPr>
          </w:p>
        </w:tc>
      </w:tr>
    </w:tbl>
    <w:p w:rsidR="00A02D10" w:rsidRDefault="00A02D10">
      <w:pPr>
        <w:spacing w:line="240" w:lineRule="atLeast"/>
        <w:ind w:leftChars="-493" w:left="-1035"/>
        <w:rPr>
          <w:rFonts w:ascii="仿宋" w:eastAsia="仿宋" w:hAnsi="仿宋" w:cs="仿宋"/>
          <w:sz w:val="30"/>
          <w:szCs w:val="30"/>
        </w:rPr>
      </w:pPr>
    </w:p>
    <w:sectPr w:rsidR="00A02D10">
      <w:pgSz w:w="11906" w:h="16838"/>
      <w:pgMar w:top="1440" w:right="1406" w:bottom="1440" w:left="1800"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D10"/>
    <w:rsid w:val="00612159"/>
    <w:rsid w:val="00A02D10"/>
    <w:rsid w:val="11F74A23"/>
    <w:rsid w:val="30B142F1"/>
    <w:rsid w:val="36BD66EB"/>
    <w:rsid w:val="54480A39"/>
    <w:rsid w:val="61AE7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94EBA7-CAE2-4AFB-8501-F35FE418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仿宋_GB2312" w:eastAsia="仿宋_GB2312" w:cs="仿宋_GB2312" w:hint="default"/>
      <w:b/>
      <w:color w:val="000000"/>
      <w:sz w:val="20"/>
      <w:szCs w:val="20"/>
      <w:u w:val="none"/>
    </w:rPr>
  </w:style>
  <w:style w:type="character" w:customStyle="1" w:styleId="font21">
    <w:name w:val="font21"/>
    <w:basedOn w:val="a0"/>
    <w:qFormat/>
    <w:rPr>
      <w:rFonts w:ascii="仿宋_GB2312" w:eastAsia="仿宋_GB2312" w:cs="仿宋_GB2312"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Administrator.MICROSO-AJ83DHL</dc:creator>
  <cp:lastModifiedBy>Administrator</cp:lastModifiedBy>
  <cp:revision>2</cp:revision>
  <cp:lastPrinted>2026-07-11T13:16:00Z</cp:lastPrinted>
  <dcterms:created xsi:type="dcterms:W3CDTF">2026-07-13T04:03:00Z</dcterms:created>
  <dcterms:modified xsi:type="dcterms:W3CDTF">2026-07-13T04:03:00Z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