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z w:val="32"/>
          <w:szCs w:val="32"/>
          <w:highlight w:val="none"/>
          <w:lang w:eastAsia="zh-CN"/>
        </w:rPr>
      </w:pPr>
      <w:r>
        <w:rPr>
          <w:rFonts w:hint="eastAsia" w:ascii="方正大标宋简体" w:hAnsi="宋体" w:eastAsia="方正大标宋简体" w:cs="宋体"/>
          <w:bCs/>
          <w:color w:val="auto"/>
          <w:kern w:val="0"/>
          <w:sz w:val="44"/>
          <w:szCs w:val="44"/>
          <w:highlight w:val="none"/>
          <w:lang w:eastAsia="zh-CN"/>
        </w:rPr>
        <w:t>寻乌</w:t>
      </w:r>
      <w:r>
        <w:rPr>
          <w:rFonts w:hint="eastAsia" w:ascii="方正大标宋简体" w:hAnsi="宋体" w:eastAsia="方正大标宋简体" w:cs="宋体"/>
          <w:bCs/>
          <w:color w:val="auto"/>
          <w:kern w:val="0"/>
          <w:sz w:val="44"/>
          <w:szCs w:val="44"/>
          <w:highlight w:val="none"/>
        </w:rPr>
        <w:t>农商银行202</w:t>
      </w:r>
      <w:r>
        <w:rPr>
          <w:rFonts w:hint="eastAsia" w:ascii="方正大标宋简体" w:hAnsi="宋体" w:eastAsia="方正大标宋简体" w:cs="宋体"/>
          <w:bCs/>
          <w:color w:val="auto"/>
          <w:kern w:val="0"/>
          <w:sz w:val="44"/>
          <w:szCs w:val="44"/>
          <w:highlight w:val="none"/>
          <w:lang w:val="en-US" w:eastAsia="zh-CN"/>
        </w:rPr>
        <w:t>3</w:t>
      </w:r>
      <w:r>
        <w:rPr>
          <w:rFonts w:hint="eastAsia" w:ascii="方正大标宋简体" w:hAnsi="宋体" w:eastAsia="方正大标宋简体" w:cs="宋体"/>
          <w:bCs/>
          <w:color w:val="auto"/>
          <w:kern w:val="0"/>
          <w:sz w:val="44"/>
          <w:szCs w:val="44"/>
          <w:highlight w:val="none"/>
        </w:rPr>
        <w:t>年度信息披露报告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江西寻乌农村商业银行股份有限公司（以下简称“本行”）董事会及董事保证本报告所载资料不存在任何虚假记载、误导性陈述或者重大遗漏，并对其内容的真实性、准确性和完整性承担个别及连带责任。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一、基本情况简介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lang w:val="en-US" w:eastAsia="zh-CN"/>
        </w:rPr>
        <w:t>1.</w:t>
      </w:r>
      <w:r>
        <w:rPr>
          <w:rFonts w:hint="eastAsia" w:ascii="楷体" w:hAnsi="楷体" w:eastAsia="楷体" w:cs="楷体"/>
          <w:b/>
          <w:bCs/>
          <w:color w:val="auto"/>
          <w:sz w:val="32"/>
          <w:szCs w:val="32"/>
          <w:highlight w:val="none"/>
          <w:lang w:eastAsia="zh-CN"/>
        </w:rPr>
        <w:t>法定中文名称：</w:t>
      </w:r>
      <w:r>
        <w:rPr>
          <w:rFonts w:hint="eastAsia" w:ascii="仿宋_GB2312" w:hAnsi="仿宋_GB2312" w:eastAsia="仿宋_GB2312" w:cs="仿宋_GB2312"/>
          <w:color w:val="auto"/>
          <w:sz w:val="32"/>
          <w:szCs w:val="32"/>
          <w:highlight w:val="none"/>
          <w:lang w:eastAsia="zh-CN"/>
        </w:rPr>
        <w:t>江西寻乌农村商业银行股份有限公司，简称：寻乌农商银行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法定英文名称：JIANGXI </w:t>
      </w:r>
      <w:r>
        <w:rPr>
          <w:rFonts w:hint="eastAsia" w:ascii="仿宋_GB2312" w:hAnsi="仿宋_GB2312" w:eastAsia="仿宋_GB2312" w:cs="仿宋_GB2312"/>
          <w:color w:val="auto"/>
          <w:sz w:val="32"/>
          <w:szCs w:val="32"/>
          <w:highlight w:val="none"/>
          <w:lang w:val="en-US" w:eastAsia="zh-CN"/>
        </w:rPr>
        <w:t>XUNWU</w:t>
      </w:r>
      <w:r>
        <w:rPr>
          <w:rFonts w:hint="eastAsia" w:ascii="仿宋_GB2312" w:hAnsi="仿宋_GB2312" w:eastAsia="仿宋_GB2312" w:cs="仿宋_GB2312"/>
          <w:color w:val="auto"/>
          <w:sz w:val="32"/>
          <w:szCs w:val="32"/>
          <w:highlight w:val="none"/>
          <w:lang w:eastAsia="zh-CN"/>
        </w:rPr>
        <w:t xml:space="preserve"> RURAL COMMERCIAL BANK CO.,LTD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2.</w:t>
      </w:r>
      <w:r>
        <w:rPr>
          <w:rFonts w:hint="eastAsia" w:ascii="楷体" w:hAnsi="楷体" w:eastAsia="楷体" w:cs="楷体"/>
          <w:b/>
          <w:bCs/>
          <w:color w:val="auto"/>
          <w:sz w:val="32"/>
          <w:szCs w:val="32"/>
          <w:highlight w:val="none"/>
          <w:lang w:eastAsia="zh-CN"/>
        </w:rPr>
        <w:t>法定代表人：</w:t>
      </w:r>
      <w:r>
        <w:rPr>
          <w:rFonts w:hint="eastAsia" w:ascii="仿宋_GB2312" w:hAnsi="仿宋_GB2312" w:eastAsia="仿宋_GB2312" w:cs="仿宋_GB2312"/>
          <w:color w:val="auto"/>
          <w:sz w:val="32"/>
          <w:szCs w:val="32"/>
          <w:highlight w:val="none"/>
          <w:lang w:val="en-US" w:eastAsia="zh-CN"/>
        </w:rPr>
        <w:t>曾海金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3.</w:t>
      </w:r>
      <w:r>
        <w:rPr>
          <w:rFonts w:hint="eastAsia" w:ascii="楷体" w:hAnsi="楷体" w:eastAsia="楷体" w:cs="楷体"/>
          <w:b/>
          <w:bCs/>
          <w:color w:val="auto"/>
          <w:sz w:val="32"/>
          <w:szCs w:val="32"/>
          <w:highlight w:val="none"/>
          <w:lang w:eastAsia="zh-CN"/>
        </w:rPr>
        <w:t>注册及办公地址：</w:t>
      </w:r>
      <w:r>
        <w:rPr>
          <w:rFonts w:hint="eastAsia" w:ascii="仿宋_GB2312" w:hAnsi="仿宋_GB2312" w:eastAsia="仿宋_GB2312" w:cs="仿宋_GB2312"/>
          <w:color w:val="auto"/>
          <w:sz w:val="32"/>
          <w:szCs w:val="32"/>
          <w:highlight w:val="none"/>
          <w:lang w:eastAsia="zh-CN"/>
        </w:rPr>
        <w:t>江西省赣州市寻乌县长宁镇</w:t>
      </w:r>
      <w:r>
        <w:rPr>
          <w:rFonts w:hint="eastAsia" w:ascii="仿宋_GB2312" w:hAnsi="仿宋_GB2312" w:eastAsia="仿宋_GB2312" w:cs="仿宋_GB2312"/>
          <w:color w:val="auto"/>
          <w:sz w:val="32"/>
          <w:szCs w:val="32"/>
          <w:highlight w:val="none"/>
          <w:lang w:val="en-US" w:eastAsia="zh-CN"/>
        </w:rPr>
        <w:t>滨河东路6号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注册资本:壹亿伍仟壹佰陆拾玖万叁仟肆佰柒拾元整。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首次注册登记日期：2016年6月27日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邮政编码：34</w:t>
      </w:r>
      <w:r>
        <w:rPr>
          <w:rFonts w:hint="eastAsia" w:ascii="仿宋_GB2312" w:hAnsi="仿宋_GB2312" w:eastAsia="仿宋_GB2312" w:cs="仿宋_GB2312"/>
          <w:color w:val="auto"/>
          <w:sz w:val="32"/>
          <w:szCs w:val="32"/>
          <w:highlight w:val="none"/>
          <w:lang w:val="en-US" w:eastAsia="zh-CN"/>
        </w:rPr>
        <w:t>2200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lang w:eastAsia="zh-CN"/>
        </w:rPr>
        <w:t>其他有关资料：</w:t>
      </w:r>
      <w:r>
        <w:rPr>
          <w:rFonts w:hint="eastAsia" w:ascii="仿宋_GB2312" w:hAnsi="仿宋_GB2312" w:eastAsia="仿宋_GB2312" w:cs="仿宋_GB2312"/>
          <w:color w:val="auto"/>
          <w:sz w:val="32"/>
          <w:szCs w:val="32"/>
          <w:highlight w:val="none"/>
          <w:lang w:eastAsia="zh-CN"/>
        </w:rPr>
        <w:t>企业法人营业执照统一社会信用代码：91360700MA35JFX52Y；金融许可证号：B0968H336070001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lang w:val="en-US" w:eastAsia="zh-CN"/>
        </w:rPr>
        <w:t>5.</w:t>
      </w:r>
      <w:r>
        <w:rPr>
          <w:rFonts w:hint="eastAsia" w:ascii="楷体" w:hAnsi="楷体" w:eastAsia="楷体" w:cs="楷体"/>
          <w:b/>
          <w:bCs/>
          <w:color w:val="auto"/>
          <w:sz w:val="32"/>
          <w:szCs w:val="32"/>
          <w:highlight w:val="none"/>
          <w:lang w:eastAsia="zh-CN"/>
        </w:rPr>
        <w:t>经营范围：</w:t>
      </w:r>
      <w:r>
        <w:rPr>
          <w:rFonts w:hint="eastAsia" w:ascii="仿宋_GB2312" w:hAnsi="仿宋_GB2312" w:eastAsia="仿宋_GB2312" w:cs="仿宋_GB2312"/>
          <w:color w:val="auto"/>
          <w:sz w:val="32"/>
          <w:szCs w:val="32"/>
          <w:highlight w:val="none"/>
          <w:lang w:eastAsia="zh-CN"/>
        </w:rPr>
        <w:t>吸收公众存款；发放短期、中期和长期贷款；办理国内结算；办理票据承兑与贴现；代理收付款项及代理保险业务；买卖政府债券、金融债券；从事同业拆借；办理银行卡业务；代理发行、代理兑付、承销政府债券；提供保管箱服务；经银行业监督管理机构批准的其他业务。（依法须经批准的项目，经相关部门批准后方可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二、财务会计报表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val="en-US" w:eastAsia="zh-CN"/>
        </w:rPr>
        <w:t>（二）</w:t>
      </w:r>
      <w:r>
        <w:rPr>
          <w:rFonts w:hint="eastAsia" w:ascii="楷体" w:hAnsi="楷体" w:eastAsia="楷体" w:cs="楷体"/>
          <w:b/>
          <w:bCs/>
          <w:color w:val="auto"/>
          <w:sz w:val="32"/>
          <w:szCs w:val="32"/>
          <w:highlight w:val="none"/>
          <w:lang w:eastAsia="zh-CN"/>
        </w:rPr>
        <w:t>会计报表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1.资产负债表</w:t>
      </w:r>
    </w:p>
    <w:tbl>
      <w:tblPr>
        <w:tblStyle w:val="13"/>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46"/>
        <w:gridCol w:w="272"/>
        <w:gridCol w:w="1114"/>
        <w:gridCol w:w="1072"/>
        <w:gridCol w:w="1659"/>
        <w:gridCol w:w="272"/>
        <w:gridCol w:w="1328"/>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46" w:type="dxa"/>
            <w:shd w:val="clear" w:color="auto" w:fill="auto"/>
            <w:vAlign w:val="bottom"/>
          </w:tcPr>
          <w:p>
            <w:pPr>
              <w:rPr>
                <w:rFonts w:hint="eastAsia" w:ascii="Arial" w:hAnsi="Arial" w:cs="Arial"/>
                <w:i w:val="0"/>
                <w:color w:val="000000"/>
                <w:sz w:val="20"/>
                <w:szCs w:val="20"/>
                <w:u w:val="none"/>
              </w:rPr>
            </w:pPr>
          </w:p>
        </w:tc>
        <w:tc>
          <w:tcPr>
            <w:tcW w:w="272" w:type="dxa"/>
            <w:shd w:val="clear" w:color="auto" w:fill="auto"/>
            <w:vAlign w:val="bottom"/>
          </w:tcPr>
          <w:p>
            <w:pPr>
              <w:rPr>
                <w:rFonts w:hint="default" w:ascii="Arial" w:hAnsi="Arial" w:cs="Arial"/>
                <w:i w:val="0"/>
                <w:color w:val="000000"/>
                <w:sz w:val="20"/>
                <w:szCs w:val="20"/>
                <w:u w:val="none"/>
              </w:rPr>
            </w:pPr>
          </w:p>
        </w:tc>
        <w:tc>
          <w:tcPr>
            <w:tcW w:w="1114" w:type="dxa"/>
            <w:shd w:val="clear" w:color="auto" w:fill="auto"/>
            <w:vAlign w:val="bottom"/>
          </w:tcPr>
          <w:p>
            <w:pPr>
              <w:rPr>
                <w:rFonts w:hint="default" w:ascii="Arial" w:hAnsi="Arial" w:cs="Arial"/>
                <w:i w:val="0"/>
                <w:color w:val="000000"/>
                <w:sz w:val="20"/>
                <w:szCs w:val="20"/>
                <w:u w:val="none"/>
              </w:rPr>
            </w:pPr>
          </w:p>
        </w:tc>
        <w:tc>
          <w:tcPr>
            <w:tcW w:w="1072" w:type="dxa"/>
            <w:shd w:val="clear" w:color="auto" w:fill="auto"/>
            <w:vAlign w:val="bottom"/>
          </w:tcPr>
          <w:p>
            <w:pPr>
              <w:rPr>
                <w:rFonts w:hint="default" w:ascii="Arial" w:hAnsi="Arial" w:cs="Arial"/>
                <w:i w:val="0"/>
                <w:color w:val="000000"/>
                <w:sz w:val="20"/>
                <w:szCs w:val="20"/>
                <w:u w:val="none"/>
              </w:rPr>
            </w:pPr>
          </w:p>
        </w:tc>
        <w:tc>
          <w:tcPr>
            <w:tcW w:w="1659" w:type="dxa"/>
            <w:shd w:val="clear" w:color="auto" w:fill="auto"/>
            <w:vAlign w:val="bottom"/>
          </w:tcPr>
          <w:p>
            <w:pPr>
              <w:rPr>
                <w:rFonts w:hint="default" w:ascii="Arial" w:hAnsi="Arial" w:cs="Arial"/>
                <w:i w:val="0"/>
                <w:color w:val="000000"/>
                <w:sz w:val="20"/>
                <w:szCs w:val="20"/>
                <w:u w:val="none"/>
              </w:rPr>
            </w:pPr>
          </w:p>
        </w:tc>
        <w:tc>
          <w:tcPr>
            <w:tcW w:w="272" w:type="dxa"/>
            <w:shd w:val="clear" w:color="auto" w:fill="auto"/>
            <w:vAlign w:val="bottom"/>
          </w:tcPr>
          <w:p>
            <w:pPr>
              <w:rPr>
                <w:rFonts w:hint="default" w:ascii="Arial" w:hAnsi="Arial" w:cs="Arial"/>
                <w:i w:val="0"/>
                <w:color w:val="000000"/>
                <w:sz w:val="20"/>
                <w:szCs w:val="20"/>
                <w:u w:val="none"/>
              </w:rPr>
            </w:pPr>
          </w:p>
        </w:tc>
        <w:tc>
          <w:tcPr>
            <w:tcW w:w="1328" w:type="dxa"/>
            <w:shd w:val="clear" w:color="auto" w:fill="auto"/>
            <w:vAlign w:val="bottom"/>
          </w:tcPr>
          <w:p>
            <w:pPr>
              <w:rPr>
                <w:rFonts w:hint="default" w:ascii="Arial" w:hAnsi="Arial" w:cs="Arial"/>
                <w:i w:val="0"/>
                <w:color w:val="000000"/>
                <w:sz w:val="20"/>
                <w:szCs w:val="20"/>
                <w:u w:val="none"/>
              </w:rPr>
            </w:pPr>
          </w:p>
        </w:tc>
        <w:tc>
          <w:tcPr>
            <w:tcW w:w="151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银行01表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646" w:type="dxa"/>
            <w:tcBorders>
              <w:bottom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编制单位：江西寻乌农村商业银行股份有限公司</w:t>
            </w:r>
          </w:p>
        </w:tc>
        <w:tc>
          <w:tcPr>
            <w:tcW w:w="272" w:type="dxa"/>
            <w:tcBorders>
              <w:bottom w:val="single" w:color="auto" w:sz="4" w:space="0"/>
            </w:tcBorders>
            <w:shd w:val="clear" w:color="auto" w:fill="auto"/>
            <w:vAlign w:val="bottom"/>
          </w:tcPr>
          <w:p>
            <w:pPr>
              <w:rPr>
                <w:rFonts w:hint="default" w:ascii="Arial" w:hAnsi="Arial" w:cs="Arial"/>
                <w:i w:val="0"/>
                <w:color w:val="000000"/>
                <w:sz w:val="13"/>
                <w:szCs w:val="13"/>
                <w:u w:val="none"/>
              </w:rPr>
            </w:pPr>
          </w:p>
        </w:tc>
        <w:tc>
          <w:tcPr>
            <w:tcW w:w="1114" w:type="dxa"/>
            <w:tcBorders>
              <w:bottom w:val="single" w:color="auto" w:sz="4" w:space="0"/>
            </w:tcBorders>
            <w:shd w:val="clear" w:color="auto" w:fill="auto"/>
            <w:vAlign w:val="bottom"/>
          </w:tcPr>
          <w:p>
            <w:pPr>
              <w:rPr>
                <w:rFonts w:hint="default" w:ascii="Arial" w:hAnsi="Arial" w:cs="Arial"/>
                <w:i w:val="0"/>
                <w:color w:val="000000"/>
                <w:sz w:val="13"/>
                <w:szCs w:val="13"/>
                <w:u w:val="none"/>
              </w:rPr>
            </w:pPr>
          </w:p>
        </w:tc>
        <w:tc>
          <w:tcPr>
            <w:tcW w:w="1072" w:type="dxa"/>
            <w:tcBorders>
              <w:bottom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2023年12月31日</w:t>
            </w:r>
          </w:p>
        </w:tc>
        <w:tc>
          <w:tcPr>
            <w:tcW w:w="1659" w:type="dxa"/>
            <w:tcBorders>
              <w:bottom w:val="single" w:color="auto" w:sz="4" w:space="0"/>
            </w:tcBorders>
            <w:shd w:val="clear" w:color="auto" w:fill="auto"/>
            <w:vAlign w:val="bottom"/>
          </w:tcPr>
          <w:p>
            <w:pPr>
              <w:rPr>
                <w:rFonts w:hint="default" w:ascii="Arial" w:hAnsi="Arial" w:cs="Arial"/>
                <w:i w:val="0"/>
                <w:color w:val="000000"/>
                <w:sz w:val="13"/>
                <w:szCs w:val="13"/>
                <w:u w:val="none"/>
              </w:rPr>
            </w:pPr>
          </w:p>
        </w:tc>
        <w:tc>
          <w:tcPr>
            <w:tcW w:w="272" w:type="dxa"/>
            <w:tcBorders>
              <w:bottom w:val="single" w:color="auto" w:sz="4" w:space="0"/>
            </w:tcBorders>
            <w:shd w:val="clear" w:color="auto" w:fill="auto"/>
            <w:vAlign w:val="bottom"/>
          </w:tcPr>
          <w:p>
            <w:pPr>
              <w:rPr>
                <w:rFonts w:hint="default" w:ascii="Arial" w:hAnsi="Arial" w:cs="Arial"/>
                <w:i w:val="0"/>
                <w:color w:val="000000"/>
                <w:sz w:val="13"/>
                <w:szCs w:val="13"/>
                <w:u w:val="none"/>
              </w:rPr>
            </w:pPr>
          </w:p>
        </w:tc>
        <w:tc>
          <w:tcPr>
            <w:tcW w:w="1328" w:type="dxa"/>
            <w:tcBorders>
              <w:bottom w:val="single" w:color="auto" w:sz="4" w:space="0"/>
            </w:tcBorders>
            <w:shd w:val="clear" w:color="auto" w:fill="auto"/>
            <w:vAlign w:val="bottom"/>
          </w:tcPr>
          <w:p>
            <w:pPr>
              <w:rPr>
                <w:rFonts w:hint="default" w:ascii="Arial" w:hAnsi="Arial" w:cs="Arial"/>
                <w:i w:val="0"/>
                <w:color w:val="000000"/>
                <w:sz w:val="13"/>
                <w:szCs w:val="13"/>
                <w:u w:val="none"/>
              </w:rPr>
            </w:pPr>
          </w:p>
        </w:tc>
        <w:tc>
          <w:tcPr>
            <w:tcW w:w="1512" w:type="dxa"/>
            <w:tcBorders>
              <w:bottom w:val="single" w:color="auto"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111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年初数</w:t>
            </w:r>
          </w:p>
        </w:tc>
        <w:tc>
          <w:tcPr>
            <w:tcW w:w="10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年末数</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1328"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年初数</w:t>
            </w:r>
          </w:p>
        </w:tc>
        <w:tc>
          <w:tcPr>
            <w:tcW w:w="151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资产：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负债：</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现金及银行存款</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57562082.07</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27111595.70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向中央银行借款</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970000000.01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1060000000.00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存放中央银行款项</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330016069.04</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355236630.06</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联行存放款项</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贵金属</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同业及其他金融机构存放款项</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101971666.67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存放联行款项</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拆入资金</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存放同业款项</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310530374.30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283109886.23</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衍生金融负债</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拆出资金</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交易性金融负债</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衍生金融资产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卖出回购金融资产款</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35</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293105512.29</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200008219.18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买入返售金融资产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97028831.49</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396593061.32</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吸收存款</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36</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6378404398.61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6929350162.66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持有待售资产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应付职工薪酬</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37</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12450227.99</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12923727.18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其他应收款</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1805829.00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-1841514.66</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其中：工资、奖金、津贴和补贴</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38</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5951976.89</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6439683.26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发放贷款和垫款</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5939795787.00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6583777548.65</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应交税费</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10767557.57</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744223.52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金融投资</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1527736174.45</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1332749364.87</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持有待售负债</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交易性金融资产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其他应付款</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25979634.20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22597812.06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债权投资</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1506960054.45</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1312156444.87</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租赁负债</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42</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1407278.97</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1052235.48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其他债权投资</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20776120.00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20592920.00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预计负债</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43</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293417.38</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314195.22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其他权益工具投资</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应付债券</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长期股权投资</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139794666.09</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139794666.09</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递延所得税负债</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45</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投资性房地产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其他负债</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46</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9835817.41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3442848.98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固定资产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43628316.14</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41611326.21</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其中：应付股利</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47</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在建工程</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63828275.09</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67988163.23</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负债合计</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48</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7702243844.43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8332405090.95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使用权资产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1288404.86</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885964.78</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所有者权益（或股东权益）：</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无形资产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22713695.58</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22003504.42</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实收资本（或股本）</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49</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151693470.00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151693470.00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商誉</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国家资本</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长期待摊费用</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648397.33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1118615.51</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集体资本</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51</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抵债资产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法人资本</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52</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21404473.00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21404473.00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递延所得税资产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其中：国有法人资本</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53</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其他资产</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2067238.54</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2068841.98</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个人资本</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54</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130288997.00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130288997.00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外商资本</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55</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其他权益工具</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56</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优先股</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永续债</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59</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资本公积</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60</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7939758.61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7939758.61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减：库存股</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61</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其他综合收益</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62</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4668066.71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7400799.71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盈余公积</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134167225.96</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145696092.53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一般风险准备</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64</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212663511.86</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212663511.86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未分配利润</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65</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325068263.41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394408930.73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归属于母公司所有者权益合计</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66</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836200296.55</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919802563.44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少数股东权益</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67</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u w:val="none"/>
              </w:rPr>
            </w:pP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u w:val="none"/>
              </w:rPr>
            </w:pP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所有者权益（或股东权益）合计</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68</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836200296.55</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919802563.44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4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资产总计</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8538444140.98</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9252207654.39</w:t>
            </w:r>
          </w:p>
        </w:tc>
        <w:tc>
          <w:tcPr>
            <w:tcW w:w="165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负债和所有者权益（或股东权益）总计</w:t>
            </w:r>
          </w:p>
        </w:tc>
        <w:tc>
          <w:tcPr>
            <w:tcW w:w="2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69</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8538444140.98</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9252207654.39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2.利润表（损益表）</w:t>
      </w:r>
    </w:p>
    <w:tbl>
      <w:tblPr>
        <w:tblStyle w:val="13"/>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6"/>
        <w:gridCol w:w="242"/>
        <w:gridCol w:w="1141"/>
        <w:gridCol w:w="1152"/>
        <w:gridCol w:w="1764"/>
        <w:gridCol w:w="336"/>
        <w:gridCol w:w="1104"/>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816" w:type="dxa"/>
            <w:shd w:val="clear" w:color="auto" w:fill="auto"/>
            <w:vAlign w:val="bottom"/>
          </w:tcPr>
          <w:p>
            <w:pPr>
              <w:jc w:val="center"/>
              <w:rPr>
                <w:rFonts w:hint="eastAsia" w:ascii="Arial" w:hAnsi="Arial" w:cs="Arial"/>
                <w:i w:val="0"/>
                <w:color w:val="000000"/>
                <w:sz w:val="13"/>
                <w:szCs w:val="13"/>
                <w:u w:val="none"/>
              </w:rPr>
            </w:pPr>
          </w:p>
        </w:tc>
        <w:tc>
          <w:tcPr>
            <w:tcW w:w="242" w:type="dxa"/>
            <w:shd w:val="clear" w:color="auto" w:fill="auto"/>
            <w:vAlign w:val="bottom"/>
          </w:tcPr>
          <w:p>
            <w:pPr>
              <w:jc w:val="center"/>
              <w:rPr>
                <w:rFonts w:hint="default" w:ascii="Arial" w:hAnsi="Arial" w:cs="Arial"/>
                <w:i w:val="0"/>
                <w:color w:val="000000"/>
                <w:sz w:val="13"/>
                <w:szCs w:val="13"/>
                <w:u w:val="none"/>
              </w:rPr>
            </w:pPr>
          </w:p>
        </w:tc>
        <w:tc>
          <w:tcPr>
            <w:tcW w:w="1141" w:type="dxa"/>
            <w:shd w:val="clear" w:color="auto" w:fill="auto"/>
            <w:vAlign w:val="bottom"/>
          </w:tcPr>
          <w:p>
            <w:pPr>
              <w:jc w:val="center"/>
              <w:rPr>
                <w:rFonts w:hint="default" w:ascii="Arial" w:hAnsi="Arial" w:cs="Arial"/>
                <w:i w:val="0"/>
                <w:color w:val="000000"/>
                <w:sz w:val="13"/>
                <w:szCs w:val="13"/>
                <w:u w:val="none"/>
              </w:rPr>
            </w:pPr>
          </w:p>
        </w:tc>
        <w:tc>
          <w:tcPr>
            <w:tcW w:w="1152" w:type="dxa"/>
            <w:shd w:val="clear" w:color="auto" w:fill="auto"/>
            <w:vAlign w:val="bottom"/>
          </w:tcPr>
          <w:p>
            <w:pPr>
              <w:jc w:val="center"/>
              <w:rPr>
                <w:rFonts w:hint="default" w:ascii="Arial" w:hAnsi="Arial" w:cs="Arial"/>
                <w:i w:val="0"/>
                <w:color w:val="000000"/>
                <w:sz w:val="13"/>
                <w:szCs w:val="13"/>
                <w:u w:val="none"/>
              </w:rPr>
            </w:pPr>
          </w:p>
        </w:tc>
        <w:tc>
          <w:tcPr>
            <w:tcW w:w="1764" w:type="dxa"/>
            <w:shd w:val="clear" w:color="auto" w:fill="auto"/>
            <w:vAlign w:val="bottom"/>
          </w:tcPr>
          <w:p>
            <w:pPr>
              <w:jc w:val="center"/>
              <w:rPr>
                <w:rFonts w:hint="default" w:ascii="Arial" w:hAnsi="Arial" w:cs="Arial"/>
                <w:i w:val="0"/>
                <w:color w:val="000000"/>
                <w:sz w:val="13"/>
                <w:szCs w:val="13"/>
                <w:u w:val="none"/>
              </w:rPr>
            </w:pPr>
          </w:p>
        </w:tc>
        <w:tc>
          <w:tcPr>
            <w:tcW w:w="336" w:type="dxa"/>
            <w:shd w:val="clear" w:color="auto" w:fill="auto"/>
            <w:vAlign w:val="bottom"/>
          </w:tcPr>
          <w:p>
            <w:pPr>
              <w:jc w:val="center"/>
              <w:rPr>
                <w:rFonts w:hint="default" w:ascii="Arial" w:hAnsi="Arial" w:cs="Arial"/>
                <w:i w:val="0"/>
                <w:color w:val="000000"/>
                <w:sz w:val="13"/>
                <w:szCs w:val="13"/>
                <w:u w:val="none"/>
              </w:rPr>
            </w:pPr>
          </w:p>
        </w:tc>
        <w:tc>
          <w:tcPr>
            <w:tcW w:w="1104" w:type="dxa"/>
            <w:shd w:val="clear" w:color="auto" w:fill="auto"/>
            <w:vAlign w:val="bottom"/>
          </w:tcPr>
          <w:p>
            <w:pPr>
              <w:jc w:val="center"/>
              <w:rPr>
                <w:rFonts w:hint="default" w:ascii="Arial" w:hAnsi="Arial" w:cs="Arial"/>
                <w:i w:val="0"/>
                <w:color w:val="000000"/>
                <w:sz w:val="13"/>
                <w:szCs w:val="13"/>
                <w:u w:val="none"/>
              </w:rPr>
            </w:pPr>
          </w:p>
        </w:tc>
        <w:tc>
          <w:tcPr>
            <w:tcW w:w="1320"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银行02表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16" w:type="dxa"/>
            <w:tcBorders>
              <w:bottom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编制单位：江西寻乌农村商业银行股份有限公司</w:t>
            </w:r>
          </w:p>
        </w:tc>
        <w:tc>
          <w:tcPr>
            <w:tcW w:w="242" w:type="dxa"/>
            <w:tcBorders>
              <w:bottom w:val="single" w:color="auto" w:sz="4" w:space="0"/>
            </w:tcBorders>
            <w:shd w:val="clear" w:color="auto" w:fill="auto"/>
            <w:vAlign w:val="bottom"/>
          </w:tcPr>
          <w:p>
            <w:pPr>
              <w:jc w:val="center"/>
              <w:rPr>
                <w:rFonts w:hint="default" w:ascii="Arial" w:hAnsi="Arial" w:cs="Arial"/>
                <w:i w:val="0"/>
                <w:color w:val="000000"/>
                <w:sz w:val="13"/>
                <w:szCs w:val="13"/>
                <w:u w:val="none"/>
              </w:rPr>
            </w:pPr>
          </w:p>
        </w:tc>
        <w:tc>
          <w:tcPr>
            <w:tcW w:w="1141" w:type="dxa"/>
            <w:tcBorders>
              <w:bottom w:val="single" w:color="auto" w:sz="4" w:space="0"/>
            </w:tcBorders>
            <w:shd w:val="clear" w:color="auto" w:fill="auto"/>
            <w:vAlign w:val="bottom"/>
          </w:tcPr>
          <w:p>
            <w:pPr>
              <w:jc w:val="center"/>
              <w:rPr>
                <w:rFonts w:hint="default" w:ascii="Arial" w:hAnsi="Arial" w:cs="Arial"/>
                <w:i w:val="0"/>
                <w:color w:val="000000"/>
                <w:sz w:val="13"/>
                <w:szCs w:val="13"/>
                <w:u w:val="none"/>
              </w:rPr>
            </w:pPr>
          </w:p>
        </w:tc>
        <w:tc>
          <w:tcPr>
            <w:tcW w:w="1152" w:type="dxa"/>
            <w:tcBorders>
              <w:bottom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1764" w:type="dxa"/>
            <w:tcBorders>
              <w:bottom w:val="single" w:color="auto" w:sz="4" w:space="0"/>
            </w:tcBorders>
            <w:shd w:val="clear" w:color="auto" w:fill="auto"/>
            <w:vAlign w:val="bottom"/>
          </w:tcPr>
          <w:p>
            <w:pPr>
              <w:jc w:val="center"/>
              <w:rPr>
                <w:rFonts w:hint="default" w:ascii="Arial" w:hAnsi="Arial" w:cs="Arial"/>
                <w:i w:val="0"/>
                <w:color w:val="000000"/>
                <w:sz w:val="13"/>
                <w:szCs w:val="13"/>
                <w:u w:val="none"/>
              </w:rPr>
            </w:pPr>
          </w:p>
        </w:tc>
        <w:tc>
          <w:tcPr>
            <w:tcW w:w="336" w:type="dxa"/>
            <w:tcBorders>
              <w:bottom w:val="single" w:color="auto" w:sz="4" w:space="0"/>
            </w:tcBorders>
            <w:shd w:val="clear" w:color="auto" w:fill="auto"/>
            <w:vAlign w:val="bottom"/>
          </w:tcPr>
          <w:p>
            <w:pPr>
              <w:jc w:val="center"/>
              <w:rPr>
                <w:rFonts w:hint="default" w:ascii="Arial" w:hAnsi="Arial" w:cs="Arial"/>
                <w:i w:val="0"/>
                <w:color w:val="000000"/>
                <w:sz w:val="13"/>
                <w:szCs w:val="13"/>
                <w:u w:val="none"/>
              </w:rPr>
            </w:pPr>
          </w:p>
        </w:tc>
        <w:tc>
          <w:tcPr>
            <w:tcW w:w="1104" w:type="dxa"/>
            <w:tcBorders>
              <w:bottom w:val="single" w:color="auto" w:sz="4" w:space="0"/>
            </w:tcBorders>
            <w:shd w:val="clear" w:color="auto" w:fill="auto"/>
            <w:vAlign w:val="bottom"/>
          </w:tcPr>
          <w:p>
            <w:pPr>
              <w:jc w:val="center"/>
              <w:rPr>
                <w:rFonts w:hint="default" w:ascii="Arial" w:hAnsi="Arial" w:cs="Arial"/>
                <w:i w:val="0"/>
                <w:color w:val="000000"/>
                <w:sz w:val="13"/>
                <w:szCs w:val="13"/>
                <w:u w:val="none"/>
              </w:rPr>
            </w:pPr>
          </w:p>
        </w:tc>
        <w:tc>
          <w:tcPr>
            <w:tcW w:w="1320" w:type="dxa"/>
            <w:tcBorders>
              <w:bottom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114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上年数</w:t>
            </w:r>
          </w:p>
        </w:tc>
        <w:tc>
          <w:tcPr>
            <w:tcW w:w="115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本年数</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110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上年数</w:t>
            </w:r>
          </w:p>
        </w:tc>
        <w:tc>
          <w:tcPr>
            <w:tcW w:w="1320"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一、营业收入</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306173045.33</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322234777.05</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减：营业外支出</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1752708.64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361282.96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（一）利息净收入</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287095857.96</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299617374.98</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四、利润总额（亏损以“-”号填列）</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133184977.06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113209888.02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利息收入</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425954926.77</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430293754.23</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减：所得税费用</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24621208.52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17171007.13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利息支出</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138859068.81</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130676379.25</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五、净利润（亏损以“-”号填列）</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108563768.54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96038880.89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（二）手续费及佣金净收入</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604086.02</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1933590.20</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归属于母公司所有者的净利润</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108563768.54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96038880.89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手续费及佣金收入</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6558715.24</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6858824.94</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少数股东损益</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手续费及佣金支出</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5954629.22</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4925234.74</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六、其他综合收益的税后净额</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-19481358.36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2732733.00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（三）投资收益（损失以“-”号填列）</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17525190.50</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20039285.54</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（一）归属于母公司所有者的其他综合收益的税后净额</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-19481358.36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2732733.00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其中：对联营企业和合营企业的投资收益</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1．以后不能重分类进损益的其他综合收益</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以摊余成本计量的金融资产终止确认产生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的收益</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4966554.31</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13958052.76</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2．以后将重分类进损益的其他综合收益</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-19481358.36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2732733.00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（四）净敞口套期收益（损失以“-”号填列）</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（1）权益法下可转损益的其他综合收益</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（五）公允价值变动收益（损失以“-”号填列）</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（2）其他债权投资公允价值变动</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-5429539.18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85740.94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（六）汇兑收益（损失以“-”号填列）</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（3）金融资产重分类计入其他综合收益的金额</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37</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（七）其他业务收入</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84913.24</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181031.96</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（4）其他债权投资信用损失准备</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-14051819.18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2646992.06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（八）资产处置收益（损失以“-”号填列）</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22997.61</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（5）现金流量套期损益的有效部分</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（九）其他收益</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840000.00</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463494.37</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（6）外币财务报表折算差额</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二、营业支出</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173206195.55</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210013758.35</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（7）其他</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（一）税金及附加</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894600.46</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1379307.94</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（二）归属于少数股东的其他综合收益的税后净额</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（二）业务及管理费</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97735083.29</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94013850.07</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七、综合收益总额</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89082410.18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98771613.89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（三）信用减值损失（转回金额以“-”号填列）</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74497753.94</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114541842.48</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归属于母公司所有者的综合收益总额</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89082410.18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98771613.89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（四）其他资产减值损失（转回金额以“-”号填列）</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归属于少数股东的综合收益总额</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（五）其他业务成本</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78757.86</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78757.86</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八、每股收益：</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1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三、营业利润（亏损以“-”号填列）</w:t>
            </w:r>
          </w:p>
        </w:tc>
        <w:tc>
          <w:tcPr>
            <w:tcW w:w="24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132966849.78</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112221018.70</w:t>
            </w:r>
          </w:p>
        </w:tc>
        <w:tc>
          <w:tcPr>
            <w:tcW w:w="176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（一）基本每股收益</w:t>
            </w:r>
          </w:p>
        </w:tc>
        <w:tc>
          <w:tcPr>
            <w:tcW w:w="33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47</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0.63</w:t>
            </w:r>
          </w:p>
        </w:tc>
      </w:tr>
    </w:tbl>
    <w:p>
      <w:pPr>
        <w:ind w:firstLine="643" w:firstLineChars="200"/>
        <w:rPr>
          <w:rFonts w:hint="eastAsia"/>
          <w:lang w:val="en-US" w:eastAsia="zh-CN"/>
        </w:rPr>
      </w:pPr>
      <w:r>
        <w:rPr>
          <w:rFonts w:hint="eastAsia" w:ascii="仿宋_GB2312" w:hAnsi="仿宋_GB2312" w:eastAsia="仿宋_GB2312" w:cs="仿宋_GB2312"/>
          <w:b/>
          <w:bCs/>
          <w:color w:val="auto"/>
          <w:sz w:val="32"/>
          <w:szCs w:val="32"/>
          <w:highlight w:val="none"/>
          <w:lang w:val="en-US" w:eastAsia="zh-CN"/>
        </w:rPr>
        <w:t>3.现金流量表</w:t>
      </w:r>
    </w:p>
    <w:tbl>
      <w:tblPr>
        <w:tblStyle w:val="13"/>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92"/>
        <w:gridCol w:w="232"/>
        <w:gridCol w:w="1072"/>
        <w:gridCol w:w="1072"/>
        <w:gridCol w:w="1691"/>
        <w:gridCol w:w="232"/>
        <w:gridCol w:w="1480"/>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92" w:type="dxa"/>
            <w:shd w:val="clear" w:color="auto" w:fill="auto"/>
            <w:vAlign w:val="bottom"/>
          </w:tcPr>
          <w:p>
            <w:pPr>
              <w:rPr>
                <w:rFonts w:hint="eastAsia" w:ascii="Arial" w:hAnsi="Arial" w:cs="Arial"/>
                <w:i w:val="0"/>
                <w:color w:val="000000"/>
                <w:sz w:val="13"/>
                <w:szCs w:val="13"/>
                <w:highlight w:val="none"/>
                <w:u w:val="none"/>
              </w:rPr>
            </w:pPr>
          </w:p>
        </w:tc>
        <w:tc>
          <w:tcPr>
            <w:tcW w:w="232" w:type="dxa"/>
            <w:shd w:val="clear" w:color="auto" w:fill="auto"/>
            <w:vAlign w:val="bottom"/>
          </w:tcPr>
          <w:p>
            <w:pPr>
              <w:rPr>
                <w:rFonts w:hint="default" w:ascii="Arial" w:hAnsi="Arial" w:cs="Arial"/>
                <w:i w:val="0"/>
                <w:color w:val="000000"/>
                <w:sz w:val="13"/>
                <w:szCs w:val="13"/>
                <w:highlight w:val="none"/>
                <w:u w:val="none"/>
              </w:rPr>
            </w:pPr>
          </w:p>
        </w:tc>
        <w:tc>
          <w:tcPr>
            <w:tcW w:w="1072" w:type="dxa"/>
            <w:shd w:val="clear" w:color="auto" w:fill="auto"/>
            <w:vAlign w:val="bottom"/>
          </w:tcPr>
          <w:p>
            <w:pPr>
              <w:rPr>
                <w:rFonts w:hint="default" w:ascii="Arial" w:hAnsi="Arial" w:cs="Arial"/>
                <w:i w:val="0"/>
                <w:color w:val="000000"/>
                <w:sz w:val="13"/>
                <w:szCs w:val="13"/>
                <w:highlight w:val="none"/>
                <w:u w:val="none"/>
              </w:rPr>
            </w:pPr>
          </w:p>
        </w:tc>
        <w:tc>
          <w:tcPr>
            <w:tcW w:w="1072" w:type="dxa"/>
            <w:shd w:val="clear" w:color="auto" w:fill="auto"/>
            <w:vAlign w:val="bottom"/>
          </w:tcPr>
          <w:p>
            <w:pPr>
              <w:rPr>
                <w:rFonts w:hint="default" w:ascii="Arial" w:hAnsi="Arial" w:cs="Arial"/>
                <w:i w:val="0"/>
                <w:color w:val="000000"/>
                <w:sz w:val="13"/>
                <w:szCs w:val="13"/>
                <w:highlight w:val="none"/>
                <w:u w:val="none"/>
              </w:rPr>
            </w:pPr>
          </w:p>
        </w:tc>
        <w:tc>
          <w:tcPr>
            <w:tcW w:w="1691" w:type="dxa"/>
            <w:shd w:val="clear" w:color="auto" w:fill="auto"/>
            <w:vAlign w:val="bottom"/>
          </w:tcPr>
          <w:p>
            <w:pPr>
              <w:rPr>
                <w:rFonts w:hint="default" w:ascii="Arial" w:hAnsi="Arial" w:cs="Arial"/>
                <w:i w:val="0"/>
                <w:color w:val="000000"/>
                <w:sz w:val="13"/>
                <w:szCs w:val="13"/>
                <w:highlight w:val="none"/>
                <w:u w:val="none"/>
              </w:rPr>
            </w:pPr>
          </w:p>
        </w:tc>
        <w:tc>
          <w:tcPr>
            <w:tcW w:w="232" w:type="dxa"/>
            <w:shd w:val="clear" w:color="auto" w:fill="auto"/>
            <w:vAlign w:val="bottom"/>
          </w:tcPr>
          <w:p>
            <w:pPr>
              <w:rPr>
                <w:rFonts w:hint="default" w:ascii="Arial" w:hAnsi="Arial" w:cs="Arial"/>
                <w:i w:val="0"/>
                <w:color w:val="000000"/>
                <w:sz w:val="13"/>
                <w:szCs w:val="13"/>
                <w:highlight w:val="none"/>
                <w:u w:val="none"/>
              </w:rPr>
            </w:pPr>
          </w:p>
        </w:tc>
        <w:tc>
          <w:tcPr>
            <w:tcW w:w="1480" w:type="dxa"/>
            <w:shd w:val="clear" w:color="auto" w:fill="auto"/>
            <w:vAlign w:val="bottom"/>
          </w:tcPr>
          <w:p>
            <w:pPr>
              <w:rPr>
                <w:rFonts w:hint="default" w:ascii="Arial" w:hAnsi="Arial" w:cs="Arial"/>
                <w:i w:val="0"/>
                <w:color w:val="000000"/>
                <w:sz w:val="13"/>
                <w:szCs w:val="13"/>
                <w:highlight w:val="none"/>
                <w:u w:val="none"/>
              </w:rPr>
            </w:pPr>
          </w:p>
        </w:tc>
        <w:tc>
          <w:tcPr>
            <w:tcW w:w="1404"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银行03表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692" w:type="dxa"/>
            <w:tcBorders>
              <w:bottom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编制单位：江西寻乌农村商业银行股份有限公司</w:t>
            </w:r>
          </w:p>
        </w:tc>
        <w:tc>
          <w:tcPr>
            <w:tcW w:w="232" w:type="dxa"/>
            <w:tcBorders>
              <w:bottom w:val="single" w:color="auto" w:sz="4" w:space="0"/>
            </w:tcBorders>
            <w:shd w:val="clear" w:color="auto" w:fill="auto"/>
            <w:vAlign w:val="bottom"/>
          </w:tcPr>
          <w:p>
            <w:pPr>
              <w:rPr>
                <w:rFonts w:hint="default" w:ascii="Arial" w:hAnsi="Arial" w:cs="Arial"/>
                <w:i w:val="0"/>
                <w:color w:val="000000"/>
                <w:sz w:val="13"/>
                <w:szCs w:val="13"/>
                <w:highlight w:val="none"/>
                <w:u w:val="none"/>
              </w:rPr>
            </w:pPr>
          </w:p>
        </w:tc>
        <w:tc>
          <w:tcPr>
            <w:tcW w:w="1072" w:type="dxa"/>
            <w:tcBorders>
              <w:bottom w:val="single" w:color="auto" w:sz="4" w:space="0"/>
            </w:tcBorders>
            <w:shd w:val="clear" w:color="auto" w:fill="auto"/>
            <w:vAlign w:val="bottom"/>
          </w:tcPr>
          <w:p>
            <w:pPr>
              <w:rPr>
                <w:rFonts w:hint="default" w:ascii="Arial" w:hAnsi="Arial" w:cs="Arial"/>
                <w:i w:val="0"/>
                <w:color w:val="000000"/>
                <w:sz w:val="13"/>
                <w:szCs w:val="13"/>
                <w:highlight w:val="none"/>
                <w:u w:val="none"/>
              </w:rPr>
            </w:pPr>
          </w:p>
        </w:tc>
        <w:tc>
          <w:tcPr>
            <w:tcW w:w="1072" w:type="dxa"/>
            <w:tcBorders>
              <w:bottom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2023年度</w:t>
            </w:r>
          </w:p>
        </w:tc>
        <w:tc>
          <w:tcPr>
            <w:tcW w:w="1691" w:type="dxa"/>
            <w:tcBorders>
              <w:bottom w:val="single" w:color="auto" w:sz="4" w:space="0"/>
            </w:tcBorders>
            <w:shd w:val="clear" w:color="auto" w:fill="auto"/>
            <w:vAlign w:val="bottom"/>
          </w:tcPr>
          <w:p>
            <w:pPr>
              <w:rPr>
                <w:rFonts w:hint="default" w:ascii="Arial" w:hAnsi="Arial" w:cs="Arial"/>
                <w:i w:val="0"/>
                <w:color w:val="000000"/>
                <w:sz w:val="13"/>
                <w:szCs w:val="13"/>
                <w:highlight w:val="none"/>
                <w:u w:val="none"/>
              </w:rPr>
            </w:pPr>
          </w:p>
        </w:tc>
        <w:tc>
          <w:tcPr>
            <w:tcW w:w="232" w:type="dxa"/>
            <w:tcBorders>
              <w:bottom w:val="single" w:color="auto" w:sz="4" w:space="0"/>
            </w:tcBorders>
            <w:shd w:val="clear" w:color="auto" w:fill="auto"/>
            <w:vAlign w:val="bottom"/>
          </w:tcPr>
          <w:p>
            <w:pPr>
              <w:rPr>
                <w:rFonts w:hint="default" w:ascii="Arial" w:hAnsi="Arial" w:cs="Arial"/>
                <w:i w:val="0"/>
                <w:color w:val="000000"/>
                <w:sz w:val="13"/>
                <w:szCs w:val="13"/>
                <w:highlight w:val="none"/>
                <w:u w:val="none"/>
              </w:rPr>
            </w:pPr>
          </w:p>
        </w:tc>
        <w:tc>
          <w:tcPr>
            <w:tcW w:w="1480" w:type="dxa"/>
            <w:tcBorders>
              <w:bottom w:val="single" w:color="auto" w:sz="4" w:space="0"/>
            </w:tcBorders>
            <w:shd w:val="clear" w:color="auto" w:fill="auto"/>
            <w:vAlign w:val="bottom"/>
          </w:tcPr>
          <w:p>
            <w:pPr>
              <w:rPr>
                <w:rFonts w:hint="default" w:ascii="Arial" w:hAnsi="Arial" w:cs="Arial"/>
                <w:i w:val="0"/>
                <w:color w:val="000000"/>
                <w:sz w:val="13"/>
                <w:szCs w:val="13"/>
                <w:highlight w:val="none"/>
                <w:u w:val="none"/>
              </w:rPr>
            </w:pPr>
          </w:p>
        </w:tc>
        <w:tc>
          <w:tcPr>
            <w:tcW w:w="1404" w:type="dxa"/>
            <w:tcBorders>
              <w:bottom w:val="single" w:color="auto"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项目</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行次</w:t>
            </w:r>
          </w:p>
        </w:tc>
        <w:tc>
          <w:tcPr>
            <w:tcW w:w="10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上年数</w:t>
            </w:r>
          </w:p>
        </w:tc>
        <w:tc>
          <w:tcPr>
            <w:tcW w:w="107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本年数</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项目</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行次</w:t>
            </w:r>
          </w:p>
        </w:tc>
        <w:tc>
          <w:tcPr>
            <w:tcW w:w="1480"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上年数</w:t>
            </w:r>
          </w:p>
        </w:tc>
        <w:tc>
          <w:tcPr>
            <w:tcW w:w="140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一、经营活动产生的现金流量：</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购建固定资产、无形资产和其他长期资产支付的现金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22</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17415662.73</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9983959.79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客户存款和同业存放款项净增加额</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535776592.20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622150509.11</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支付其他与投资活动有关的现金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23</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向中央银行借款净增加额</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-351924700.00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90000000.00</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投资活动现金流出小计</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1662327285.02</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3226959050.75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向其他金融机构拆入资金净增加额</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4</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-160000000.00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投资活动产生的现金流量净额</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25</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117995836.94</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181591514.45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收取利息、手续费及佣金的现金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5</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383991511.14</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388618879.92</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三、筹资活动产生的现金流量：</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26</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收到其他与经营活动有关的现金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6</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279486379.08</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-108507060.10</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吸收投资收到的现金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27</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经营活动现金流入小计</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7</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687329782.42</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992262328.93</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其中：子公司吸收少数股东投资收到的现金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28</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客户贷款及垫款净增加额</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8</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651073974.00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643649577.48</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发行债券收到的现金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29</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存放中央银行和同业款项净增加额</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9</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-44909869.96</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18557802.24</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收到其他与筹资活动有关的现金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支付利息、手续费及佣金的现金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117425815.27</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104889353.81</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筹资活动现金流入小计</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31</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支付给职工以及为职工支付的现金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11</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48265504.18</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56720668.61</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偿还债务支付的现金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32</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582140.00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472505.00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支付的各项税费</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12</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10299653.81</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41238215.27</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分配股利、利润或偿付利息支付的现金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33</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18268496.40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15211978.69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支付其他与经营活动有关的现金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132168542.34</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338637823.66</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其中：子公司支付给少数股东的股利、利润</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经营活动现金流出小计</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14</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914323619.64</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1203693441.07</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支付其他与筹资活动有关的现金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35</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经营活动产生的现金流量净额</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15</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-226993837.22</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-211431112.14</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筹资活动现金流出小计</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36</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18850636.40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15684483.69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二、投资活动产生的现金流量：</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16</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筹资活动产生的现金流量净额</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37</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-18850636.40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-15684483.69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收回投资收到的现金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17</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1709270215.99</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3332883092.13</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四、汇率变动对现金及现金等价物的影响</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38</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取得投资收益收到的现金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18</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67299733.83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73721140.16</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五、现金及现金等价物净增加额</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39</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-127848636.68</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-45524081.38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收到其他与投资活动有关的现金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19</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3753172.14</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1946332.91</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加：期初现金及现金等价物余额</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40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294498935.61</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166650298.93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投资活动现金流入小计</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1780323121.96</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3408550565.20</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六、期末现金及现金等价物余额</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41</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166650298.93</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121126217.55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9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投资支付的现金</w:t>
            </w: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21</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1644911622.29</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3216975090.96</w:t>
            </w:r>
          </w:p>
        </w:tc>
        <w:tc>
          <w:tcPr>
            <w:tcW w:w="1691"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3"/>
                <w:szCs w:val="13"/>
                <w:highlight w:val="lightGray"/>
                <w:u w:val="none"/>
              </w:rPr>
            </w:pPr>
          </w:p>
        </w:tc>
        <w:tc>
          <w:tcPr>
            <w:tcW w:w="232"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highlight w:val="none"/>
                <w:u w:val="none"/>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3"/>
                <w:szCs w:val="13"/>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4.所有者权益变动表</w:t>
      </w:r>
    </w:p>
    <w:tbl>
      <w:tblPr>
        <w:tblStyle w:val="13"/>
        <w:tblW w:w="90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2"/>
        <w:gridCol w:w="240"/>
        <w:gridCol w:w="148"/>
        <w:gridCol w:w="406"/>
        <w:gridCol w:w="307"/>
        <w:gridCol w:w="114"/>
        <w:gridCol w:w="193"/>
        <w:gridCol w:w="167"/>
        <w:gridCol w:w="140"/>
        <w:gridCol w:w="208"/>
        <w:gridCol w:w="377"/>
        <w:gridCol w:w="274"/>
        <w:gridCol w:w="464"/>
        <w:gridCol w:w="625"/>
        <w:gridCol w:w="77"/>
        <w:gridCol w:w="610"/>
        <w:gridCol w:w="387"/>
        <w:gridCol w:w="438"/>
        <w:gridCol w:w="559"/>
        <w:gridCol w:w="320"/>
        <w:gridCol w:w="677"/>
        <w:gridCol w:w="153"/>
        <w:gridCol w:w="154"/>
        <w:gridCol w:w="316"/>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2" w:type="dxa"/>
            <w:shd w:val="clear" w:color="auto" w:fill="auto"/>
            <w:vAlign w:val="bottom"/>
          </w:tcPr>
          <w:p>
            <w:pPr>
              <w:rPr>
                <w:rFonts w:hint="eastAsia" w:ascii="宋体" w:hAnsi="宋体" w:eastAsia="宋体" w:cs="宋体"/>
                <w:i w:val="0"/>
                <w:color w:val="000000"/>
                <w:sz w:val="18"/>
                <w:szCs w:val="18"/>
                <w:highlight w:val="none"/>
                <w:u w:val="none"/>
              </w:rPr>
            </w:pPr>
          </w:p>
        </w:tc>
        <w:tc>
          <w:tcPr>
            <w:tcW w:w="388" w:type="dxa"/>
            <w:gridSpan w:val="2"/>
            <w:shd w:val="clear" w:color="auto" w:fill="auto"/>
            <w:vAlign w:val="bottom"/>
          </w:tcPr>
          <w:p>
            <w:pPr>
              <w:rPr>
                <w:rFonts w:hint="default" w:ascii="Arial" w:hAnsi="Arial" w:cs="Arial"/>
                <w:i w:val="0"/>
                <w:color w:val="000000"/>
                <w:sz w:val="20"/>
                <w:szCs w:val="20"/>
                <w:highlight w:val="none"/>
                <w:u w:val="none"/>
              </w:rPr>
            </w:pPr>
          </w:p>
        </w:tc>
        <w:tc>
          <w:tcPr>
            <w:tcW w:w="406" w:type="dxa"/>
            <w:shd w:val="clear" w:color="auto" w:fill="auto"/>
            <w:vAlign w:val="bottom"/>
          </w:tcPr>
          <w:p>
            <w:pPr>
              <w:rPr>
                <w:rFonts w:hint="default" w:ascii="Arial" w:hAnsi="Arial" w:cs="Arial"/>
                <w:i w:val="0"/>
                <w:color w:val="000000"/>
                <w:sz w:val="20"/>
                <w:szCs w:val="20"/>
                <w:highlight w:val="none"/>
                <w:u w:val="none"/>
              </w:rPr>
            </w:pPr>
          </w:p>
        </w:tc>
        <w:tc>
          <w:tcPr>
            <w:tcW w:w="307" w:type="dxa"/>
            <w:shd w:val="clear" w:color="auto" w:fill="auto"/>
            <w:vAlign w:val="bottom"/>
          </w:tcPr>
          <w:p>
            <w:pPr>
              <w:rPr>
                <w:rFonts w:hint="default" w:ascii="Arial" w:hAnsi="Arial" w:cs="Arial"/>
                <w:i w:val="0"/>
                <w:color w:val="000000"/>
                <w:sz w:val="20"/>
                <w:szCs w:val="20"/>
                <w:highlight w:val="none"/>
                <w:u w:val="none"/>
              </w:rPr>
            </w:pPr>
          </w:p>
        </w:tc>
        <w:tc>
          <w:tcPr>
            <w:tcW w:w="307" w:type="dxa"/>
            <w:gridSpan w:val="2"/>
            <w:shd w:val="clear" w:color="auto" w:fill="auto"/>
            <w:vAlign w:val="bottom"/>
          </w:tcPr>
          <w:p>
            <w:pPr>
              <w:rPr>
                <w:rFonts w:hint="default" w:ascii="Arial" w:hAnsi="Arial" w:cs="Arial"/>
                <w:i w:val="0"/>
                <w:color w:val="000000"/>
                <w:sz w:val="20"/>
                <w:szCs w:val="20"/>
                <w:highlight w:val="none"/>
                <w:u w:val="none"/>
              </w:rPr>
            </w:pPr>
          </w:p>
        </w:tc>
        <w:tc>
          <w:tcPr>
            <w:tcW w:w="307" w:type="dxa"/>
            <w:gridSpan w:val="2"/>
            <w:shd w:val="clear" w:color="auto" w:fill="auto"/>
            <w:vAlign w:val="bottom"/>
          </w:tcPr>
          <w:p>
            <w:pPr>
              <w:rPr>
                <w:rFonts w:hint="default" w:ascii="Arial" w:hAnsi="Arial" w:cs="Arial"/>
                <w:i w:val="0"/>
                <w:color w:val="000000"/>
                <w:sz w:val="20"/>
                <w:szCs w:val="20"/>
                <w:highlight w:val="none"/>
                <w:u w:val="none"/>
              </w:rPr>
            </w:pPr>
          </w:p>
        </w:tc>
        <w:tc>
          <w:tcPr>
            <w:tcW w:w="859" w:type="dxa"/>
            <w:gridSpan w:val="3"/>
            <w:shd w:val="clear" w:color="auto" w:fill="auto"/>
            <w:vAlign w:val="bottom"/>
          </w:tcPr>
          <w:p>
            <w:pPr>
              <w:rPr>
                <w:rFonts w:hint="default" w:ascii="Arial" w:hAnsi="Arial" w:cs="Arial"/>
                <w:i w:val="0"/>
                <w:color w:val="000000"/>
                <w:sz w:val="20"/>
                <w:szCs w:val="20"/>
                <w:highlight w:val="none"/>
                <w:u w:val="none"/>
              </w:rPr>
            </w:pPr>
          </w:p>
        </w:tc>
        <w:tc>
          <w:tcPr>
            <w:tcW w:w="1166" w:type="dxa"/>
            <w:gridSpan w:val="3"/>
            <w:shd w:val="clear" w:color="auto" w:fill="auto"/>
            <w:vAlign w:val="bottom"/>
          </w:tcPr>
          <w:p>
            <w:pPr>
              <w:rPr>
                <w:rFonts w:hint="default" w:ascii="Arial" w:hAnsi="Arial" w:cs="Arial"/>
                <w:i w:val="0"/>
                <w:color w:val="000000"/>
                <w:sz w:val="20"/>
                <w:szCs w:val="20"/>
                <w:highlight w:val="none"/>
                <w:u w:val="none"/>
              </w:rPr>
            </w:pPr>
          </w:p>
        </w:tc>
        <w:tc>
          <w:tcPr>
            <w:tcW w:w="997" w:type="dxa"/>
            <w:gridSpan w:val="2"/>
            <w:shd w:val="clear" w:color="auto" w:fill="auto"/>
            <w:vAlign w:val="bottom"/>
          </w:tcPr>
          <w:p>
            <w:pPr>
              <w:rPr>
                <w:rFonts w:hint="default" w:ascii="Arial" w:hAnsi="Arial" w:cs="Arial"/>
                <w:i w:val="0"/>
                <w:color w:val="000000"/>
                <w:sz w:val="20"/>
                <w:szCs w:val="20"/>
                <w:highlight w:val="none"/>
                <w:u w:val="none"/>
              </w:rPr>
            </w:pPr>
            <w:r>
              <w:rPr>
                <w:rFonts w:hint="eastAsia" w:ascii="宋体" w:hAnsi="宋体" w:eastAsia="宋体" w:cs="宋体"/>
                <w:i w:val="0"/>
                <w:color w:val="000000"/>
                <w:kern w:val="0"/>
                <w:sz w:val="18"/>
                <w:szCs w:val="18"/>
                <w:highlight w:val="none"/>
                <w:u w:val="none"/>
                <w:lang w:val="en-US" w:eastAsia="zh-CN" w:bidi="ar"/>
              </w:rPr>
              <w:t>2023年度</w:t>
            </w:r>
          </w:p>
        </w:tc>
        <w:tc>
          <w:tcPr>
            <w:tcW w:w="997" w:type="dxa"/>
            <w:gridSpan w:val="2"/>
            <w:shd w:val="clear" w:color="auto" w:fill="auto"/>
            <w:vAlign w:val="bottom"/>
          </w:tcPr>
          <w:p>
            <w:pPr>
              <w:rPr>
                <w:rFonts w:hint="default" w:ascii="Arial" w:hAnsi="Arial" w:cs="Arial"/>
                <w:i w:val="0"/>
                <w:color w:val="000000"/>
                <w:sz w:val="20"/>
                <w:szCs w:val="20"/>
                <w:highlight w:val="none"/>
                <w:u w:val="none"/>
              </w:rPr>
            </w:pPr>
          </w:p>
        </w:tc>
        <w:tc>
          <w:tcPr>
            <w:tcW w:w="997" w:type="dxa"/>
            <w:gridSpan w:val="2"/>
            <w:shd w:val="clear" w:color="auto" w:fill="auto"/>
            <w:vAlign w:val="bottom"/>
          </w:tcPr>
          <w:p>
            <w:pPr>
              <w:rPr>
                <w:rFonts w:hint="default" w:ascii="Arial" w:hAnsi="Arial" w:cs="Arial"/>
                <w:i w:val="0"/>
                <w:color w:val="000000"/>
                <w:sz w:val="20"/>
                <w:szCs w:val="20"/>
                <w:highlight w:val="none"/>
                <w:u w:val="none"/>
              </w:rPr>
            </w:pPr>
          </w:p>
        </w:tc>
        <w:tc>
          <w:tcPr>
            <w:tcW w:w="307" w:type="dxa"/>
            <w:gridSpan w:val="2"/>
            <w:shd w:val="clear" w:color="auto" w:fill="auto"/>
            <w:vAlign w:val="bottom"/>
          </w:tcPr>
          <w:p>
            <w:pPr>
              <w:rPr>
                <w:rFonts w:hint="default" w:ascii="Arial" w:hAnsi="Arial" w:cs="Arial"/>
                <w:i w:val="0"/>
                <w:color w:val="000000"/>
                <w:sz w:val="20"/>
                <w:szCs w:val="20"/>
                <w:highlight w:val="none"/>
                <w:u w:val="none"/>
              </w:rPr>
            </w:pPr>
          </w:p>
        </w:tc>
        <w:tc>
          <w:tcPr>
            <w:tcW w:w="1156" w:type="dxa"/>
            <w:gridSpan w:val="2"/>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项目</w:t>
            </w:r>
          </w:p>
        </w:tc>
        <w:tc>
          <w:tcPr>
            <w:tcW w:w="388" w:type="dxa"/>
            <w:gridSpan w:val="2"/>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行次</w:t>
            </w:r>
          </w:p>
        </w:tc>
        <w:tc>
          <w:tcPr>
            <w:tcW w:w="7806" w:type="dxa"/>
            <w:gridSpan w:val="22"/>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本年金额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388"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6496" w:type="dxa"/>
            <w:gridSpan w:val="19"/>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归属于母公司所有者权益</w:t>
            </w:r>
          </w:p>
        </w:tc>
        <w:tc>
          <w:tcPr>
            <w:tcW w:w="470"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少数股东权益</w:t>
            </w:r>
          </w:p>
        </w:tc>
        <w:tc>
          <w:tcPr>
            <w:tcW w:w="84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所有者权益合计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240" w:type="dxa"/>
            <w:vMerge w:val="restart"/>
            <w:tcBorders>
              <w:top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975" w:type="dxa"/>
            <w:gridSpan w:val="4"/>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实收资本 </w:t>
            </w:r>
            <w:r>
              <w:rPr>
                <w:rFonts w:hint="eastAsia" w:ascii="宋体" w:hAnsi="宋体" w:eastAsia="宋体" w:cs="宋体"/>
                <w:i w:val="0"/>
                <w:color w:val="000000"/>
                <w:kern w:val="0"/>
                <w:sz w:val="13"/>
                <w:szCs w:val="13"/>
                <w:highlight w:val="lightGray"/>
                <w:u w:val="none"/>
                <w:lang w:val="en-US" w:eastAsia="zh-CN" w:bidi="ar"/>
              </w:rPr>
              <w:br w:type="textWrapping"/>
            </w:r>
            <w:r>
              <w:rPr>
                <w:rFonts w:hint="eastAsia" w:ascii="宋体" w:hAnsi="宋体" w:eastAsia="宋体" w:cs="宋体"/>
                <w:i w:val="0"/>
                <w:color w:val="000000"/>
                <w:kern w:val="0"/>
                <w:sz w:val="13"/>
                <w:szCs w:val="13"/>
                <w:highlight w:val="lightGray"/>
                <w:u w:val="none"/>
                <w:lang w:val="en-US" w:eastAsia="zh-CN" w:bidi="ar"/>
              </w:rPr>
              <w:t>(或股本)</w:t>
            </w:r>
          </w:p>
        </w:tc>
        <w:tc>
          <w:tcPr>
            <w:tcW w:w="1085" w:type="dxa"/>
            <w:gridSpan w:val="5"/>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其他权益工具</w:t>
            </w:r>
          </w:p>
        </w:tc>
        <w:tc>
          <w:tcPr>
            <w:tcW w:w="738"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资本公积</w:t>
            </w:r>
          </w:p>
        </w:tc>
        <w:tc>
          <w:tcPr>
            <w:tcW w:w="62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减：库存股</w:t>
            </w:r>
          </w:p>
        </w:tc>
        <w:tc>
          <w:tcPr>
            <w:tcW w:w="687"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其他综合收益</w:t>
            </w:r>
          </w:p>
        </w:tc>
        <w:tc>
          <w:tcPr>
            <w:tcW w:w="825"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盈余公积</w:t>
            </w:r>
          </w:p>
        </w:tc>
        <w:tc>
          <w:tcPr>
            <w:tcW w:w="879"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一般风险准备</w:t>
            </w:r>
          </w:p>
        </w:tc>
        <w:tc>
          <w:tcPr>
            <w:tcW w:w="830"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未分配利润</w:t>
            </w:r>
          </w:p>
        </w:tc>
        <w:tc>
          <w:tcPr>
            <w:tcW w:w="47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84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24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975" w:type="dxa"/>
            <w:gridSpan w:val="4"/>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36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优先股</w:t>
            </w:r>
          </w:p>
        </w:tc>
        <w:tc>
          <w:tcPr>
            <w:tcW w:w="34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永续债</w:t>
            </w:r>
          </w:p>
        </w:tc>
        <w:tc>
          <w:tcPr>
            <w:tcW w:w="3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其他</w:t>
            </w:r>
          </w:p>
        </w:tc>
        <w:tc>
          <w:tcPr>
            <w:tcW w:w="738"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62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687"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825"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879"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83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47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84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栏   次</w:t>
            </w:r>
          </w:p>
        </w:tc>
        <w:tc>
          <w:tcPr>
            <w:tcW w:w="240"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3"/>
                <w:szCs w:val="13"/>
                <w:highlight w:val="lightGray"/>
                <w:u w:val="none"/>
              </w:rPr>
            </w:pPr>
          </w:p>
        </w:tc>
        <w:tc>
          <w:tcPr>
            <w:tcW w:w="975" w:type="dxa"/>
            <w:gridSpan w:val="4"/>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w:t>
            </w:r>
          </w:p>
        </w:tc>
        <w:tc>
          <w:tcPr>
            <w:tcW w:w="360" w:type="dxa"/>
            <w:gridSpan w:val="2"/>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w:t>
            </w:r>
          </w:p>
        </w:tc>
        <w:tc>
          <w:tcPr>
            <w:tcW w:w="348" w:type="dxa"/>
            <w:gridSpan w:val="2"/>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w:t>
            </w:r>
          </w:p>
        </w:tc>
        <w:tc>
          <w:tcPr>
            <w:tcW w:w="377"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4</w:t>
            </w:r>
          </w:p>
        </w:tc>
        <w:tc>
          <w:tcPr>
            <w:tcW w:w="738" w:type="dxa"/>
            <w:gridSpan w:val="2"/>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5</w:t>
            </w:r>
          </w:p>
        </w:tc>
        <w:tc>
          <w:tcPr>
            <w:tcW w:w="625"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6</w:t>
            </w:r>
          </w:p>
        </w:tc>
        <w:tc>
          <w:tcPr>
            <w:tcW w:w="687" w:type="dxa"/>
            <w:gridSpan w:val="2"/>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7</w:t>
            </w:r>
          </w:p>
        </w:tc>
        <w:tc>
          <w:tcPr>
            <w:tcW w:w="825" w:type="dxa"/>
            <w:gridSpan w:val="2"/>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8</w:t>
            </w:r>
          </w:p>
        </w:tc>
        <w:tc>
          <w:tcPr>
            <w:tcW w:w="879" w:type="dxa"/>
            <w:gridSpan w:val="2"/>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9</w:t>
            </w:r>
          </w:p>
        </w:tc>
        <w:tc>
          <w:tcPr>
            <w:tcW w:w="830" w:type="dxa"/>
            <w:gridSpan w:val="2"/>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10</w:t>
            </w:r>
          </w:p>
        </w:tc>
        <w:tc>
          <w:tcPr>
            <w:tcW w:w="470" w:type="dxa"/>
            <w:gridSpan w:val="2"/>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11</w:t>
            </w:r>
          </w:p>
        </w:tc>
        <w:tc>
          <w:tcPr>
            <w:tcW w:w="840"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一、上年年末余额</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151693470.00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7939758.61</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4668066.71</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134167225.96</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212663511.86</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325068263.41</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836200296.55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加：会计政策变更</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    前期差错更正</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二、本年年初余额</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4</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151693470.00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7939758.61</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4668066.71</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134167225.96</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212663511.86</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325068263.41</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836200296.55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三、本年增减变动金额（减少以“-”号填列）</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5</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2732733.00</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11528866.57</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69340667.32</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83602266.89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（一）综合收益总额</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6</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2732733.00</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96038880.89</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98771613.89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（二）所有者投入和减少资本</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7</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1．所有者投入的普通股</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8</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2．其他权益工具持有者投入资本</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9</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3．股份支付计入所有者权益的金额</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10</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4．其他</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11</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（三）利润分配</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12</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11528866.57</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-26698213.57</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-15169347.00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1．提取盈余公积</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13</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11528866.57</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-11528866.57</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2．提取一般风险准备</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14</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3．对所有者（或股东）的分配</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15</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-15169347.00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-15169347.00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4．对其他权益工具持有者的分配</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16</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5．其他</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17</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（四）所有者权益内部结转</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18</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1．资本公积转增资本（或股本）</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19</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2．盈余公积转增资本（或股本）</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20</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3．盈余公积弥补亏损</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21</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4．一般风险准备弥补亏损</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22</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5．设定受益计划变动额结转留存收益</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23</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 xml:space="preserve">6．其他综合收益结转留存收益 </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24</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7．其他</w:t>
            </w:r>
          </w:p>
        </w:tc>
        <w:tc>
          <w:tcPr>
            <w:tcW w:w="240" w:type="dxa"/>
            <w:tcBorders>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25</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2" w:type="dxa"/>
            <w:tcBorders>
              <w:left w:val="single" w:color="000000" w:sz="4" w:space="0"/>
              <w:bottom w:val="single" w:color="000000" w:sz="12"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四、本年年末余额</w:t>
            </w:r>
          </w:p>
        </w:tc>
        <w:tc>
          <w:tcPr>
            <w:tcW w:w="240" w:type="dxa"/>
            <w:tcBorders>
              <w:bottom w:val="single" w:color="000000" w:sz="12"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lightGray"/>
                <w:u w:val="none"/>
              </w:rPr>
            </w:pPr>
            <w:r>
              <w:rPr>
                <w:rFonts w:hint="eastAsia" w:ascii="宋体" w:hAnsi="宋体" w:eastAsia="宋体" w:cs="宋体"/>
                <w:i w:val="0"/>
                <w:color w:val="000000"/>
                <w:kern w:val="0"/>
                <w:sz w:val="13"/>
                <w:szCs w:val="13"/>
                <w:highlight w:val="lightGray"/>
                <w:u w:val="none"/>
                <w:lang w:val="en-US" w:eastAsia="zh-CN" w:bidi="ar"/>
              </w:rPr>
              <w:t>26</w:t>
            </w:r>
          </w:p>
        </w:tc>
        <w:tc>
          <w:tcPr>
            <w:tcW w:w="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151693470.00</w:t>
            </w: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7939758.61</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7400799.71</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145696092.53</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212663511.86</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394408930.73</w:t>
            </w:r>
          </w:p>
        </w:tc>
        <w:tc>
          <w:tcPr>
            <w:tcW w:w="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919802563.44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（二）会计报表附注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1.重要会计政策和会计估计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（1）会计报表编制所依据的会计准则、会计年度、记账本位币、记账基础和计价原则</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①遵循相关制度的声明</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财务报表以持续经营假设为基础，根据实际发生的交易和事项，按照《企业会计准则——基本准则》和其他各项具体会计准则、应用指南、企业会计准则解释及其他相关规定（以下统称为“企业会计准则”）编制。</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②会计年度</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本行会计年度自公历1月1日起至12月31日止。</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③记账基础和计量原则</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根据企业会计准则的相关规定，本行会计核算以权责发生制为基础。除某些金融工具外，本财务报表均以历史成本为计量基础。资产如果发生减值，则按照相关规定计提相应的减值准备。</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④记账本位币及列报货币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本行的记账本位币为人民币，编制财务报表采用的货币为人民币。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⑤持续经营</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本行自本报告期末至少12个月内具备持续经营能力，不存在影响持续经营能力的重大事项，编制财务报表所依据的持续经营假设是合理的。</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3" w:firstLineChars="200"/>
        <w:jc w:val="both"/>
        <w:textAlignment w:val="auto"/>
        <w:outlineLvl w:val="9"/>
        <w:rPr>
          <w:rFonts w:hint="eastAsia"/>
          <w:lang w:val="en-US" w:eastAsia="zh-CN"/>
        </w:rPr>
      </w:pPr>
      <w:r>
        <w:rPr>
          <w:rFonts w:hint="eastAsia" w:ascii="仿宋_GB2312" w:hAnsi="仿宋_GB2312" w:eastAsia="仿宋_GB2312" w:cs="仿宋_GB2312"/>
          <w:b/>
          <w:bCs/>
          <w:color w:val="auto"/>
          <w:kern w:val="2"/>
          <w:sz w:val="32"/>
          <w:szCs w:val="32"/>
          <w:highlight w:val="none"/>
          <w:lang w:val="en-US" w:eastAsia="zh-CN" w:bidi="ar-SA"/>
        </w:rPr>
        <w:t>（2）贷款的种类和范围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本行信贷资产包括各项贷款、信用卡透支、贴现资产、贸易融资、垫款，各项贷款包括农户贷款、农村经济组织贷款、农村企业贷款和非农贷款。</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3" w:firstLineChars="200"/>
        <w:jc w:val="both"/>
        <w:textAlignment w:val="auto"/>
        <w:rPr>
          <w:rFonts w:hint="eastAsia"/>
          <w:lang w:val="en-US" w:eastAsia="zh-CN"/>
        </w:rPr>
      </w:pPr>
      <w:r>
        <w:rPr>
          <w:rFonts w:hint="eastAsia" w:ascii="仿宋_GB2312" w:hAnsi="仿宋_GB2312" w:eastAsia="仿宋_GB2312" w:cs="仿宋_GB2312"/>
          <w:b/>
          <w:bCs/>
          <w:color w:val="auto"/>
          <w:kern w:val="2"/>
          <w:sz w:val="32"/>
          <w:szCs w:val="32"/>
          <w:highlight w:val="none"/>
          <w:lang w:val="en-US" w:eastAsia="zh-CN" w:bidi="ar-SA"/>
        </w:rPr>
        <w:t>（3）投资核算方法</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行金融工具初始确认按照公允价值计量。对于以公允价值计量且其变动计入当期损益的金融资产和金融负债，相关交易费用直接计入当期损益；对于其他类别的金融资产或金融负债，相关交易费用计入初始确认金额。因销售产品或提供劳务而产生的、未包含或不考虑重大融资成分的应收账款或应收票据，本行按照预期有权收取的对价金额作为初始确认金额。金融工具的后续计量取决于其分类。</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①金融资产</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I.以摊余成本计量的金融资产。初始确认后，对于该类金融资产采用实际利率法以摊余成本计量。以摊余成本计量且不属于任何套期关系的金融资产所产生的利得或损失，在终止确认、重分类、按照实际利率法摊销或确认减值时，计入当期损益。</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II.以公允价值计量且其变动计入当期损益的金融资产。初始确认后，对于该类金融资产（除属于套期关系的一部分金融资产外），以公允价值进行后续计量，产生的利得或损失（包括利息和股利收入）计入当期损益。</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III.以公允价值计量且其变动计入其他综合收益的债务工具投资。初始确认后，对于该类金融资产以公允价值进行后续计量。采用实际利率法计算的利息、减值损失或利得及汇兑损益计入当期损益，其他利得或损失均计入其他综合收益。终止确认时，将之前计入其他综合收益的累计利得或损失从其他综合收益中转出，计入当期损益。</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IV.指定为公允价值计量且其变动计入其他综合收益的非交易性权益工具投资。初始确认后，对于该类金融资产以公允价值进行后续计量。除获得的股利（属于投资成本收回部分的除外）计入当期损益外，其他相关利得和损失均计入其他综合收益，且后续不转入当期损益。</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②金融负债</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I.以公允价值计量且其变动计入当期损益的金融负债。该类金融负债包括交易性金融负债(含属于金融负债的衍生工具)和指定为以公允价值计量且其变动计入当期损益的金融负债。初始确认后，对于该类金融负债以公允价值进行后续计量，除与套期会计有关外，交易性金融负债公允价值变动形成的利得或损失（包括利息费用）计入当期损益。指定为以公允价值计量且其变动计入当期损益的金融负债的，由企业自身信用风险变动引起的该金融负债公允价值的变动金额，计入其他综合收益，其他公允价值变动计入当期损益。如果对该金融负债的自身信用风险变动的影响计入其他综合收益会造成或扩大损益中的会计错配的，本行将该金融负债的全部利得或损失计入当期损益。</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II.财务担保合同和以低于市场利率贷款的贷款承诺。本行发行或订立的财务担保合同包括开出信用证、开出保函及开出承兑汇票等。当被担保的一方违反债务工具、贷款或其他义务的原始条款或修订条款时，这些财务担保合同为合同持有人遭受的损失提供特定金额的补偿。本行并未承诺以任何低于市场利率的价格发放贷款，也不以支付现金或发行其他金融工具作为贷款承诺的净结算。</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行在初始确认时以公允价值计量，后续以按照依据金融工具的减值原则所确定的损失准备金额以及初始确认金额扣除《企业会计准则第14号——收入》相关规定所确定的累计摊销额后的余额孰高进行后续计量。本行将财务担保合同和贷款承诺的减值准备列报在预计负债中。但如果一项工具同时包含贷款和未使用的承诺，且本行不能把贷款部分与未使用的承诺部分产生的预期信用损失区分开，那么两者的损失准备一并列报在贷款的损失准备中，除非两者的损失准备合计超过了贷款账面余额，则将损失准备列报在预计负债中。</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III.以摊余成本计量的金融负债。初始确认后，对此类金融负债采用实际利率法以摊余成本计量。</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③本行对金融工具的公允价值的确认方法</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公允价值是指市场参与者在计量日发生的有序交易中，出售一项资产所能收到或者转移一项负债所需支付的价格。金融工具存在活跃市场的，本行以活跃市场中的报价确定其公允价值；活跃市场中的报价是指易于定期从交易所、行业协会、定价服务机构等获得的价格，且代表了在有序交易中实际发生的市场交易的价格。如不能满足上述条件，则被视为非活跃市场。金融工具不存在活跃市场的，采用估值技术确定其公允价值。估值技术包括参考市场参与者最近进行的有序交易中使用的价格、参照实质上相同的其他金融工具当前的公允价值、现金流量折现法、期权定价模型及其他市场参与者常用的估值技术等。在估值时，本行采用在当前情况下适用并且有足够可利用数据和其他信息支持的估值技术，选择与市场参与者在相关资产或负债的交易中所考虑的资产或负债特征相一致的输入值。这些估值技术包括使用可观察输入值和/或不可观察输入值，并尽可能优先使用相关可观察输入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（4）计提各项资产减值准备的范围和方法</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贷款损失准备的计提范围及金融企业承担风险和损失的贷款（含抵押、质押、担保等贷款）、银行卡透支、贴现、信用垫款（含银行承兑汇票垫款、信用证垫款、担保垫款等）、进出口押汇、拆出资金、应收融资租赁款等。</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计提贷款损失准备的方法按国家相关规定提取。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（5）收入确认原则和方法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收入是在相关的经济利益很可能流入本行，且有关收入的金额可以可靠地计量时，按以下基准确认：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①利息收入和利息支出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行的利息收入和利息支出为按实际利率法确认的以摊余成本计量及以公允价值计量且其变动计入其他综合收益的金融资产和以摊余成本计量的金融负债产生的利息收入与支出。利息收入根据金融资产账面余额乘以实际利率计算确定，但下列情况除外：I.对于购入或源生的已发生信用减值的金融资产，本行自初始确认起，按照该金融资产的摊余成本和经信用调整的实际利率计算确定其利息收入。II.对于购入或源生发生的未发生信用减值、但在后续期间成为已发生信用减值的金融资产，本行在后续期间，按照该金融资产的摊余成本和实际利率计算确定其利息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②手续费及佣金收入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本行通过在一定期间内持续向客户提供服务收取的手续费及佣金在相应期间内按照履约进度确认收入，其他手续费及佣金于相关交易完成时确认收入。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（6）衍生金融工具的计价方法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本行无衍生金融工具业务。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（7）外币业务和报表折算方法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本行无外币业务。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（8）合并会计报表的编制方法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本行无需编制合并会计报表。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（9）固定资产计价和折旧方法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固定资产指本行为经营管理而持有的，使用寿命超过一个会计年度的有形资产。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固定资产以成本减累计折旧记入资产负债表内。在建工程以成本记入资产负债表内。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外购固定资产的初始成本包括购买价款、相关税费以及使该资产达到预定可使用状态前所发生的可归属于该项资产的费用。自行建造固定资产的初始成本包括工程用物资、直接人工、符合资本化条件的贷款费用和使该项资产达到预定可使用状态前所发生的必要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对于构成固定资产的各组成部分，如果各自具有不同使用寿命或者以不同方式为本行提供经济利益，适用不同折旧率或折旧方法的，本行分别将各组成部分确认为单项固定资产。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对于固定资产的后续支出，包括与更换固定资产某组成部分相关的支出，在符合固定资产确认条件时计入固定资产成本，同时将被替换部分的账面价值扣除；与固定资产日常维护相关的支出在发生时计入当期损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报废或处置固定资产项目所产生的损益为处置所得款项净额与项目账面金额之间的差额，并于报废或处置日在损益中确认。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本行在固定资产使用寿命内对固定资产原价扣除其预计净残值后的金额按年限平均法计提折旧，计入当期损益。各类固定资产的预计使用年限和预计净残值率分别为：</w:t>
      </w:r>
    </w:p>
    <w:p>
      <w:pPr>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 xml:space="preserve">类  别      使用年限（年）   残值率（%）   年折旧率（%） </w:t>
      </w:r>
    </w:p>
    <w:p>
      <w:pPr>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房屋及建筑物        20             4            4.80</w:t>
      </w:r>
    </w:p>
    <w:p>
      <w:pPr>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机器设备            10             4            9.60</w:t>
      </w:r>
    </w:p>
    <w:p>
      <w:pPr>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运输工具             4             4             24</w:t>
      </w:r>
    </w:p>
    <w:p>
      <w:pPr>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电子设备             3             4             32</w:t>
      </w:r>
    </w:p>
    <w:p>
      <w:pPr>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Arial" w:hAnsi="Arial" w:eastAsia="宋体" w:cs="Arial"/>
          <w:spacing w:val="10"/>
          <w:sz w:val="28"/>
          <w:szCs w:val="28"/>
          <w:highlight w:val="lightGray"/>
        </w:rPr>
      </w:pPr>
      <w:r>
        <w:rPr>
          <w:rFonts w:hint="default" w:ascii="仿宋_GB2312" w:hAnsi="仿宋_GB2312" w:eastAsia="仿宋_GB2312" w:cs="仿宋_GB2312"/>
          <w:color w:val="auto"/>
          <w:sz w:val="28"/>
          <w:szCs w:val="28"/>
          <w:highlight w:val="none"/>
          <w:lang w:val="en-US" w:eastAsia="zh-CN"/>
        </w:rPr>
        <w:t>其他固定资产         5             4           19.20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本行至少在每年年度终了对固定资产的使用寿命、预计净残值率和折旧方法进行复核。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在建工程在达到预定可使用状态时转入固定资产或长期待摊费用。在建工程不计提折旧。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（10）无形资产计价及摊销政策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无形资产以成本减累计摊销（仅限于使用寿命有限的无形资产）记入资产负债表内。各项无形资产的摊销年限分别为：</w:t>
      </w:r>
    </w:p>
    <w:p>
      <w:pPr>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资产类别               摊销年限</w:t>
      </w:r>
    </w:p>
    <w:p>
      <w:pPr>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土地使用权               40年</w:t>
      </w:r>
    </w:p>
    <w:p>
      <w:pPr>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软件费                   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（11）长期待摊费用的摊销政策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长期待摊费用按直线法在受益期间内平均摊销。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（12）所得税的会计处理方法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企业所得税采用应付税款法核算。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2.会计政策和会计估计的变更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本行无需披露的会计政策和会计估计的变更事项。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3.或有事项和资产负债表日后事项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本行无需披露的或有事项及资产负债表日后事项。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4.重要资产转让及其出售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zh-CN" w:eastAsia="zh-CN"/>
        </w:rPr>
        <w:t>本行无重要资产转让及出售行为。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关联交易情况</w:t>
      </w:r>
    </w:p>
    <w:p>
      <w:pPr>
        <w:pStyle w:val="3"/>
        <w:keepNext w:val="0"/>
        <w:keepLines w:val="0"/>
        <w:pageBreakBefore w:val="0"/>
        <w:kinsoku/>
        <w:wordWrap/>
        <w:overflowPunct/>
        <w:topLinePunct w:val="0"/>
        <w:bidi w:val="0"/>
        <w:adjustRightInd/>
        <w:snapToGrid/>
        <w:spacing w:line="560" w:lineRule="exact"/>
        <w:ind w:left="0" w:leftChars="0" w:right="0"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（1）关联方与商业银行关系的性质</w:t>
      </w:r>
    </w:p>
    <w:p>
      <w:pPr>
        <w:pStyle w:val="3"/>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关联方包含董事、监事、高级管理人员以及具有大额授信、资产转移、保险资金运用等核心业务审批或决策权的人员、以上人员关联方控制或施加重大影响的法人或非法人组织及其近亲属、持有或控制银行保险机构5%以上股权的，或者持股不足5%但对经营管理有重大影响的法人组织及其董事、监事、高级管理人员等，2023年末，本行关联方</w:t>
      </w:r>
      <w:r>
        <w:rPr>
          <w:rFonts w:hint="eastAsia" w:ascii="仿宋_GB2312" w:hAnsi="仿宋_GB2312" w:eastAsia="仿宋_GB2312" w:cs="仿宋_GB2312"/>
          <w:b w:val="0"/>
          <w:bCs w:val="0"/>
          <w:color w:val="auto"/>
          <w:sz w:val="32"/>
          <w:szCs w:val="32"/>
          <w:highlight w:val="none"/>
          <w:lang w:val="zh-CN"/>
        </w:rPr>
        <w:t>总数</w:t>
      </w:r>
      <w:r>
        <w:rPr>
          <w:rFonts w:hint="eastAsia" w:ascii="仿宋_GB2312" w:hAnsi="仿宋_GB2312" w:eastAsia="仿宋_GB2312" w:cs="仿宋_GB2312"/>
          <w:b w:val="0"/>
          <w:bCs w:val="0"/>
          <w:color w:val="auto"/>
          <w:sz w:val="32"/>
          <w:szCs w:val="32"/>
          <w:highlight w:val="none"/>
          <w:lang w:val="en-US" w:eastAsia="zh-CN"/>
        </w:rPr>
        <w:t>491户</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（2）关联交易的类型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关联交易分为一般关联交易、重大关联交易。一般关联交易指本行与一个关联方之间单笔交易金额占本行资本净额1%以下，且该笔交易发生后本行与该关联方的交易余额占本行资本净额5%以下的交易。重大关联交易指本行与一个关联方之间单笔交易金额占本行资本净额1%以上，或该笔交易发生后与该关联方的交易余额占本行资本净额5%以上的交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截至</w:t>
      </w:r>
      <w:r>
        <w:rPr>
          <w:rFonts w:hint="eastAsia" w:ascii="仿宋_GB2312" w:hAnsi="仿宋_GB2312" w:eastAsia="仿宋_GB2312" w:cs="仿宋_GB2312"/>
          <w:color w:val="auto"/>
          <w:sz w:val="32"/>
          <w:szCs w:val="32"/>
          <w:highlight w:val="none"/>
          <w:lang w:val="en-US" w:eastAsia="zh-CN"/>
        </w:rPr>
        <w:t>2023年末，</w:t>
      </w:r>
      <w:r>
        <w:rPr>
          <w:rFonts w:hint="eastAsia" w:ascii="仿宋_GB2312" w:hAnsi="仿宋_GB2312" w:eastAsia="仿宋_GB2312" w:cs="仿宋_GB2312"/>
          <w:color w:val="auto"/>
          <w:sz w:val="32"/>
          <w:szCs w:val="32"/>
          <w:highlight w:val="none"/>
        </w:rPr>
        <w:t>本行关联方在本行的关联交易</w:t>
      </w:r>
      <w:r>
        <w:rPr>
          <w:rFonts w:hint="eastAsia" w:ascii="仿宋_GB2312" w:hAnsi="仿宋_GB2312" w:eastAsia="仿宋_GB2312" w:cs="仿宋_GB2312"/>
          <w:color w:val="auto"/>
          <w:sz w:val="32"/>
          <w:szCs w:val="32"/>
          <w:highlight w:val="none"/>
          <w:lang w:eastAsia="zh-CN"/>
        </w:rPr>
        <w:t>有授信类关联交易及非授信类关联交易，</w:t>
      </w:r>
      <w:r>
        <w:rPr>
          <w:rFonts w:hint="eastAsia" w:ascii="仿宋_GB2312" w:hAnsi="仿宋_GB2312" w:eastAsia="仿宋_GB2312" w:cs="仿宋_GB2312"/>
          <w:color w:val="auto"/>
          <w:sz w:val="32"/>
          <w:szCs w:val="32"/>
          <w:highlight w:val="none"/>
        </w:rPr>
        <w:t>均为一般关联交易，无重大关联交易情况。</w:t>
      </w:r>
      <w:r>
        <w:rPr>
          <w:rFonts w:hint="eastAsia" w:ascii="仿宋_GB2312" w:hAnsi="仿宋_GB2312" w:eastAsia="仿宋_GB2312" w:cs="仿宋_GB2312"/>
          <w:color w:val="auto"/>
          <w:sz w:val="32"/>
          <w:szCs w:val="32"/>
          <w:highlight w:val="none"/>
          <w:lang w:eastAsia="zh-CN"/>
        </w:rPr>
        <w:t>授信类关联交易为</w:t>
      </w:r>
      <w:r>
        <w:rPr>
          <w:rFonts w:hint="eastAsia" w:ascii="仿宋_GB2312" w:hAnsi="仿宋_GB2312" w:eastAsia="仿宋_GB2312" w:cs="仿宋_GB2312"/>
          <w:color w:val="auto"/>
          <w:sz w:val="32"/>
          <w:szCs w:val="32"/>
          <w:highlight w:val="none"/>
        </w:rPr>
        <w:t>贷款授信</w:t>
      </w:r>
      <w:r>
        <w:rPr>
          <w:rFonts w:hint="eastAsia" w:ascii="仿宋_GB2312" w:hAnsi="仿宋_GB2312" w:eastAsia="仿宋_GB2312" w:cs="仿宋_GB2312"/>
          <w:color w:val="auto"/>
          <w:sz w:val="32"/>
          <w:szCs w:val="32"/>
          <w:highlight w:val="none"/>
          <w:lang w:eastAsia="zh-CN"/>
        </w:rPr>
        <w:t>及贷款承诺</w:t>
      </w:r>
      <w:r>
        <w:rPr>
          <w:rFonts w:hint="eastAsia" w:ascii="仿宋_GB2312" w:hAnsi="仿宋_GB2312" w:eastAsia="仿宋_GB2312" w:cs="仿宋_GB2312"/>
          <w:color w:val="auto"/>
          <w:sz w:val="32"/>
          <w:szCs w:val="32"/>
          <w:highlight w:val="none"/>
        </w:rPr>
        <w:t>，无贸易融资、票据贴现、透支、债券投资、特定目的载体投资、票据承兑、开立信用证、保理、担保，以及其他实质上由商业银行或商业银行发行理财产品承担信用风险的业务等，</w:t>
      </w:r>
      <w:r>
        <w:rPr>
          <w:rFonts w:hint="eastAsia" w:ascii="仿宋_GB2312" w:hAnsi="仿宋_GB2312" w:eastAsia="仿宋_GB2312" w:cs="仿宋_GB2312"/>
          <w:color w:val="auto"/>
          <w:sz w:val="32"/>
          <w:szCs w:val="32"/>
          <w:highlight w:val="none"/>
          <w:lang w:eastAsia="zh-CN"/>
        </w:rPr>
        <w:t>非授信类关联交易只有关联方存入本行的定期存款，无</w:t>
      </w:r>
      <w:r>
        <w:rPr>
          <w:rFonts w:hint="eastAsia" w:ascii="仿宋_GB2312" w:hAnsi="仿宋_GB2312" w:eastAsia="仿宋_GB2312" w:cs="仿宋_GB2312"/>
          <w:color w:val="auto"/>
          <w:sz w:val="32"/>
          <w:szCs w:val="32"/>
          <w:highlight w:val="none"/>
        </w:rPr>
        <w:t>资产转移类关联交易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服务类关联交易</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其他类型关联交易</w:t>
      </w:r>
      <w:r>
        <w:rPr>
          <w:rFonts w:hint="eastAsia" w:ascii="仿宋_GB2312" w:hAnsi="仿宋_GB2312" w:eastAsia="仿宋_GB2312" w:cs="仿宋_GB2312"/>
          <w:color w:val="auto"/>
          <w:sz w:val="32"/>
          <w:szCs w:val="32"/>
          <w:highlight w:val="none"/>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（3）关联交易的金额及相应比例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报告期内，</w:t>
      </w:r>
      <w:r>
        <w:rPr>
          <w:rFonts w:hint="eastAsia" w:ascii="仿宋_GB2312" w:hAnsi="仿宋_GB2312" w:eastAsia="仿宋_GB2312" w:cs="仿宋_GB2312"/>
          <w:color w:val="auto"/>
          <w:sz w:val="32"/>
          <w:szCs w:val="32"/>
          <w:highlight w:val="none"/>
        </w:rPr>
        <w:t>关联交易金额共</w:t>
      </w:r>
      <w:r>
        <w:rPr>
          <w:rFonts w:hint="eastAsia" w:ascii="仿宋_GB2312" w:hAnsi="仿宋_GB2312" w:eastAsia="仿宋_GB2312" w:cs="仿宋_GB2312"/>
          <w:color w:val="auto"/>
          <w:sz w:val="32"/>
          <w:szCs w:val="32"/>
          <w:highlight w:val="none"/>
          <w:lang w:val="en-US" w:eastAsia="zh-CN"/>
        </w:rPr>
        <w:t>4099.50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授信类关联交易</w:t>
      </w:r>
      <w:r>
        <w:rPr>
          <w:rFonts w:hint="eastAsia" w:ascii="仿宋_GB2312" w:hAnsi="仿宋_GB2312" w:eastAsia="仿宋_GB2312" w:cs="仿宋_GB2312"/>
          <w:color w:val="auto"/>
          <w:sz w:val="32"/>
          <w:szCs w:val="32"/>
          <w:highlight w:val="none"/>
          <w:lang w:val="en-US" w:eastAsia="zh-CN"/>
        </w:rPr>
        <w:t>166笔共3946.86万元，非授信类关联交易3笔共152.64万元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其中一般关联交易</w:t>
      </w:r>
      <w:r>
        <w:rPr>
          <w:rFonts w:hint="eastAsia" w:ascii="仿宋_GB2312" w:hAnsi="仿宋_GB2312" w:eastAsia="仿宋_GB2312" w:cs="仿宋_GB2312"/>
          <w:color w:val="auto"/>
          <w:sz w:val="32"/>
          <w:szCs w:val="32"/>
          <w:highlight w:val="none"/>
          <w:lang w:val="en-US" w:eastAsia="zh-CN"/>
        </w:rPr>
        <w:t>169笔</w:t>
      </w:r>
      <w:r>
        <w:rPr>
          <w:rFonts w:hint="eastAsia" w:ascii="仿宋_GB2312" w:hAnsi="仿宋_GB2312" w:eastAsia="仿宋_GB2312" w:cs="仿宋_GB2312"/>
          <w:color w:val="auto"/>
          <w:sz w:val="32"/>
          <w:szCs w:val="32"/>
          <w:highlight w:val="none"/>
        </w:rPr>
        <w:t>金额</w:t>
      </w:r>
      <w:r>
        <w:rPr>
          <w:rFonts w:hint="eastAsia" w:ascii="仿宋_GB2312" w:hAnsi="仿宋_GB2312" w:eastAsia="仿宋_GB2312" w:cs="仿宋_GB2312"/>
          <w:color w:val="auto"/>
          <w:sz w:val="32"/>
          <w:szCs w:val="32"/>
          <w:highlight w:val="none"/>
          <w:lang w:val="en-US" w:eastAsia="zh-CN"/>
        </w:rPr>
        <w:t>4099.50</w:t>
      </w:r>
      <w:r>
        <w:rPr>
          <w:rFonts w:hint="eastAsia" w:ascii="仿宋_GB2312" w:hAnsi="仿宋_GB2312" w:eastAsia="仿宋_GB2312" w:cs="仿宋_GB2312"/>
          <w:color w:val="auto"/>
          <w:sz w:val="32"/>
          <w:szCs w:val="32"/>
          <w:highlight w:val="none"/>
        </w:rPr>
        <w:t>万元、重大关联交易</w:t>
      </w:r>
      <w:r>
        <w:rPr>
          <w:rFonts w:hint="eastAsia" w:ascii="仿宋_GB2312" w:hAnsi="仿宋_GB2312" w:eastAsia="仿宋_GB2312" w:cs="仿宋_GB2312"/>
          <w:color w:val="auto"/>
          <w:sz w:val="32"/>
          <w:szCs w:val="32"/>
          <w:highlight w:val="none"/>
          <w:lang w:val="en-US" w:eastAsia="zh-CN"/>
        </w:rPr>
        <w:t>0笔</w:t>
      </w:r>
      <w:r>
        <w:rPr>
          <w:rFonts w:hint="eastAsia" w:ascii="仿宋_GB2312" w:hAnsi="仿宋_GB2312" w:eastAsia="仿宋_GB2312" w:cs="仿宋_GB2312"/>
          <w:color w:val="auto"/>
          <w:sz w:val="32"/>
          <w:szCs w:val="32"/>
          <w:highlight w:val="none"/>
        </w:rPr>
        <w:t>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本行对最大单个关联方的授信金额</w:t>
      </w:r>
      <w:r>
        <w:rPr>
          <w:rFonts w:hint="eastAsia" w:ascii="仿宋_GB2312" w:hAnsi="仿宋_GB2312" w:eastAsia="仿宋_GB2312" w:cs="仿宋_GB2312"/>
          <w:color w:val="auto"/>
          <w:sz w:val="32"/>
          <w:szCs w:val="32"/>
          <w:highlight w:val="none"/>
          <w:lang w:val="en-US" w:eastAsia="zh-CN"/>
        </w:rPr>
        <w:t>240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color w:val="auto"/>
          <w:sz w:val="32"/>
          <w:szCs w:val="32"/>
          <w:highlight w:val="none"/>
        </w:rPr>
        <w:t>本行资本净额的0.</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对最大</w:t>
      </w:r>
      <w:r>
        <w:rPr>
          <w:rFonts w:hint="eastAsia" w:ascii="仿宋_GB2312" w:hAnsi="仿宋_GB2312" w:eastAsia="仿宋_GB2312" w:cs="仿宋_GB2312"/>
          <w:color w:val="auto"/>
          <w:sz w:val="32"/>
          <w:szCs w:val="32"/>
          <w:highlight w:val="none"/>
        </w:rPr>
        <w:t>单个</w:t>
      </w:r>
      <w:r>
        <w:rPr>
          <w:rFonts w:hint="eastAsia" w:ascii="仿宋_GB2312" w:hAnsi="仿宋_GB2312" w:eastAsia="仿宋_GB2312" w:cs="仿宋_GB2312"/>
          <w:color w:val="auto"/>
          <w:sz w:val="32"/>
          <w:szCs w:val="32"/>
          <w:highlight w:val="none"/>
          <w:lang w:eastAsia="zh-CN"/>
        </w:rPr>
        <w:t>关联集团</w:t>
      </w:r>
      <w:r>
        <w:rPr>
          <w:rFonts w:hint="eastAsia" w:ascii="仿宋_GB2312" w:hAnsi="仿宋_GB2312" w:eastAsia="仿宋_GB2312" w:cs="仿宋_GB2312"/>
          <w:color w:val="auto"/>
          <w:sz w:val="32"/>
          <w:szCs w:val="32"/>
          <w:highlight w:val="none"/>
        </w:rPr>
        <w:t>的授信金额</w:t>
      </w:r>
      <w:r>
        <w:rPr>
          <w:rFonts w:hint="eastAsia" w:ascii="仿宋_GB2312" w:hAnsi="仿宋_GB2312" w:eastAsia="仿宋_GB2312" w:cs="仿宋_GB2312"/>
          <w:color w:val="auto"/>
          <w:sz w:val="32"/>
          <w:szCs w:val="32"/>
          <w:highlight w:val="none"/>
          <w:lang w:val="en-US" w:eastAsia="zh-CN"/>
        </w:rPr>
        <w:t>440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color w:val="auto"/>
          <w:sz w:val="32"/>
          <w:szCs w:val="32"/>
          <w:highlight w:val="none"/>
        </w:rPr>
        <w:t>本行资本净额的0.</w:t>
      </w:r>
      <w:r>
        <w:rPr>
          <w:rFonts w:hint="eastAsia" w:ascii="仿宋_GB2312" w:hAnsi="仿宋_GB2312" w:eastAsia="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rPr>
        <w:t>%；对全部关联方的授信余额3946.86万元，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color w:val="auto"/>
          <w:sz w:val="32"/>
          <w:szCs w:val="32"/>
          <w:highlight w:val="none"/>
        </w:rPr>
        <w:t>本行资本净额的</w:t>
      </w:r>
      <w:r>
        <w:rPr>
          <w:rFonts w:hint="eastAsia" w:ascii="仿宋_GB2312" w:hAnsi="仿宋_GB2312" w:eastAsia="仿宋_GB2312" w:cs="仿宋_GB2312"/>
          <w:color w:val="auto"/>
          <w:sz w:val="32"/>
          <w:szCs w:val="32"/>
          <w:highlight w:val="none"/>
          <w:lang w:val="en-US" w:eastAsia="zh-CN"/>
        </w:rPr>
        <w:t>4.26</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6.会计报表重要项目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green"/>
          <w:lang w:val="en-US" w:eastAsia="zh-CN"/>
        </w:rPr>
      </w:pPr>
      <w:r>
        <w:rPr>
          <w:rFonts w:hint="eastAsia" w:ascii="仿宋_GB2312" w:hAnsi="仿宋_GB2312" w:eastAsia="仿宋_GB2312" w:cs="仿宋_GB2312"/>
          <w:b/>
          <w:bCs/>
          <w:color w:val="auto"/>
          <w:kern w:val="2"/>
          <w:sz w:val="32"/>
          <w:szCs w:val="32"/>
          <w:highlight w:val="none"/>
          <w:lang w:val="en-US" w:eastAsia="zh-CN" w:bidi="ar-SA"/>
        </w:rPr>
        <w:t>（1）存放同业款项</w:t>
      </w:r>
      <w:r>
        <w:rPr>
          <w:rFonts w:hint="eastAsia" w:ascii="仿宋_GB2312" w:hAnsi="仿宋_GB2312" w:eastAsia="仿宋_GB2312" w:cs="仿宋_GB2312"/>
          <w:color w:val="auto"/>
          <w:sz w:val="32"/>
          <w:szCs w:val="32"/>
          <w:highlight w:val="none"/>
          <w:lang w:val="en-US" w:eastAsia="zh-CN"/>
        </w:rPr>
        <w:t>（按存放境内、境外同业披露年初数和期末数，金额单位：人民币/万元，自己设计表格）</w:t>
      </w:r>
    </w:p>
    <w:p>
      <w:pPr>
        <w:pStyle w:val="2"/>
        <w:jc w:val="righ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项目</w:t>
            </w:r>
          </w:p>
        </w:tc>
        <w:tc>
          <w:tcPr>
            <w:tcW w:w="3020"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期初余额</w:t>
            </w:r>
          </w:p>
        </w:tc>
        <w:tc>
          <w:tcPr>
            <w:tcW w:w="3021"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存放境内同业款项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7000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存放境外同业款项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合计</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7000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11000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green"/>
          <w:lang w:val="en-US" w:eastAsia="zh-CN"/>
        </w:rPr>
      </w:pPr>
      <w:r>
        <w:rPr>
          <w:rFonts w:hint="eastAsia" w:ascii="仿宋_GB2312" w:hAnsi="仿宋_GB2312" w:eastAsia="仿宋_GB2312" w:cs="仿宋_GB2312"/>
          <w:b/>
          <w:bCs/>
          <w:color w:val="auto"/>
          <w:kern w:val="2"/>
          <w:sz w:val="32"/>
          <w:szCs w:val="32"/>
          <w:highlight w:val="none"/>
          <w:lang w:val="en-US" w:eastAsia="zh-CN" w:bidi="ar-SA"/>
        </w:rPr>
        <w:t>（2）拆放同业款项</w:t>
      </w:r>
    </w:p>
    <w:p>
      <w:pPr>
        <w:pStyle w:val="2"/>
        <w:jc w:val="righ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项目</w:t>
            </w:r>
          </w:p>
        </w:tc>
        <w:tc>
          <w:tcPr>
            <w:tcW w:w="3020"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期初余额</w:t>
            </w:r>
          </w:p>
        </w:tc>
        <w:tc>
          <w:tcPr>
            <w:tcW w:w="3021"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拆放境内同业款项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拆放境外同业款项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合计</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（3）贷款发放情况</w:t>
      </w:r>
    </w:p>
    <w:p>
      <w:pPr>
        <w:pStyle w:val="2"/>
        <w:jc w:val="righ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项目</w:t>
            </w:r>
          </w:p>
        </w:tc>
        <w:tc>
          <w:tcPr>
            <w:tcW w:w="3020"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期初余额</w:t>
            </w:r>
          </w:p>
        </w:tc>
        <w:tc>
          <w:tcPr>
            <w:tcW w:w="3021"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信用贷款</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339158.3</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409040.56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保证贷款</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42812.43</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49523.63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抵押贷款</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179094.01</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175626.6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质押贷款</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3897.5</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3080.10</w:t>
            </w:r>
          </w:p>
        </w:tc>
      </w:tr>
    </w:tbl>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（4）不良贷款情况</w:t>
      </w:r>
    </w:p>
    <w:p>
      <w:pPr>
        <w:pStyle w:val="2"/>
        <w:jc w:val="righ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项目</w:t>
            </w:r>
          </w:p>
        </w:tc>
        <w:tc>
          <w:tcPr>
            <w:tcW w:w="3020" w:type="dxa"/>
            <w:vAlign w:val="center"/>
          </w:tcPr>
          <w:p>
            <w:pPr>
              <w:jc w:val="center"/>
              <w:rPr>
                <w:rFonts w:hint="eastAsia"/>
                <w:b/>
                <w:bCs/>
                <w:sz w:val="30"/>
                <w:szCs w:val="30"/>
                <w:vertAlign w:val="baseline"/>
                <w:lang w:eastAsia="zh-CN"/>
              </w:rPr>
            </w:pPr>
            <w:r>
              <w:rPr>
                <w:rFonts w:hint="eastAsia"/>
                <w:b/>
                <w:bCs/>
                <w:sz w:val="30"/>
                <w:szCs w:val="30"/>
                <w:highlight w:val="none"/>
                <w:vertAlign w:val="baseline"/>
                <w:lang w:eastAsia="zh-CN"/>
              </w:rPr>
              <w:t>期初余额</w:t>
            </w:r>
          </w:p>
        </w:tc>
        <w:tc>
          <w:tcPr>
            <w:tcW w:w="3021"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sz w:val="30"/>
                <w:szCs w:val="30"/>
                <w:vertAlign w:val="baseline"/>
                <w:lang w:eastAsia="zh-CN"/>
              </w:rPr>
            </w:pPr>
            <w:r>
              <w:rPr>
                <w:rFonts w:hint="eastAsia" w:ascii="仿宋_GB2312" w:hAnsi="仿宋_GB2312" w:eastAsia="仿宋_GB2312" w:cs="仿宋_GB2312"/>
                <w:color w:val="auto"/>
                <w:kern w:val="0"/>
                <w:sz w:val="30"/>
                <w:szCs w:val="30"/>
                <w:highlight w:val="none"/>
              </w:rPr>
              <w:t>正常</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616862.72 </w:t>
            </w:r>
          </w:p>
        </w:tc>
        <w:tc>
          <w:tcPr>
            <w:tcW w:w="30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sz w:val="30"/>
                <w:szCs w:val="30"/>
                <w:vertAlign w:val="baseline"/>
                <w:lang w:eastAsia="zh-CN"/>
              </w:rPr>
            </w:pPr>
            <w:r>
              <w:rPr>
                <w:rFonts w:hint="eastAsia" w:ascii="仿宋_GB2312" w:hAnsi="仿宋_GB2312" w:eastAsia="仿宋_GB2312" w:cs="仿宋_GB2312"/>
                <w:color w:val="auto"/>
                <w:sz w:val="30"/>
                <w:szCs w:val="30"/>
                <w:highlight w:val="none"/>
                <w:lang w:val="en-US" w:eastAsia="zh-CN"/>
              </w:rPr>
              <w:t>678297.03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sz w:val="30"/>
                <w:szCs w:val="30"/>
                <w:vertAlign w:val="baseline"/>
                <w:lang w:eastAsia="zh-CN"/>
              </w:rPr>
            </w:pPr>
            <w:r>
              <w:rPr>
                <w:rFonts w:hint="eastAsia" w:ascii="仿宋_GB2312" w:hAnsi="仿宋_GB2312" w:eastAsia="仿宋_GB2312" w:cs="仿宋_GB2312"/>
                <w:color w:val="auto"/>
                <w:kern w:val="0"/>
                <w:sz w:val="30"/>
                <w:szCs w:val="30"/>
                <w:highlight w:val="none"/>
              </w:rPr>
              <w:t>关注</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6432.01 </w:t>
            </w:r>
          </w:p>
        </w:tc>
        <w:tc>
          <w:tcPr>
            <w:tcW w:w="30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sz w:val="30"/>
                <w:szCs w:val="30"/>
                <w:vertAlign w:val="baseline"/>
                <w:lang w:eastAsia="zh-CN"/>
              </w:rPr>
            </w:pPr>
            <w:r>
              <w:rPr>
                <w:rFonts w:hint="eastAsia" w:ascii="仿宋_GB2312" w:hAnsi="仿宋_GB2312" w:eastAsia="仿宋_GB2312" w:cs="仿宋_GB2312"/>
                <w:color w:val="auto"/>
                <w:sz w:val="30"/>
                <w:szCs w:val="30"/>
                <w:highlight w:val="none"/>
                <w:lang w:val="en-US" w:eastAsia="zh-CN"/>
              </w:rPr>
              <w:t>9425.06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sz w:val="30"/>
                <w:szCs w:val="30"/>
                <w:vertAlign w:val="baseline"/>
                <w:lang w:eastAsia="zh-CN"/>
              </w:rPr>
            </w:pPr>
            <w:r>
              <w:rPr>
                <w:rFonts w:hint="eastAsia" w:ascii="仿宋_GB2312" w:hAnsi="仿宋_GB2312" w:eastAsia="仿宋_GB2312" w:cs="仿宋_GB2312"/>
                <w:color w:val="auto"/>
                <w:kern w:val="0"/>
                <w:sz w:val="30"/>
                <w:szCs w:val="30"/>
                <w:highlight w:val="none"/>
              </w:rPr>
              <w:t>次级</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6292.56 </w:t>
            </w:r>
          </w:p>
        </w:tc>
        <w:tc>
          <w:tcPr>
            <w:tcW w:w="30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sz w:val="30"/>
                <w:szCs w:val="30"/>
                <w:vertAlign w:val="baseline"/>
                <w:lang w:eastAsia="zh-CN"/>
              </w:rPr>
            </w:pPr>
            <w:r>
              <w:rPr>
                <w:rFonts w:hint="eastAsia" w:ascii="仿宋_GB2312" w:hAnsi="仿宋_GB2312" w:eastAsia="仿宋_GB2312" w:cs="仿宋_GB2312"/>
                <w:color w:val="auto"/>
                <w:kern w:val="0"/>
                <w:sz w:val="30"/>
                <w:szCs w:val="30"/>
                <w:highlight w:val="none"/>
                <w:lang w:val="en-US" w:eastAsia="zh-CN"/>
              </w:rPr>
              <w:t>3255.29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sz w:val="30"/>
                <w:szCs w:val="30"/>
                <w:vertAlign w:val="baseline"/>
                <w:lang w:eastAsia="zh-CN"/>
              </w:rPr>
            </w:pPr>
            <w:r>
              <w:rPr>
                <w:rFonts w:hint="eastAsia" w:ascii="仿宋_GB2312" w:hAnsi="仿宋_GB2312" w:eastAsia="仿宋_GB2312" w:cs="仿宋_GB2312"/>
                <w:color w:val="auto"/>
                <w:kern w:val="0"/>
                <w:sz w:val="30"/>
                <w:szCs w:val="30"/>
                <w:highlight w:val="none"/>
              </w:rPr>
              <w:t>可疑</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5973.60 </w:t>
            </w:r>
          </w:p>
        </w:tc>
        <w:tc>
          <w:tcPr>
            <w:tcW w:w="30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sz w:val="30"/>
                <w:szCs w:val="30"/>
                <w:vertAlign w:val="baseline"/>
                <w:lang w:val="en-US" w:eastAsia="zh-CN"/>
              </w:rPr>
            </w:pPr>
            <w:r>
              <w:rPr>
                <w:rFonts w:hint="eastAsia" w:ascii="仿宋_GB2312" w:hAnsi="仿宋_GB2312" w:eastAsia="仿宋_GB2312" w:cs="仿宋_GB2312"/>
                <w:color w:val="auto"/>
                <w:sz w:val="30"/>
                <w:szCs w:val="30"/>
                <w:highlight w:val="none"/>
                <w:lang w:val="en-US" w:eastAsia="zh-CN"/>
              </w:rPr>
              <w:t>5528.83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sz w:val="30"/>
                <w:szCs w:val="30"/>
                <w:vertAlign w:val="baseline"/>
                <w:lang w:eastAsia="zh-CN"/>
              </w:rPr>
            </w:pPr>
            <w:r>
              <w:rPr>
                <w:rFonts w:hint="eastAsia" w:ascii="仿宋_GB2312" w:hAnsi="仿宋_GB2312" w:eastAsia="仿宋_GB2312" w:cs="仿宋_GB2312"/>
                <w:color w:val="auto"/>
                <w:kern w:val="0"/>
                <w:sz w:val="30"/>
                <w:szCs w:val="30"/>
                <w:highlight w:val="none"/>
              </w:rPr>
              <w:t>损失</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984.47 </w:t>
            </w:r>
          </w:p>
        </w:tc>
        <w:tc>
          <w:tcPr>
            <w:tcW w:w="30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sz w:val="30"/>
                <w:szCs w:val="30"/>
                <w:vertAlign w:val="baseline"/>
                <w:lang w:val="en-US" w:eastAsia="zh-CN"/>
              </w:rPr>
            </w:pPr>
            <w:r>
              <w:rPr>
                <w:rFonts w:hint="eastAsia" w:ascii="仿宋_GB2312" w:hAnsi="仿宋_GB2312" w:eastAsia="仿宋_GB2312" w:cs="仿宋_GB2312"/>
                <w:color w:val="auto"/>
                <w:kern w:val="0"/>
                <w:sz w:val="30"/>
                <w:szCs w:val="30"/>
                <w:highlight w:val="none"/>
                <w:lang w:val="en-US" w:eastAsia="zh-CN"/>
              </w:rPr>
              <w:t>4404.11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lang w:val="en-US" w:eastAsia="zh-CN"/>
        </w:rPr>
      </w:pPr>
      <w:r>
        <w:rPr>
          <w:rFonts w:hint="eastAsia" w:ascii="仿宋_GB2312" w:hAnsi="仿宋_GB2312" w:eastAsia="仿宋_GB2312" w:cs="仿宋_GB2312"/>
          <w:b/>
          <w:bCs/>
          <w:color w:val="auto"/>
          <w:kern w:val="2"/>
          <w:sz w:val="32"/>
          <w:szCs w:val="32"/>
          <w:highlight w:val="none"/>
          <w:lang w:val="en-US" w:eastAsia="zh-CN" w:bidi="ar-SA"/>
        </w:rPr>
        <w:t>（5）贷款损失准备</w:t>
      </w:r>
    </w:p>
    <w:p>
      <w:pPr>
        <w:pStyle w:val="2"/>
        <w:jc w:val="right"/>
        <w:rPr>
          <w:rFonts w:hint="eastAsia"/>
          <w:lang w:val="en-US" w:eastAsia="zh-CN"/>
        </w:rPr>
      </w:pPr>
      <w:r>
        <w:rPr>
          <w:rFonts w:hint="eastAsia" w:ascii="仿宋_GB2312" w:hAnsi="仿宋_GB2312" w:eastAsia="仿宋_GB2312" w:cs="仿宋_GB2312"/>
          <w:color w:val="auto"/>
          <w:sz w:val="30"/>
          <w:szCs w:val="30"/>
          <w:highlight w:val="none"/>
          <w:lang w:eastAsia="zh-CN"/>
        </w:rPr>
        <w:t>金额单位：</w:t>
      </w:r>
      <w:r>
        <w:rPr>
          <w:rFonts w:hint="eastAsia" w:ascii="仿宋_GB2312" w:hAnsi="仿宋_GB2312" w:eastAsia="仿宋_GB2312" w:cs="仿宋_GB2312"/>
          <w:color w:val="auto"/>
          <w:sz w:val="30"/>
          <w:szCs w:val="30"/>
          <w:highlight w:val="none"/>
          <w:lang w:val="en-US" w:eastAsia="zh-CN"/>
        </w:rPr>
        <w:t>人民币/万元</w:t>
      </w:r>
    </w:p>
    <w:tbl>
      <w:tblPr>
        <w:tblStyle w:val="13"/>
        <w:tblW w:w="9296" w:type="dxa"/>
        <w:jc w:val="center"/>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500"/>
        <w:gridCol w:w="1830"/>
        <w:gridCol w:w="2188"/>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top w:val="single" w:color="auto" w:sz="4" w:space="0"/>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sz w:val="30"/>
                <w:szCs w:val="30"/>
              </w:rPr>
            </w:pPr>
            <w:r>
              <w:rPr>
                <w:rFonts w:hint="default" w:ascii="仿宋_GB2312" w:hAnsi="仿宋_GB2312" w:eastAsia="仿宋_GB2312" w:cs="仿宋_GB2312"/>
                <w:b/>
                <w:bCs/>
                <w:sz w:val="30"/>
                <w:szCs w:val="30"/>
              </w:rPr>
              <w:t>项  目</w:t>
            </w:r>
          </w:p>
        </w:tc>
        <w:tc>
          <w:tcPr>
            <w:tcW w:w="1500"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sz w:val="30"/>
                <w:szCs w:val="30"/>
              </w:rPr>
            </w:pPr>
            <w:r>
              <w:rPr>
                <w:rFonts w:hint="default" w:ascii="仿宋_GB2312" w:hAnsi="仿宋_GB2312" w:eastAsia="仿宋_GB2312" w:cs="仿宋_GB2312"/>
                <w:b/>
                <w:bCs/>
                <w:sz w:val="30"/>
                <w:szCs w:val="30"/>
              </w:rPr>
              <w:t>期初余额</w:t>
            </w:r>
          </w:p>
        </w:tc>
        <w:tc>
          <w:tcPr>
            <w:tcW w:w="1830"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eastAsia="zh-CN"/>
              </w:rPr>
              <w:t>本年计提</w:t>
            </w:r>
          </w:p>
        </w:tc>
        <w:tc>
          <w:tcPr>
            <w:tcW w:w="2188"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eastAsia="zh-CN"/>
              </w:rPr>
              <w:t>本期冲销</w:t>
            </w:r>
            <w:r>
              <w:rPr>
                <w:rFonts w:hint="default" w:ascii="仿宋_GB2312" w:hAnsi="仿宋_GB2312" w:eastAsia="仿宋_GB2312" w:cs="仿宋_GB2312"/>
                <w:b/>
                <w:bCs/>
                <w:sz w:val="30"/>
                <w:szCs w:val="30"/>
                <w:lang w:val="en-US" w:eastAsia="zh-CN"/>
              </w:rPr>
              <w:t>/转回</w:t>
            </w:r>
          </w:p>
        </w:tc>
        <w:tc>
          <w:tcPr>
            <w:tcW w:w="1724" w:type="dxa"/>
            <w:tcBorders>
              <w:top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sz w:val="30"/>
                <w:szCs w:val="30"/>
              </w:rPr>
            </w:pPr>
            <w:r>
              <w:rPr>
                <w:rFonts w:hint="default" w:ascii="仿宋_GB2312" w:hAnsi="仿宋_GB2312" w:eastAsia="仿宋_GB2312" w:cs="仿宋_GB2312"/>
                <w:b/>
                <w:bCs/>
                <w:sz w:val="30"/>
                <w:szCs w:val="30"/>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rPr>
            </w:pPr>
            <w:bookmarkStart w:id="0" w:name="_Hlk102812612"/>
            <w:r>
              <w:rPr>
                <w:rFonts w:hint="default" w:ascii="仿宋_GB2312" w:hAnsi="仿宋_GB2312" w:eastAsia="仿宋_GB2312" w:cs="仿宋_GB2312"/>
                <w:sz w:val="30"/>
                <w:szCs w:val="30"/>
              </w:rPr>
              <w:t>贷款损失准备</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43431.20</w:t>
            </w:r>
          </w:p>
        </w:tc>
        <w:tc>
          <w:tcPr>
            <w:tcW w:w="18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47846.75</w:t>
            </w:r>
          </w:p>
        </w:tc>
        <w:tc>
          <w:tcPr>
            <w:tcW w:w="21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47846.05</w:t>
            </w:r>
          </w:p>
        </w:tc>
        <w:tc>
          <w:tcPr>
            <w:tcW w:w="1724"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43431.90</w:t>
            </w:r>
          </w:p>
        </w:tc>
      </w:tr>
      <w:bookmarkEnd w:id="0"/>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bookmarkStart w:id="1" w:name="_GoBack"/>
      <w:bookmarkEnd w:id="1"/>
      <w:r>
        <w:rPr>
          <w:rFonts w:hint="eastAsia" w:ascii="仿宋_GB2312" w:hAnsi="仿宋_GB2312" w:eastAsia="仿宋_GB2312" w:cs="仿宋_GB2312"/>
          <w:color w:val="auto"/>
          <w:sz w:val="30"/>
          <w:szCs w:val="30"/>
          <w:highlight w:val="none"/>
          <w:lang w:eastAsia="zh-CN"/>
        </w:rPr>
        <w:t>金额单位：</w:t>
      </w:r>
      <w:r>
        <w:rPr>
          <w:rFonts w:hint="eastAsia" w:ascii="仿宋_GB2312" w:hAnsi="仿宋_GB2312" w:eastAsia="仿宋_GB2312" w:cs="仿宋_GB2312"/>
          <w:color w:val="auto"/>
          <w:sz w:val="30"/>
          <w:szCs w:val="30"/>
          <w:highlight w:val="none"/>
          <w:lang w:val="en-US" w:eastAsia="zh-CN"/>
        </w:rPr>
        <w:t>人民币/万元</w:t>
      </w:r>
    </w:p>
    <w:tbl>
      <w:tblPr>
        <w:tblStyle w:val="13"/>
        <w:tblW w:w="9296" w:type="dxa"/>
        <w:jc w:val="center"/>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608"/>
        <w:gridCol w:w="1836"/>
        <w:gridCol w:w="207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top w:val="single" w:color="auto" w:sz="4" w:space="0"/>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sz w:val="30"/>
                <w:szCs w:val="30"/>
              </w:rPr>
            </w:pPr>
            <w:r>
              <w:rPr>
                <w:rFonts w:hint="default" w:ascii="仿宋_GB2312" w:hAnsi="仿宋_GB2312" w:eastAsia="仿宋_GB2312" w:cs="仿宋_GB2312"/>
                <w:b/>
                <w:bCs/>
                <w:sz w:val="30"/>
                <w:szCs w:val="30"/>
              </w:rPr>
              <w:t>项  目</w:t>
            </w:r>
          </w:p>
        </w:tc>
        <w:tc>
          <w:tcPr>
            <w:tcW w:w="1608"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sz w:val="30"/>
                <w:szCs w:val="30"/>
              </w:rPr>
            </w:pPr>
            <w:r>
              <w:rPr>
                <w:rFonts w:hint="default" w:ascii="仿宋_GB2312" w:hAnsi="仿宋_GB2312" w:eastAsia="仿宋_GB2312" w:cs="仿宋_GB2312"/>
                <w:b/>
                <w:bCs/>
                <w:sz w:val="30"/>
                <w:szCs w:val="30"/>
              </w:rPr>
              <w:t>期初余额</w:t>
            </w:r>
          </w:p>
        </w:tc>
        <w:tc>
          <w:tcPr>
            <w:tcW w:w="1836"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本年增加数</w:t>
            </w:r>
          </w:p>
        </w:tc>
        <w:tc>
          <w:tcPr>
            <w:tcW w:w="2074"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　本年减少数</w:t>
            </w:r>
          </w:p>
        </w:tc>
        <w:tc>
          <w:tcPr>
            <w:tcW w:w="1724" w:type="dxa"/>
            <w:tcBorders>
              <w:top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sz w:val="30"/>
                <w:szCs w:val="30"/>
              </w:rPr>
            </w:pPr>
            <w:r>
              <w:rPr>
                <w:rFonts w:hint="default" w:ascii="仿宋_GB2312" w:hAnsi="仿宋_GB2312" w:eastAsia="仿宋_GB2312" w:cs="仿宋_GB2312"/>
                <w:b/>
                <w:bCs/>
                <w:sz w:val="30"/>
                <w:szCs w:val="30"/>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一般风险准备</w:t>
            </w:r>
          </w:p>
        </w:tc>
        <w:tc>
          <w:tcPr>
            <w:tcW w:w="1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21,266.35</w:t>
            </w:r>
          </w:p>
        </w:tc>
        <w:tc>
          <w:tcPr>
            <w:tcW w:w="1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1724"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21,266.35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特种专项准备</w:t>
            </w:r>
          </w:p>
        </w:tc>
        <w:tc>
          <w:tcPr>
            <w:tcW w:w="1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5,687.66</w:t>
            </w:r>
          </w:p>
        </w:tc>
        <w:tc>
          <w:tcPr>
            <w:tcW w:w="1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192.50</w:t>
            </w:r>
          </w:p>
        </w:tc>
        <w:tc>
          <w:tcPr>
            <w:tcW w:w="2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1724"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5,880.16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（6）应收利息余额及变动情况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0"/>
          <w:szCs w:val="30"/>
          <w:highlight w:val="none"/>
          <w:lang w:eastAsia="zh-CN"/>
        </w:rPr>
        <w:t>金额单位：</w:t>
      </w:r>
      <w:r>
        <w:rPr>
          <w:rFonts w:hint="eastAsia" w:ascii="仿宋_GB2312" w:hAnsi="仿宋_GB2312" w:eastAsia="仿宋_GB2312" w:cs="仿宋_GB2312"/>
          <w:color w:val="auto"/>
          <w:sz w:val="30"/>
          <w:szCs w:val="30"/>
          <w:highlight w:val="none"/>
          <w:lang w:val="en-US" w:eastAsia="zh-CN"/>
        </w:rPr>
        <w:t>人民币/万元</w:t>
      </w:r>
    </w:p>
    <w:tbl>
      <w:tblPr>
        <w:tblStyle w:val="13"/>
        <w:tblW w:w="9296" w:type="dxa"/>
        <w:jc w:val="center"/>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608"/>
        <w:gridCol w:w="1836"/>
        <w:gridCol w:w="207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top w:val="single" w:color="auto" w:sz="4" w:space="0"/>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项  目</w:t>
            </w:r>
          </w:p>
        </w:tc>
        <w:tc>
          <w:tcPr>
            <w:tcW w:w="1608"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期初余额</w:t>
            </w:r>
          </w:p>
        </w:tc>
        <w:tc>
          <w:tcPr>
            <w:tcW w:w="1836"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本年增加数</w:t>
            </w:r>
          </w:p>
        </w:tc>
        <w:tc>
          <w:tcPr>
            <w:tcW w:w="2074"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本年减少数</w:t>
            </w:r>
          </w:p>
        </w:tc>
        <w:tc>
          <w:tcPr>
            <w:tcW w:w="1724" w:type="dxa"/>
            <w:tcBorders>
              <w:top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应收利息</w:t>
            </w:r>
          </w:p>
        </w:tc>
        <w:tc>
          <w:tcPr>
            <w:tcW w:w="1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206.72</w:t>
            </w:r>
          </w:p>
        </w:tc>
        <w:tc>
          <w:tcPr>
            <w:tcW w:w="1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40,969.25</w:t>
            </w:r>
          </w:p>
        </w:tc>
        <w:tc>
          <w:tcPr>
            <w:tcW w:w="2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40,969.09</w:t>
            </w:r>
          </w:p>
        </w:tc>
        <w:tc>
          <w:tcPr>
            <w:tcW w:w="1724"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206.88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（7）应付利息计提方法、余额及变动情况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0"/>
          <w:szCs w:val="30"/>
          <w:highlight w:val="none"/>
          <w:lang w:eastAsia="zh-CN"/>
        </w:rPr>
        <w:t>金额单位：</w:t>
      </w:r>
      <w:r>
        <w:rPr>
          <w:rFonts w:hint="eastAsia" w:ascii="仿宋_GB2312" w:hAnsi="仿宋_GB2312" w:eastAsia="仿宋_GB2312" w:cs="仿宋_GB2312"/>
          <w:color w:val="auto"/>
          <w:sz w:val="30"/>
          <w:szCs w:val="30"/>
          <w:highlight w:val="none"/>
          <w:lang w:val="en-US" w:eastAsia="zh-CN"/>
        </w:rPr>
        <w:t>人民币/万元</w:t>
      </w:r>
    </w:p>
    <w:tbl>
      <w:tblPr>
        <w:tblStyle w:val="13"/>
        <w:tblW w:w="9296" w:type="dxa"/>
        <w:jc w:val="center"/>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608"/>
        <w:gridCol w:w="1836"/>
        <w:gridCol w:w="207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top w:val="single" w:color="auto" w:sz="4" w:space="0"/>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项  目</w:t>
            </w:r>
          </w:p>
        </w:tc>
        <w:tc>
          <w:tcPr>
            <w:tcW w:w="1608"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期初余额</w:t>
            </w:r>
          </w:p>
        </w:tc>
        <w:tc>
          <w:tcPr>
            <w:tcW w:w="1836"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本年增加数</w:t>
            </w:r>
          </w:p>
        </w:tc>
        <w:tc>
          <w:tcPr>
            <w:tcW w:w="2074"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本年减少数</w:t>
            </w:r>
          </w:p>
        </w:tc>
        <w:tc>
          <w:tcPr>
            <w:tcW w:w="1724" w:type="dxa"/>
            <w:tcBorders>
              <w:top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应付利息</w:t>
            </w:r>
          </w:p>
        </w:tc>
        <w:tc>
          <w:tcPr>
            <w:tcW w:w="1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3,397.34</w:t>
            </w:r>
          </w:p>
        </w:tc>
        <w:tc>
          <w:tcPr>
            <w:tcW w:w="1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6,697.36</w:t>
            </w:r>
          </w:p>
        </w:tc>
        <w:tc>
          <w:tcPr>
            <w:tcW w:w="2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7,212.34</w:t>
            </w:r>
          </w:p>
        </w:tc>
        <w:tc>
          <w:tcPr>
            <w:tcW w:w="1724"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2,882.36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（8）对外投资情况</w:t>
      </w:r>
    </w:p>
    <w:p>
      <w:pPr>
        <w:pStyle w:val="2"/>
        <w:jc w:val="right"/>
        <w:rPr>
          <w:rFonts w:hint="eastAsia"/>
          <w:lang w:val="en-US"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3"/>
        <w:tblW w:w="9042" w:type="dxa"/>
        <w:jc w:val="center"/>
        <w:tblInd w:w="0" w:type="dxa"/>
        <w:tblLayout w:type="fixed"/>
        <w:tblCellMar>
          <w:top w:w="0" w:type="dxa"/>
          <w:left w:w="108" w:type="dxa"/>
          <w:bottom w:w="0" w:type="dxa"/>
          <w:right w:w="108" w:type="dxa"/>
        </w:tblCellMar>
      </w:tblPr>
      <w:tblGrid>
        <w:gridCol w:w="3144"/>
        <w:gridCol w:w="2949"/>
        <w:gridCol w:w="2949"/>
      </w:tblGrid>
      <w:tr>
        <w:tblPrEx>
          <w:tblLayout w:type="fixed"/>
          <w:tblCellMar>
            <w:top w:w="0" w:type="dxa"/>
            <w:left w:w="108" w:type="dxa"/>
            <w:bottom w:w="0" w:type="dxa"/>
            <w:right w:w="108" w:type="dxa"/>
          </w:tblCellMar>
        </w:tblPrEx>
        <w:trPr>
          <w:trHeight w:val="285" w:hRule="atLeast"/>
          <w:jc w:val="center"/>
        </w:trPr>
        <w:tc>
          <w:tcPr>
            <w:tcW w:w="3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项目</w:t>
            </w:r>
          </w:p>
        </w:tc>
        <w:tc>
          <w:tcPr>
            <w:tcW w:w="29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期</w:t>
            </w:r>
            <w:r>
              <w:rPr>
                <w:rFonts w:hint="eastAsia" w:ascii="仿宋_GB2312" w:hAnsi="仿宋_GB2312" w:eastAsia="仿宋_GB2312" w:cs="仿宋_GB2312"/>
                <w:b/>
                <w:bCs/>
                <w:color w:val="auto"/>
                <w:kern w:val="0"/>
                <w:sz w:val="30"/>
                <w:szCs w:val="30"/>
                <w:highlight w:val="none"/>
                <w:lang w:eastAsia="zh-CN"/>
              </w:rPr>
              <w:t>初</w:t>
            </w:r>
            <w:r>
              <w:rPr>
                <w:rFonts w:hint="eastAsia" w:ascii="仿宋_GB2312" w:hAnsi="仿宋_GB2312" w:eastAsia="仿宋_GB2312" w:cs="仿宋_GB2312"/>
                <w:b/>
                <w:bCs/>
                <w:color w:val="auto"/>
                <w:kern w:val="0"/>
                <w:sz w:val="30"/>
                <w:szCs w:val="30"/>
                <w:highlight w:val="none"/>
              </w:rPr>
              <w:t>余额</w:t>
            </w:r>
          </w:p>
        </w:tc>
        <w:tc>
          <w:tcPr>
            <w:tcW w:w="29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color w:val="auto"/>
                <w:sz w:val="30"/>
                <w:szCs w:val="30"/>
                <w:highlight w:val="none"/>
              </w:rPr>
            </w:pPr>
            <w:r>
              <w:rPr>
                <w:rFonts w:hint="eastAsia" w:ascii="仿宋_GB2312" w:hAnsi="仿宋_GB2312" w:eastAsia="仿宋_GB2312" w:cs="仿宋_GB2312"/>
                <w:b/>
                <w:bCs/>
                <w:color w:val="auto"/>
                <w:kern w:val="0"/>
                <w:sz w:val="30"/>
                <w:szCs w:val="30"/>
                <w:highlight w:val="none"/>
              </w:rPr>
              <w:t>期末余额</w:t>
            </w:r>
          </w:p>
        </w:tc>
      </w:tr>
      <w:tr>
        <w:tblPrEx>
          <w:tblLayout w:type="fixed"/>
          <w:tblCellMar>
            <w:top w:w="0" w:type="dxa"/>
            <w:left w:w="108" w:type="dxa"/>
            <w:bottom w:w="0" w:type="dxa"/>
            <w:right w:w="108" w:type="dxa"/>
          </w:tblCellMar>
        </w:tblPrEx>
        <w:trPr>
          <w:trHeight w:val="285" w:hRule="atLeast"/>
          <w:jc w:val="center"/>
        </w:trPr>
        <w:tc>
          <w:tcPr>
            <w:tcW w:w="3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债权投资</w:t>
            </w:r>
          </w:p>
        </w:tc>
        <w:tc>
          <w:tcPr>
            <w:tcW w:w="2949" w:type="dxa"/>
            <w:tcBorders>
              <w:top w:val="single" w:color="auto" w:sz="4" w:space="0"/>
              <w:left w:val="nil"/>
              <w:bottom w:val="single" w:color="auto" w:sz="4" w:space="0"/>
              <w:right w:val="single" w:color="auto" w:sz="4" w:space="0"/>
            </w:tcBorders>
            <w:vAlign w:val="bottom"/>
          </w:tcPr>
          <w:p>
            <w:pPr>
              <w:widowControl/>
              <w:spacing w:line="560" w:lineRule="exact"/>
              <w:jc w:val="center"/>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162725.45</w:t>
            </w:r>
          </w:p>
        </w:tc>
        <w:tc>
          <w:tcPr>
            <w:tcW w:w="2949"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rPr>
              <w:t>151131.53</w:t>
            </w:r>
          </w:p>
        </w:tc>
      </w:tr>
      <w:tr>
        <w:tblPrEx>
          <w:tblLayout w:type="fixed"/>
          <w:tblCellMar>
            <w:top w:w="0" w:type="dxa"/>
            <w:left w:w="108" w:type="dxa"/>
            <w:bottom w:w="0" w:type="dxa"/>
            <w:right w:w="108" w:type="dxa"/>
          </w:tblCellMar>
        </w:tblPrEx>
        <w:trPr>
          <w:trHeight w:val="285" w:hRule="atLeast"/>
          <w:jc w:val="center"/>
        </w:trPr>
        <w:tc>
          <w:tcPr>
            <w:tcW w:w="3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其他债权投资</w:t>
            </w:r>
          </w:p>
        </w:tc>
        <w:tc>
          <w:tcPr>
            <w:tcW w:w="2949" w:type="dxa"/>
            <w:tcBorders>
              <w:top w:val="single" w:color="auto" w:sz="4" w:space="0"/>
              <w:left w:val="nil"/>
              <w:bottom w:val="single" w:color="auto" w:sz="4" w:space="0"/>
              <w:right w:val="single" w:color="auto" w:sz="4" w:space="0"/>
            </w:tcBorders>
            <w:vAlign w:val="bottom"/>
          </w:tcPr>
          <w:p>
            <w:pPr>
              <w:widowControl/>
              <w:spacing w:line="560" w:lineRule="exact"/>
              <w:jc w:val="center"/>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2019.56</w:t>
            </w:r>
          </w:p>
        </w:tc>
        <w:tc>
          <w:tcPr>
            <w:tcW w:w="2949"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rPr>
              <w:t>2001.6</w:t>
            </w:r>
          </w:p>
        </w:tc>
      </w:tr>
      <w:tr>
        <w:tblPrEx>
          <w:tblLayout w:type="fixed"/>
          <w:tblCellMar>
            <w:top w:w="0" w:type="dxa"/>
            <w:left w:w="108" w:type="dxa"/>
            <w:bottom w:w="0" w:type="dxa"/>
            <w:right w:w="108" w:type="dxa"/>
          </w:tblCellMar>
        </w:tblPrEx>
        <w:trPr>
          <w:trHeight w:val="285" w:hRule="atLeast"/>
          <w:jc w:val="center"/>
        </w:trPr>
        <w:tc>
          <w:tcPr>
            <w:tcW w:w="3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长期股权投资</w:t>
            </w:r>
          </w:p>
        </w:tc>
        <w:tc>
          <w:tcPr>
            <w:tcW w:w="294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15062.61</w:t>
            </w:r>
          </w:p>
        </w:tc>
        <w:tc>
          <w:tcPr>
            <w:tcW w:w="29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rPr>
              <w:t>15062.61</w:t>
            </w:r>
          </w:p>
        </w:tc>
      </w:tr>
      <w:tr>
        <w:tblPrEx>
          <w:tblLayout w:type="fixed"/>
          <w:tblCellMar>
            <w:top w:w="0" w:type="dxa"/>
            <w:left w:w="108" w:type="dxa"/>
            <w:bottom w:w="0" w:type="dxa"/>
            <w:right w:w="108" w:type="dxa"/>
          </w:tblCellMar>
        </w:tblPrEx>
        <w:trPr>
          <w:trHeight w:val="285" w:hRule="atLeast"/>
          <w:jc w:val="center"/>
        </w:trPr>
        <w:tc>
          <w:tcPr>
            <w:tcW w:w="3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合计</w:t>
            </w:r>
          </w:p>
        </w:tc>
        <w:tc>
          <w:tcPr>
            <w:tcW w:w="294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179807.62</w:t>
            </w:r>
          </w:p>
        </w:tc>
        <w:tc>
          <w:tcPr>
            <w:tcW w:w="29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rPr>
              <w:t>168195.74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（9）同业拆入款项</w:t>
      </w:r>
      <w:r>
        <w:rPr>
          <w:rFonts w:hint="eastAsia" w:ascii="仿宋_GB2312" w:hAnsi="仿宋_GB2312" w:eastAsia="仿宋_GB2312" w:cs="仿宋_GB2312"/>
          <w:color w:val="auto"/>
          <w:sz w:val="32"/>
          <w:szCs w:val="32"/>
          <w:highlight w:val="none"/>
          <w:lang w:val="en-US" w:eastAsia="zh-CN"/>
        </w:rPr>
        <w:t>（按境内、境外同业披露年初数和期末数，金额单位：人民币/万元，自己设计表格）</w:t>
      </w:r>
    </w:p>
    <w:p>
      <w:pPr>
        <w:pStyle w:val="2"/>
        <w:jc w:val="righ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项目</w:t>
            </w:r>
          </w:p>
        </w:tc>
        <w:tc>
          <w:tcPr>
            <w:tcW w:w="3020"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期初余额</w:t>
            </w:r>
          </w:p>
        </w:tc>
        <w:tc>
          <w:tcPr>
            <w:tcW w:w="3021" w:type="dxa"/>
            <w:vAlign w:val="center"/>
          </w:tcPr>
          <w:p>
            <w:pPr>
              <w:jc w:val="center"/>
              <w:rPr>
                <w:rFonts w:hint="eastAsia"/>
                <w:b/>
                <w:bCs/>
                <w:sz w:val="30"/>
                <w:szCs w:val="30"/>
                <w:vertAlign w:val="baseline"/>
                <w:lang w:eastAsia="zh-CN"/>
              </w:rPr>
            </w:pPr>
            <w:r>
              <w:rPr>
                <w:rFonts w:hint="eastAsia"/>
                <w:b/>
                <w:bCs/>
                <w:sz w:val="30"/>
                <w:szCs w:val="30"/>
                <w:vertAlign w:val="baseline"/>
                <w:lang w:eastAsia="zh-CN"/>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境内同业拆入款项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境外同业拆入款项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合计</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（10）表外业务</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暂未办理银行承兑汇票、对外担保等表外业务。</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7.资本充足状况</w:t>
      </w:r>
    </w:p>
    <w:p>
      <w:pPr>
        <w:pStyle w:val="2"/>
        <w:jc w:val="righ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单位：万元、%</w:t>
      </w:r>
    </w:p>
    <w:tbl>
      <w:tblPr>
        <w:tblStyle w:val="13"/>
        <w:tblW w:w="8812" w:type="dxa"/>
        <w:jc w:val="center"/>
        <w:tblInd w:w="-1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52"/>
        <w:gridCol w:w="4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jc w:val="center"/>
              <w:rPr>
                <w:rFonts w:hint="eastAsia" w:ascii="仿宋_GB2312" w:hAnsi="仿宋_GB2312" w:eastAsia="仿宋_GB2312" w:cs="仿宋_GB2312"/>
                <w:b/>
                <w:bCs/>
                <w:color w:val="auto"/>
                <w:kern w:val="0"/>
                <w:sz w:val="30"/>
                <w:szCs w:val="30"/>
                <w:highlight w:val="none"/>
                <w:lang w:val="en-US" w:eastAsia="zh-CN" w:bidi="ar-SA"/>
              </w:rPr>
            </w:pPr>
            <w:r>
              <w:rPr>
                <w:rFonts w:hint="default" w:ascii="仿宋_GB2312" w:hAnsi="仿宋_GB2312" w:eastAsia="仿宋_GB2312" w:cs="仿宋_GB2312"/>
                <w:b/>
                <w:bCs/>
                <w:color w:val="auto"/>
                <w:kern w:val="0"/>
                <w:sz w:val="30"/>
                <w:szCs w:val="30"/>
                <w:highlight w:val="none"/>
                <w:lang w:val="en-US" w:eastAsia="zh-CN" w:bidi="ar-SA"/>
              </w:rPr>
              <w:t>项目</w:t>
            </w:r>
          </w:p>
        </w:tc>
        <w:tc>
          <w:tcPr>
            <w:tcW w:w="456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jc w:val="center"/>
              <w:rPr>
                <w:rFonts w:hint="eastAsia" w:ascii="仿宋_GB2312" w:hAnsi="仿宋_GB2312" w:eastAsia="仿宋_GB2312" w:cs="仿宋_GB2312"/>
                <w:b/>
                <w:bCs/>
                <w:color w:val="auto"/>
                <w:kern w:val="0"/>
                <w:sz w:val="30"/>
                <w:szCs w:val="30"/>
                <w:highlight w:val="none"/>
                <w:lang w:val="en-US" w:eastAsia="zh-CN" w:bidi="ar-SA"/>
              </w:rPr>
            </w:pPr>
            <w:r>
              <w:rPr>
                <w:rFonts w:hint="eastAsia" w:ascii="仿宋_GB2312" w:hAnsi="仿宋_GB2312" w:eastAsia="仿宋_GB2312" w:cs="仿宋_GB2312"/>
                <w:b/>
                <w:bCs/>
                <w:color w:val="auto"/>
                <w:kern w:val="0"/>
                <w:sz w:val="30"/>
                <w:szCs w:val="30"/>
                <w:highlight w:val="none"/>
                <w:lang w:val="en-US" w:eastAsia="zh-CN" w:bidi="ar-SA"/>
              </w:rPr>
              <w:t>2023年末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w:t>
            </w:r>
            <w:r>
              <w:rPr>
                <w:rFonts w:hint="default" w:ascii="仿宋_GB2312" w:hAnsi="仿宋_GB2312" w:eastAsia="仿宋_GB2312" w:cs="仿宋_GB2312"/>
                <w:color w:val="auto"/>
                <w:kern w:val="0"/>
                <w:sz w:val="30"/>
                <w:szCs w:val="30"/>
                <w:highlight w:val="none"/>
                <w:lang w:val="en-US" w:eastAsia="zh-CN" w:bidi="ar-SA"/>
              </w:rPr>
              <w:t>风险加权资产总额</w:t>
            </w:r>
          </w:p>
        </w:tc>
        <w:tc>
          <w:tcPr>
            <w:tcW w:w="456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jc w:val="center"/>
              <w:rPr>
                <w:color w:val="auto"/>
                <w:sz w:val="30"/>
                <w:szCs w:val="30"/>
              </w:rPr>
            </w:pPr>
            <w:r>
              <w:rPr>
                <w:rFonts w:hint="eastAsia" w:ascii="宋体" w:hAnsi="宋体" w:eastAsia="宋体" w:cs="宋体"/>
                <w:i w:val="0"/>
                <w:color w:val="auto"/>
                <w:kern w:val="0"/>
                <w:sz w:val="30"/>
                <w:szCs w:val="30"/>
                <w:highlight w:val="none"/>
                <w:u w:val="none"/>
                <w:lang w:val="en-US" w:eastAsia="zh-CN" w:bidi="ar"/>
              </w:rPr>
              <w:t>615388.32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w:t>
            </w:r>
            <w:r>
              <w:rPr>
                <w:rFonts w:hint="default" w:ascii="仿宋_GB2312" w:hAnsi="仿宋_GB2312" w:eastAsia="仿宋_GB2312" w:cs="仿宋_GB2312"/>
                <w:color w:val="auto"/>
                <w:kern w:val="0"/>
                <w:sz w:val="30"/>
                <w:szCs w:val="30"/>
                <w:highlight w:val="none"/>
                <w:lang w:val="en-US" w:eastAsia="zh-CN" w:bidi="ar-SA"/>
              </w:rPr>
              <w:t>资本净额</w:t>
            </w:r>
          </w:p>
        </w:tc>
        <w:tc>
          <w:tcPr>
            <w:tcW w:w="456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jc w:val="center"/>
              <w:rPr>
                <w:color w:val="auto"/>
                <w:sz w:val="30"/>
                <w:szCs w:val="30"/>
              </w:rPr>
            </w:pPr>
            <w:r>
              <w:rPr>
                <w:rFonts w:hint="eastAsia" w:ascii="宋体" w:hAnsi="宋体" w:eastAsia="宋体" w:cs="宋体"/>
                <w:i w:val="0"/>
                <w:color w:val="auto"/>
                <w:kern w:val="0"/>
                <w:sz w:val="30"/>
                <w:szCs w:val="30"/>
                <w:highlight w:val="none"/>
                <w:u w:val="none"/>
                <w:lang w:val="en-US" w:eastAsia="zh-CN" w:bidi="ar"/>
              </w:rPr>
              <w:t>92632.97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w:t>
            </w:r>
            <w:r>
              <w:rPr>
                <w:rFonts w:hint="default" w:ascii="仿宋_GB2312" w:hAnsi="仿宋_GB2312" w:eastAsia="仿宋_GB2312" w:cs="仿宋_GB2312"/>
                <w:color w:val="auto"/>
                <w:kern w:val="0"/>
                <w:sz w:val="30"/>
                <w:szCs w:val="30"/>
                <w:highlight w:val="none"/>
                <w:lang w:val="en-US" w:eastAsia="zh-CN" w:bidi="ar-SA"/>
              </w:rPr>
              <w:t>其中：核心一级资本净额</w:t>
            </w:r>
          </w:p>
        </w:tc>
        <w:tc>
          <w:tcPr>
            <w:tcW w:w="456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jc w:val="center"/>
              <w:rPr>
                <w:color w:val="auto"/>
                <w:sz w:val="30"/>
                <w:szCs w:val="30"/>
              </w:rPr>
            </w:pPr>
            <w:r>
              <w:rPr>
                <w:rFonts w:hint="eastAsia" w:ascii="宋体" w:hAnsi="宋体" w:eastAsia="宋体" w:cs="宋体"/>
                <w:i w:val="0"/>
                <w:color w:val="auto"/>
                <w:kern w:val="0"/>
                <w:sz w:val="30"/>
                <w:szCs w:val="30"/>
                <w:highlight w:val="none"/>
                <w:u w:val="none"/>
                <w:lang w:val="en-US" w:eastAsia="zh-CN" w:bidi="ar"/>
              </w:rPr>
              <w:t>85769.35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nil"/>
              <w:left w:val="single" w:color="auto" w:sz="4" w:space="0"/>
              <w:bottom w:val="single" w:color="auto" w:sz="4" w:space="0"/>
              <w:right w:val="single" w:color="auto" w:sz="4" w:space="0"/>
            </w:tcBorders>
            <w:vAlign w:val="center"/>
          </w:tcPr>
          <w:p>
            <w:pPr>
              <w:pStyle w:val="10"/>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w:t>
            </w:r>
            <w:r>
              <w:rPr>
                <w:rFonts w:hint="default" w:ascii="仿宋_GB2312" w:hAnsi="仿宋_GB2312" w:eastAsia="仿宋_GB2312" w:cs="仿宋_GB2312"/>
                <w:color w:val="auto"/>
                <w:kern w:val="0"/>
                <w:sz w:val="30"/>
                <w:szCs w:val="30"/>
                <w:highlight w:val="none"/>
                <w:lang w:val="en-US" w:eastAsia="zh-CN" w:bidi="ar-SA"/>
              </w:rPr>
              <w:t>二级资本</w:t>
            </w:r>
          </w:p>
        </w:tc>
        <w:tc>
          <w:tcPr>
            <w:tcW w:w="4560" w:type="dxa"/>
            <w:tcBorders>
              <w:top w:val="nil"/>
              <w:left w:val="nil"/>
              <w:bottom w:val="single" w:color="auto" w:sz="4" w:space="0"/>
              <w:right w:val="single" w:color="auto" w:sz="4" w:space="0"/>
            </w:tcBorders>
            <w:vAlign w:val="center"/>
          </w:tcPr>
          <w:p>
            <w:pPr>
              <w:pStyle w:val="10"/>
              <w:keepNext w:val="0"/>
              <w:keepLines w:val="0"/>
              <w:widowControl/>
              <w:suppressLineNumbers w:val="0"/>
              <w:jc w:val="center"/>
              <w:rPr>
                <w:color w:val="auto"/>
                <w:sz w:val="30"/>
                <w:szCs w:val="30"/>
              </w:rPr>
            </w:pPr>
            <w:r>
              <w:rPr>
                <w:rFonts w:hint="eastAsia" w:ascii="宋体" w:hAnsi="宋体" w:eastAsia="宋体" w:cs="宋体"/>
                <w:i w:val="0"/>
                <w:color w:val="auto"/>
                <w:kern w:val="0"/>
                <w:sz w:val="30"/>
                <w:szCs w:val="30"/>
                <w:highlight w:val="none"/>
                <w:u w:val="none"/>
                <w:lang w:val="en-US" w:eastAsia="zh-CN" w:bidi="ar"/>
              </w:rPr>
              <w:t>6863.62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w:t>
            </w:r>
            <w:r>
              <w:rPr>
                <w:rFonts w:hint="default" w:ascii="仿宋_GB2312" w:hAnsi="仿宋_GB2312" w:eastAsia="仿宋_GB2312" w:cs="仿宋_GB2312"/>
                <w:color w:val="auto"/>
                <w:kern w:val="0"/>
                <w:sz w:val="30"/>
                <w:szCs w:val="30"/>
                <w:highlight w:val="none"/>
                <w:lang w:val="en-US" w:eastAsia="zh-CN" w:bidi="ar-SA"/>
              </w:rPr>
              <w:t>资本充足率</w:t>
            </w:r>
          </w:p>
        </w:tc>
        <w:tc>
          <w:tcPr>
            <w:tcW w:w="456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jc w:val="center"/>
              <w:rPr>
                <w:color w:val="auto"/>
                <w:sz w:val="30"/>
                <w:szCs w:val="30"/>
              </w:rPr>
            </w:pPr>
            <w:r>
              <w:rPr>
                <w:rFonts w:hint="eastAsia" w:ascii="宋体" w:hAnsi="宋体" w:eastAsia="宋体" w:cs="宋体"/>
                <w:i w:val="0"/>
                <w:color w:val="auto"/>
                <w:kern w:val="0"/>
                <w:sz w:val="30"/>
                <w:szCs w:val="30"/>
                <w:highlight w:val="none"/>
                <w:u w:val="none"/>
                <w:lang w:val="en-US" w:eastAsia="zh-CN" w:bidi="ar"/>
              </w:rPr>
              <w:t>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w:t>
            </w:r>
            <w:r>
              <w:rPr>
                <w:rFonts w:hint="default" w:ascii="仿宋_GB2312" w:hAnsi="仿宋_GB2312" w:eastAsia="仿宋_GB2312" w:cs="仿宋_GB2312"/>
                <w:color w:val="auto"/>
                <w:kern w:val="0"/>
                <w:sz w:val="30"/>
                <w:szCs w:val="30"/>
                <w:highlight w:val="none"/>
                <w:lang w:val="en-US" w:eastAsia="zh-CN" w:bidi="ar-SA"/>
              </w:rPr>
              <w:t>核心资本充足率</w:t>
            </w:r>
          </w:p>
        </w:tc>
        <w:tc>
          <w:tcPr>
            <w:tcW w:w="456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jc w:val="center"/>
              <w:rPr>
                <w:color w:val="auto"/>
                <w:sz w:val="30"/>
                <w:szCs w:val="30"/>
              </w:rPr>
            </w:pPr>
            <w:r>
              <w:rPr>
                <w:rFonts w:hint="eastAsia" w:ascii="宋体" w:hAnsi="宋体" w:eastAsia="宋体" w:cs="宋体"/>
                <w:i w:val="0"/>
                <w:color w:val="auto"/>
                <w:kern w:val="0"/>
                <w:sz w:val="30"/>
                <w:szCs w:val="30"/>
                <w:highlight w:val="none"/>
                <w:u w:val="none"/>
                <w:lang w:val="en-US" w:eastAsia="zh-CN" w:bidi="ar"/>
              </w:rPr>
              <w:t>15.05%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8.审计意见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lang w:eastAsia="zh-CN"/>
        </w:rPr>
      </w:pPr>
      <w:r>
        <w:rPr>
          <w:rFonts w:hint="eastAsia" w:ascii="仿宋_GB2312" w:hAnsi="Times New Roman" w:eastAsia="仿宋_GB2312" w:cs="Times New Roman"/>
          <w:spacing w:val="-6"/>
          <w:sz w:val="32"/>
          <w:szCs w:val="32"/>
          <w:highlight w:val="none"/>
          <w:lang w:val="en-US" w:eastAsia="zh-CN"/>
        </w:rPr>
        <w:t>本行2023年度财务会计报告经赣州建诚天安联合会计师事务所</w:t>
      </w:r>
      <w:r>
        <w:rPr>
          <w:rFonts w:hint="eastAsia" w:ascii="仿宋_GB2312" w:hAnsi="Times New Roman" w:eastAsia="仿宋_GB2312" w:cs="Times New Roman"/>
          <w:spacing w:val="-6"/>
          <w:sz w:val="32"/>
          <w:szCs w:val="32"/>
          <w:highlight w:val="none"/>
          <w:lang w:val="zh-CN" w:eastAsia="zh-CN"/>
        </w:rPr>
        <w:t>（普通合伙）</w:t>
      </w:r>
      <w:r>
        <w:rPr>
          <w:rFonts w:hint="eastAsia" w:ascii="仿宋_GB2312" w:hAnsi="Times New Roman" w:eastAsia="仿宋_GB2312" w:cs="Times New Roman"/>
          <w:spacing w:val="-6"/>
          <w:sz w:val="32"/>
          <w:szCs w:val="32"/>
          <w:highlight w:val="none"/>
          <w:lang w:val="en-US" w:eastAsia="zh-CN"/>
        </w:rPr>
        <w:t>按国内审计准则审计，注册会计师叶花、郑传新出具了标准无保留意见的审计报告（赣建诚会师审字[2024]第004号）</w:t>
      </w:r>
      <w:r>
        <w:rPr>
          <w:rFonts w:hint="eastAsia" w:ascii="仿宋_GB2312" w:eastAsia="仿宋_GB2312" w:cs="Times New Roman"/>
          <w:spacing w:val="-6"/>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（三）财务情况说明书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1.主要业务数据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年，本行</w:t>
      </w:r>
      <w:r>
        <w:rPr>
          <w:rFonts w:hint="eastAsia" w:ascii="仿宋_GB2312" w:hAnsi="仿宋_GB2312" w:eastAsia="仿宋_GB2312" w:cs="仿宋_GB2312"/>
          <w:color w:val="auto"/>
          <w:sz w:val="32"/>
          <w:szCs w:val="32"/>
          <w:highlight w:val="none"/>
          <w:lang w:val="zh-CN" w:eastAsia="zh-CN"/>
        </w:rPr>
        <w:t>坚持以习近平新时代中国特色社会主义思想为指导，全面贯彻党的二十大精神，</w:t>
      </w:r>
      <w:r>
        <w:rPr>
          <w:rFonts w:hint="eastAsia" w:ascii="仿宋_GB2312" w:hAnsi="仿宋_GB2312" w:eastAsia="仿宋_GB2312" w:cs="仿宋_GB2312"/>
          <w:color w:val="auto"/>
          <w:sz w:val="32"/>
          <w:szCs w:val="32"/>
          <w:highlight w:val="none"/>
          <w:lang w:eastAsia="zh-CN"/>
        </w:rPr>
        <w:t>大力践行党建领行、质量立行、合规守行、特色办行、科技兴行、人才强行、服务暖行、从严治行“八行战略”。在省联社党委、辖区党组</w:t>
      </w:r>
      <w:r>
        <w:rPr>
          <w:rFonts w:hint="eastAsia" w:ascii="仿宋_GB2312" w:hAnsi="仿宋_GB2312" w:eastAsia="仿宋_GB2312" w:cs="仿宋_GB2312"/>
          <w:color w:val="auto"/>
          <w:sz w:val="32"/>
          <w:szCs w:val="32"/>
          <w:highlight w:val="none"/>
        </w:rPr>
        <w:t>的坚强领导下，人行</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银保监部门的悉心指导下，</w:t>
      </w:r>
      <w:r>
        <w:rPr>
          <w:rFonts w:hint="eastAsia" w:ascii="仿宋_GB2312" w:hAnsi="仿宋_GB2312" w:eastAsia="仿宋_GB2312" w:cs="仿宋_GB2312"/>
          <w:color w:val="auto"/>
          <w:sz w:val="32"/>
          <w:szCs w:val="32"/>
          <w:highlight w:val="none"/>
          <w:lang w:eastAsia="zh-CN"/>
        </w:rPr>
        <w:t>县委县政府</w:t>
      </w:r>
      <w:r>
        <w:rPr>
          <w:rFonts w:hint="eastAsia" w:ascii="仿宋_GB2312" w:hAnsi="仿宋_GB2312" w:eastAsia="仿宋_GB2312" w:cs="仿宋_GB2312"/>
          <w:color w:val="auto"/>
          <w:sz w:val="32"/>
          <w:szCs w:val="32"/>
          <w:highlight w:val="none"/>
        </w:rPr>
        <w:t>的关心支持下，</w:t>
      </w:r>
      <w:r>
        <w:rPr>
          <w:rFonts w:hint="eastAsia" w:ascii="仿宋_GB2312" w:hAnsi="仿宋_GB2312" w:eastAsia="仿宋_GB2312" w:cs="仿宋_GB2312"/>
          <w:color w:val="auto"/>
          <w:sz w:val="32"/>
          <w:szCs w:val="32"/>
          <w:highlight w:val="none"/>
          <w:lang w:eastAsia="zh-CN"/>
        </w:rPr>
        <w:t>在全体</w:t>
      </w:r>
      <w:r>
        <w:rPr>
          <w:rFonts w:hint="eastAsia" w:ascii="仿宋_GB2312" w:hAnsi="仿宋_GB2312" w:eastAsia="仿宋_GB2312" w:cs="仿宋_GB2312"/>
          <w:color w:val="auto"/>
          <w:sz w:val="32"/>
          <w:szCs w:val="32"/>
          <w:highlight w:val="none"/>
        </w:rPr>
        <w:t>股东</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社会各界人士的鼎力支持下，坚持稳中求进的工作总基调，</w:t>
      </w:r>
      <w:r>
        <w:rPr>
          <w:rFonts w:hint="eastAsia" w:ascii="仿宋_GB2312" w:hAnsi="仿宋_GB2312" w:eastAsia="仿宋_GB2312" w:cs="仿宋_GB2312"/>
          <w:color w:val="auto"/>
          <w:kern w:val="0"/>
          <w:sz w:val="32"/>
          <w:szCs w:val="32"/>
          <w:highlight w:val="none"/>
          <w:lang w:eastAsia="zh-CN"/>
        </w:rPr>
        <w:t>落实</w:t>
      </w:r>
      <w:r>
        <w:rPr>
          <w:rFonts w:hint="eastAsia" w:ascii="仿宋_GB2312" w:hAnsi="仿宋_GB2312" w:eastAsia="仿宋_GB2312" w:cs="仿宋_GB2312"/>
          <w:color w:val="auto"/>
          <w:kern w:val="0"/>
          <w:sz w:val="32"/>
          <w:szCs w:val="32"/>
          <w:highlight w:val="none"/>
        </w:rPr>
        <w:t>“固本强基、提质增效”的工作总要求，</w:t>
      </w:r>
      <w:r>
        <w:rPr>
          <w:rFonts w:hint="eastAsia" w:ascii="仿宋_GB2312" w:hAnsi="仿宋_GB2312" w:eastAsia="仿宋_GB2312" w:cs="仿宋_GB2312"/>
          <w:color w:val="auto"/>
          <w:sz w:val="32"/>
          <w:szCs w:val="32"/>
          <w:highlight w:val="none"/>
          <w:lang w:val="zh-CN" w:eastAsia="zh-CN"/>
        </w:rPr>
        <w:t>坚守支农支小市场定位，抢抓市场先机，积极主动作为，各项任务落实有力有序，扛稳了地方金融主力军的大旗，践行了服务地方经济主办行的担当，展现了新时代农商银行人朝气昂扬的精神面貌，交出了较好的“年度答卷”。至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eastAsia="zh-CN"/>
        </w:rPr>
        <w:t>年末，各项资产总计</w:t>
      </w:r>
      <w:r>
        <w:rPr>
          <w:rFonts w:hint="eastAsia" w:ascii="仿宋_GB2312" w:hAnsi="仿宋_GB2312" w:eastAsia="仿宋_GB2312" w:cs="仿宋_GB2312"/>
          <w:color w:val="auto"/>
          <w:sz w:val="32"/>
          <w:szCs w:val="32"/>
          <w:highlight w:val="none"/>
          <w:lang w:val="en-US" w:eastAsia="zh-CN"/>
        </w:rPr>
        <w:t xml:space="preserve">925220.77 </w:t>
      </w:r>
      <w:r>
        <w:rPr>
          <w:rFonts w:hint="eastAsia" w:ascii="仿宋_GB2312" w:hAnsi="仿宋_GB2312" w:eastAsia="仿宋_GB2312" w:cs="仿宋_GB2312"/>
          <w:color w:val="auto"/>
          <w:sz w:val="32"/>
          <w:szCs w:val="32"/>
          <w:highlight w:val="none"/>
          <w:lang w:val="zh-CN" w:eastAsia="zh-CN"/>
        </w:rPr>
        <w:t>万元，负债总计</w:t>
      </w:r>
      <w:r>
        <w:rPr>
          <w:rFonts w:hint="eastAsia" w:ascii="仿宋_GB2312" w:hAnsi="仿宋_GB2312" w:eastAsia="仿宋_GB2312" w:cs="仿宋_GB2312"/>
          <w:color w:val="auto"/>
          <w:sz w:val="32"/>
          <w:szCs w:val="32"/>
          <w:highlight w:val="none"/>
          <w:lang w:val="en-US" w:eastAsia="zh-CN"/>
        </w:rPr>
        <w:t xml:space="preserve">833240.51 </w:t>
      </w:r>
      <w:r>
        <w:rPr>
          <w:rFonts w:hint="eastAsia" w:ascii="仿宋_GB2312" w:hAnsi="仿宋_GB2312" w:eastAsia="仿宋_GB2312" w:cs="仿宋_GB2312"/>
          <w:color w:val="auto"/>
          <w:sz w:val="32"/>
          <w:szCs w:val="32"/>
          <w:highlight w:val="none"/>
          <w:lang w:val="zh-CN" w:eastAsia="zh-CN"/>
        </w:rPr>
        <w:t>万元，所有者权益</w:t>
      </w:r>
      <w:r>
        <w:rPr>
          <w:rFonts w:hint="eastAsia" w:ascii="仿宋_GB2312" w:hAnsi="仿宋_GB2312" w:eastAsia="仿宋_GB2312" w:cs="仿宋_GB2312"/>
          <w:color w:val="auto"/>
          <w:sz w:val="32"/>
          <w:szCs w:val="32"/>
          <w:highlight w:val="none"/>
          <w:lang w:val="en-US" w:eastAsia="zh-CN"/>
        </w:rPr>
        <w:t xml:space="preserve">91980.26 </w:t>
      </w:r>
      <w:r>
        <w:rPr>
          <w:rFonts w:hint="eastAsia" w:ascii="仿宋_GB2312" w:hAnsi="仿宋_GB2312" w:eastAsia="仿宋_GB2312" w:cs="仿宋_GB2312"/>
          <w:color w:val="auto"/>
          <w:sz w:val="32"/>
          <w:szCs w:val="32"/>
          <w:highlight w:val="none"/>
          <w:lang w:val="zh-CN" w:eastAsia="zh-CN"/>
        </w:rPr>
        <w:t>万元，202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eastAsia="zh-CN"/>
        </w:rPr>
        <w:t>年实现各项收入</w:t>
      </w:r>
      <w:r>
        <w:rPr>
          <w:rFonts w:hint="eastAsia" w:ascii="仿宋_GB2312" w:hAnsi="仿宋_GB2312" w:eastAsia="仿宋_GB2312" w:cs="仿宋_GB2312"/>
          <w:color w:val="auto"/>
          <w:sz w:val="32"/>
          <w:szCs w:val="32"/>
          <w:highlight w:val="none"/>
          <w:lang w:val="en-US" w:eastAsia="zh-CN"/>
        </w:rPr>
        <w:t xml:space="preserve">45918.65 </w:t>
      </w:r>
      <w:r>
        <w:rPr>
          <w:rFonts w:hint="eastAsia" w:ascii="仿宋_GB2312" w:hAnsi="仿宋_GB2312" w:eastAsia="仿宋_GB2312" w:cs="仿宋_GB2312"/>
          <w:color w:val="auto"/>
          <w:sz w:val="32"/>
          <w:szCs w:val="32"/>
          <w:highlight w:val="none"/>
          <w:lang w:val="zh-CN"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2.利润实现情况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本行2023年实现利润总额</w:t>
      </w:r>
      <w:r>
        <w:rPr>
          <w:rFonts w:hint="default" w:ascii="仿宋_GB2312" w:hAnsi="仿宋_GB2312" w:eastAsia="仿宋_GB2312" w:cs="仿宋_GB2312"/>
          <w:color w:val="auto"/>
          <w:sz w:val="32"/>
          <w:szCs w:val="32"/>
          <w:highlight w:val="none"/>
          <w:lang w:val="en-US" w:eastAsia="zh-CN"/>
        </w:rPr>
        <w:t>11320.99</w:t>
      </w:r>
      <w:r>
        <w:rPr>
          <w:rFonts w:hint="eastAsia" w:ascii="仿宋_GB2312" w:hAnsi="仿宋_GB2312" w:eastAsia="仿宋_GB2312" w:cs="仿宋_GB2312"/>
          <w:color w:val="auto"/>
          <w:sz w:val="32"/>
          <w:szCs w:val="32"/>
          <w:highlight w:val="none"/>
          <w:lang w:val="en-US" w:eastAsia="zh-CN"/>
        </w:rPr>
        <w:t>万元，同比下降1993.32万元；当期所得税1717.10万元；实现净利润9603.89万元，同比增加18.16万元。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3.利润分配情况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2023年实现净利润9603.89万元，提取法定盈余公积金及特种专项准备1152.89万元。2023年度股金分红比例为9%（含税），其中现金比例8%、配股比例1%，并将取得的全部分红按20%的比例在现金分红中扣除个人所得税。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4.不良贷款控制效果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本行始终贯彻“合规守行”“质量立行”战略，坚持“审慎经营”理念，真实反映贷款形态，加强不良贷款清收考核，加强与司法部门对接沟通。</w:t>
      </w:r>
      <w:r>
        <w:rPr>
          <w:rFonts w:hint="eastAsia" w:ascii="仿宋_GB2312" w:hAnsi="仿宋_GB2312" w:eastAsia="仿宋_GB2312" w:cs="仿宋_GB2312"/>
          <w:color w:val="auto"/>
          <w:sz w:val="32"/>
          <w:szCs w:val="32"/>
          <w:highlight w:val="none"/>
          <w:lang w:val="zh-CN"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eastAsia="zh-CN"/>
        </w:rPr>
        <w:t>年末，本行不良贷款余额为</w:t>
      </w:r>
      <w:r>
        <w:rPr>
          <w:rFonts w:hint="eastAsia" w:ascii="仿宋_GB2312" w:hAnsi="仿宋_GB2312" w:eastAsia="仿宋_GB2312" w:cs="仿宋_GB2312"/>
          <w:color w:val="auto"/>
          <w:sz w:val="32"/>
          <w:szCs w:val="32"/>
          <w:highlight w:val="none"/>
          <w:lang w:val="en-US" w:eastAsia="zh-CN"/>
        </w:rPr>
        <w:t>13188.23</w:t>
      </w:r>
      <w:r>
        <w:rPr>
          <w:rFonts w:hint="eastAsia" w:ascii="仿宋_GB2312" w:hAnsi="仿宋_GB2312" w:eastAsia="仿宋_GB2312" w:cs="仿宋_GB2312"/>
          <w:color w:val="auto"/>
          <w:sz w:val="32"/>
          <w:szCs w:val="32"/>
          <w:highlight w:val="none"/>
          <w:lang w:val="zh-CN" w:eastAsia="zh-CN"/>
        </w:rPr>
        <w:t>万元，不良贷款率</w:t>
      </w:r>
      <w:r>
        <w:rPr>
          <w:rFonts w:hint="eastAsia" w:ascii="仿宋_GB2312" w:hAnsi="仿宋_GB2312" w:eastAsia="仿宋_GB2312" w:cs="仿宋_GB2312"/>
          <w:color w:val="auto"/>
          <w:sz w:val="32"/>
          <w:szCs w:val="32"/>
          <w:highlight w:val="none"/>
          <w:lang w:val="en-US" w:eastAsia="zh-CN"/>
        </w:rPr>
        <w:t>1.88</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各类风险管理状况</w:t>
      </w:r>
    </w:p>
    <w:p>
      <w:pPr>
        <w:keepNext w:val="0"/>
        <w:keepLines w:val="0"/>
        <w:pageBreakBefore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auto"/>
          <w:sz w:val="32"/>
          <w:szCs w:val="32"/>
          <w:highlight w:val="none"/>
        </w:rPr>
      </w:pPr>
      <w:r>
        <w:rPr>
          <w:rFonts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年，本行继续强化内控管理，完善内控制度，积极采取措施，增收节支，加大计提各项拨备，抗风险能力进一步增强。</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_GB2312" w:eastAsia="楷体_GB2312"/>
          <w:b/>
          <w:color w:val="00B0F0"/>
          <w:sz w:val="32"/>
          <w:szCs w:val="32"/>
          <w:highlight w:val="none"/>
          <w:lang w:eastAsia="zh-CN"/>
        </w:rPr>
      </w:pPr>
      <w:r>
        <w:rPr>
          <w:rFonts w:hint="eastAsia" w:ascii="楷体_GB2312" w:eastAsia="楷体_GB2312"/>
          <w:b/>
          <w:color w:val="auto"/>
          <w:sz w:val="32"/>
          <w:szCs w:val="32"/>
          <w:highlight w:val="none"/>
          <w:lang w:val="en-US" w:eastAsia="zh-CN"/>
        </w:rPr>
        <w:t>1.</w:t>
      </w:r>
      <w:r>
        <w:rPr>
          <w:rFonts w:hint="eastAsia" w:ascii="楷体_GB2312" w:eastAsia="楷体_GB2312"/>
          <w:b/>
          <w:color w:val="auto"/>
          <w:sz w:val="32"/>
          <w:szCs w:val="32"/>
          <w:highlight w:val="none"/>
        </w:rPr>
        <w:t>董事会、高级管理层对风险的监控能力</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auto"/>
          <w:sz w:val="32"/>
          <w:szCs w:val="32"/>
          <w:highlight w:val="none"/>
        </w:rPr>
      </w:pPr>
      <w:r>
        <w:rPr>
          <w:rFonts w:ascii="仿宋_GB2312" w:hAnsi="Times New Roman" w:eastAsia="仿宋_GB2312" w:cs="Times New Roman"/>
          <w:color w:val="auto"/>
          <w:sz w:val="32"/>
          <w:szCs w:val="32"/>
          <w:highlight w:val="none"/>
        </w:rPr>
        <w:t>依据《章程》规定，制定了董事会议事规则，董事会设立了风险管理</w:t>
      </w:r>
      <w:r>
        <w:rPr>
          <w:rFonts w:hint="eastAsia" w:ascii="仿宋_GB2312" w:eastAsia="仿宋_GB2312" w:cs="Times New Roman"/>
          <w:color w:val="auto"/>
          <w:sz w:val="32"/>
          <w:szCs w:val="32"/>
          <w:highlight w:val="none"/>
          <w:lang w:eastAsia="zh-CN"/>
        </w:rPr>
        <w:t>委员会、</w:t>
      </w:r>
      <w:r>
        <w:rPr>
          <w:rFonts w:ascii="仿宋_GB2312" w:hAnsi="Times New Roman" w:eastAsia="仿宋_GB2312" w:cs="Times New Roman"/>
          <w:color w:val="auto"/>
          <w:sz w:val="32"/>
          <w:szCs w:val="32"/>
          <w:highlight w:val="none"/>
        </w:rPr>
        <w:t>关联交易委员会、提名与薪酬委员会等专业管理监督机构，制定了各委员会议事规则。本行高管层专业知识丰富，高管人员中均有</w:t>
      </w:r>
      <w:r>
        <w:rPr>
          <w:rFonts w:hint="eastAsia" w:ascii="仿宋_GB2312" w:hAnsi="Times New Roman" w:eastAsia="仿宋_GB2312" w:cs="Times New Roman"/>
          <w:color w:val="auto"/>
          <w:sz w:val="32"/>
          <w:szCs w:val="32"/>
          <w:highlight w:val="none"/>
          <w:lang w:eastAsia="zh-CN"/>
        </w:rPr>
        <w:t>较长年限的</w:t>
      </w:r>
      <w:r>
        <w:rPr>
          <w:rFonts w:ascii="仿宋_GB2312" w:hAnsi="Times New Roman" w:eastAsia="仿宋_GB2312" w:cs="Times New Roman"/>
          <w:color w:val="auto"/>
          <w:sz w:val="32"/>
          <w:szCs w:val="32"/>
          <w:highlight w:val="none"/>
        </w:rPr>
        <w:t>从业经历；设立了风险合规部，专门从事风险监测和管理。</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_GB2312" w:eastAsia="楷体_GB2312"/>
          <w:b/>
          <w:color w:val="FF0000"/>
          <w:sz w:val="32"/>
          <w:szCs w:val="32"/>
          <w:highlight w:val="none"/>
          <w:lang w:eastAsia="zh-CN"/>
        </w:rPr>
      </w:pPr>
      <w:r>
        <w:rPr>
          <w:rFonts w:hint="eastAsia" w:ascii="楷体_GB2312" w:eastAsia="楷体_GB2312"/>
          <w:b/>
          <w:color w:val="auto"/>
          <w:sz w:val="32"/>
          <w:szCs w:val="32"/>
          <w:highlight w:val="none"/>
          <w:lang w:val="en-US" w:eastAsia="zh-CN"/>
        </w:rPr>
        <w:t>2.</w:t>
      </w:r>
      <w:r>
        <w:rPr>
          <w:rFonts w:ascii="楷体_GB2312" w:eastAsia="楷体_GB2312"/>
          <w:b/>
          <w:color w:val="auto"/>
          <w:sz w:val="32"/>
          <w:szCs w:val="32"/>
          <w:highlight w:val="none"/>
        </w:rPr>
        <w:t>风险管理的政策和程序</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Times New Roman" w:eastAsia="仿宋_GB2312" w:cs="Times New Roman"/>
          <w:color w:val="auto"/>
          <w:sz w:val="32"/>
          <w:szCs w:val="32"/>
          <w:highlight w:val="none"/>
        </w:rPr>
        <w:t>本行风险管理政策涵盖风险管理的各个方面，并保持连续性、稳定性和适应性，主要内容包括：风险管理的组织、职责、范围和权限的安排;对已经开展的业务全面覆盖,特别是对开发、创新、拓展业务的风险审查；适当的风险管理限额和能够承担的风险水平；风险的识别、计量、监测和控制程序；采取的压力测试的情形和范围；设立风险信息的报告路径；对重大风险和突发风险的应急处理预案。本行依据省联社“三个维度、五个层次、十大机制”的全面风险管理体系为核心，始终把全行风险控制在可承受的范围之内。建立风险合规管理三道防线，各职能部门和各营业网点为第一道防线，风险管理委员会和风险合规部为第二道防线，内部审计委员会和审计、党风行风监督部门为第三道防线。</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3.</w:t>
      </w:r>
      <w:r>
        <w:rPr>
          <w:rFonts w:hint="eastAsia" w:ascii="仿宋_GB2312" w:hAnsi="仿宋_GB2312" w:eastAsia="仿宋_GB2312" w:cs="仿宋_GB2312"/>
          <w:b/>
          <w:color w:val="auto"/>
          <w:sz w:val="32"/>
          <w:szCs w:val="32"/>
          <w:highlight w:val="none"/>
        </w:rPr>
        <w:t>风险计量、检测和管理信息系统</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rPr>
        <w:t>一是</w:t>
      </w:r>
      <w:r>
        <w:rPr>
          <w:rFonts w:hint="eastAsia" w:ascii="仿宋_GB2312" w:hAnsi="Times New Roman" w:eastAsia="仿宋_GB2312" w:cs="Times New Roman"/>
          <w:color w:val="auto"/>
          <w:sz w:val="32"/>
          <w:szCs w:val="32"/>
          <w:highlight w:val="none"/>
        </w:rPr>
        <w:t>成立了专门的风险管理机构，风险管理基本能覆盖各主要风险，能够对信用风险、市场风险、利率风险、流动性风险、操作风险、法律风险及信誉风险等各类风险进行持续的监控；</w:t>
      </w:r>
      <w:r>
        <w:rPr>
          <w:rFonts w:hint="eastAsia" w:ascii="仿宋_GB2312" w:hAnsi="Times New Roman" w:eastAsia="仿宋_GB2312" w:cs="Times New Roman"/>
          <w:b/>
          <w:bCs/>
          <w:color w:val="auto"/>
          <w:sz w:val="32"/>
          <w:szCs w:val="32"/>
          <w:highlight w:val="none"/>
        </w:rPr>
        <w:t>二是</w:t>
      </w:r>
      <w:r>
        <w:rPr>
          <w:rFonts w:hint="eastAsia" w:ascii="仿宋_GB2312" w:hAnsi="Times New Roman" w:eastAsia="仿宋_GB2312" w:cs="Times New Roman"/>
          <w:color w:val="auto"/>
          <w:sz w:val="32"/>
          <w:szCs w:val="32"/>
          <w:highlight w:val="none"/>
        </w:rPr>
        <w:t>制定了识别、计量、监测和管理风险的制度、程序和方法，建立了信贷资信查询系统，采取了贷款五级分类管理、信用评级等管理机制；</w:t>
      </w:r>
      <w:r>
        <w:rPr>
          <w:rFonts w:hint="eastAsia" w:ascii="仿宋_GB2312" w:hAnsi="Times New Roman" w:eastAsia="仿宋_GB2312" w:cs="Times New Roman"/>
          <w:b/>
          <w:bCs/>
          <w:color w:val="auto"/>
          <w:sz w:val="32"/>
          <w:szCs w:val="32"/>
          <w:highlight w:val="none"/>
        </w:rPr>
        <w:t>三是</w:t>
      </w:r>
      <w:r>
        <w:rPr>
          <w:rFonts w:hint="eastAsia" w:ascii="仿宋_GB2312" w:hAnsi="Times New Roman" w:eastAsia="仿宋_GB2312" w:cs="Times New Roman"/>
          <w:color w:val="auto"/>
          <w:sz w:val="32"/>
          <w:szCs w:val="32"/>
          <w:highlight w:val="none"/>
        </w:rPr>
        <w:t>针对不断变化的环境和情况及时修订和完善风险控制的制度、方法和手段，以控制新出现的风险或以前未能控制的风险。有较完善的产品定价机制，能做到成本可算、风险可控。</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ascii="楷体_GB2312" w:eastAsia="楷体_GB2312"/>
          <w:b/>
          <w:color w:val="auto"/>
          <w:sz w:val="32"/>
          <w:szCs w:val="32"/>
          <w:highlight w:val="none"/>
        </w:rPr>
      </w:pPr>
      <w:r>
        <w:rPr>
          <w:rFonts w:hint="eastAsia" w:ascii="楷体_GB2312" w:eastAsia="楷体_GB2312"/>
          <w:b/>
          <w:color w:val="auto"/>
          <w:sz w:val="32"/>
          <w:szCs w:val="32"/>
          <w:highlight w:val="none"/>
          <w:lang w:val="en-US" w:eastAsia="zh-CN"/>
        </w:rPr>
        <w:t>4.</w:t>
      </w:r>
      <w:r>
        <w:rPr>
          <w:rFonts w:ascii="楷体_GB2312" w:eastAsia="楷体_GB2312"/>
          <w:b/>
          <w:color w:val="auto"/>
          <w:sz w:val="32"/>
          <w:szCs w:val="32"/>
          <w:highlight w:val="none"/>
        </w:rPr>
        <w:t>内部控制和全面审计情况</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一是</w:t>
      </w:r>
      <w:r>
        <w:rPr>
          <w:rFonts w:hint="eastAsia" w:ascii="仿宋_GB2312" w:hAnsi="仿宋_GB2312" w:eastAsia="仿宋_GB2312" w:cs="仿宋_GB2312"/>
          <w:color w:val="auto"/>
          <w:sz w:val="32"/>
          <w:szCs w:val="32"/>
          <w:highlight w:val="none"/>
        </w:rPr>
        <w:t>离任审计工作</w:t>
      </w:r>
      <w:r>
        <w:rPr>
          <w:rFonts w:hint="eastAsia" w:ascii="仿宋_GB2312" w:hAnsi="仿宋_GB2312" w:eastAsia="仿宋_GB2312" w:cs="仿宋_GB2312"/>
          <w:color w:val="auto"/>
          <w:sz w:val="32"/>
          <w:szCs w:val="32"/>
          <w:highlight w:val="none"/>
          <w:lang w:eastAsia="zh-CN"/>
        </w:rPr>
        <w:t>开展情况</w:t>
      </w:r>
      <w:r>
        <w:rPr>
          <w:rFonts w:hint="eastAsia" w:ascii="仿宋_GB2312" w:hAnsi="仿宋_GB2312" w:eastAsia="仿宋_GB2312" w:cs="仿宋_GB2312"/>
          <w:color w:val="auto"/>
          <w:sz w:val="32"/>
          <w:szCs w:val="32"/>
          <w:highlight w:val="none"/>
        </w:rPr>
        <w:t>。对离任或离职员工进行了离任或经济责任审计，对任职期间业务经营、内部管理、制度执行、廉政建设等方面情况进行了审计。</w:t>
      </w:r>
      <w:r>
        <w:rPr>
          <w:rFonts w:hint="eastAsia" w:ascii="仿宋_GB2312" w:hAnsi="仿宋_GB2312" w:eastAsia="仿宋_GB2312" w:cs="仿宋_GB2312"/>
          <w:b/>
          <w:color w:val="auto"/>
          <w:sz w:val="32"/>
          <w:szCs w:val="32"/>
          <w:highlight w:val="none"/>
        </w:rPr>
        <w:t>二是</w:t>
      </w:r>
      <w:r>
        <w:rPr>
          <w:rFonts w:hint="eastAsia" w:ascii="仿宋_GB2312" w:hAnsi="仿宋_GB2312" w:eastAsia="仿宋_GB2312" w:cs="仿宋_GB2312"/>
          <w:color w:val="auto"/>
          <w:sz w:val="32"/>
          <w:szCs w:val="32"/>
          <w:highlight w:val="none"/>
        </w:rPr>
        <w:t>专项审计工作</w:t>
      </w:r>
      <w:r>
        <w:rPr>
          <w:rFonts w:hint="eastAsia" w:ascii="仿宋_GB2312" w:hAnsi="仿宋_GB2312" w:eastAsia="仿宋_GB2312" w:cs="仿宋_GB2312"/>
          <w:color w:val="auto"/>
          <w:sz w:val="32"/>
          <w:szCs w:val="32"/>
          <w:highlight w:val="none"/>
          <w:lang w:eastAsia="zh-CN"/>
        </w:rPr>
        <w:t>开展情况</w:t>
      </w:r>
      <w:r>
        <w:rPr>
          <w:rFonts w:hint="eastAsia" w:ascii="仿宋_GB2312" w:hAnsi="仿宋_GB2312" w:eastAsia="仿宋_GB2312" w:cs="仿宋_GB2312"/>
          <w:color w:val="auto"/>
          <w:sz w:val="32"/>
          <w:szCs w:val="32"/>
          <w:highlight w:val="none"/>
        </w:rPr>
        <w:t>。开展了存款业务、反洗钱、新增不良贷款、后续跟踪、绩效薪酬延期支付、案防、柜面业务操作风险、金融消费者权益保护、信息科技风险及业务连续性等专项审计，对所有网点库存现金及重要空白凭证进行了</w:t>
      </w:r>
      <w:r>
        <w:rPr>
          <w:rFonts w:hint="eastAsia" w:ascii="仿宋_GB2312" w:hAnsi="仿宋_GB2312" w:eastAsia="仿宋_GB2312" w:cs="仿宋_GB2312"/>
          <w:color w:val="auto"/>
          <w:sz w:val="32"/>
          <w:szCs w:val="32"/>
          <w:highlight w:val="none"/>
          <w:lang w:eastAsia="zh-CN"/>
        </w:rPr>
        <w:t>定期</w:t>
      </w:r>
      <w:r>
        <w:rPr>
          <w:rFonts w:hint="eastAsia" w:ascii="仿宋_GB2312" w:hAnsi="仿宋_GB2312" w:eastAsia="仿宋_GB2312" w:cs="仿宋_GB2312"/>
          <w:color w:val="auto"/>
          <w:sz w:val="32"/>
          <w:szCs w:val="32"/>
          <w:highlight w:val="none"/>
        </w:rPr>
        <w:t>检查。</w:t>
      </w:r>
      <w:r>
        <w:rPr>
          <w:rFonts w:hint="eastAsia" w:ascii="仿宋_GB2312" w:hAnsi="仿宋_GB2312" w:eastAsia="仿宋_GB2312" w:cs="仿宋_GB2312"/>
          <w:b/>
          <w:color w:val="auto"/>
          <w:sz w:val="32"/>
          <w:szCs w:val="32"/>
          <w:highlight w:val="none"/>
        </w:rPr>
        <w:t>三是</w:t>
      </w:r>
      <w:r>
        <w:rPr>
          <w:rFonts w:hint="eastAsia" w:ascii="仿宋_GB2312" w:hAnsi="仿宋_GB2312" w:eastAsia="仿宋_GB2312" w:cs="仿宋_GB2312"/>
          <w:color w:val="auto"/>
          <w:sz w:val="32"/>
          <w:szCs w:val="32"/>
          <w:highlight w:val="none"/>
        </w:rPr>
        <w:t>常规序时审计</w:t>
      </w:r>
      <w:r>
        <w:rPr>
          <w:rFonts w:hint="eastAsia" w:ascii="仿宋_GB2312" w:hAnsi="仿宋_GB2312" w:eastAsia="仿宋_GB2312" w:cs="仿宋_GB2312"/>
          <w:color w:val="auto"/>
          <w:sz w:val="32"/>
          <w:szCs w:val="32"/>
          <w:highlight w:val="none"/>
          <w:lang w:eastAsia="zh-CN"/>
        </w:rPr>
        <w:t>工作开展情况</w:t>
      </w:r>
      <w:r>
        <w:rPr>
          <w:rFonts w:hint="eastAsia" w:ascii="仿宋_GB2312" w:hAnsi="仿宋_GB2312" w:eastAsia="仿宋_GB2312" w:cs="仿宋_GB2312"/>
          <w:color w:val="auto"/>
          <w:sz w:val="32"/>
          <w:szCs w:val="32"/>
          <w:highlight w:val="none"/>
        </w:rPr>
        <w:t>。对部分辖内网点的信贷业务、存款业务、中间业务、电子银行业务、现金管理、反洗钱业务、内控、运营主管履职、安全保卫及职场管理、四项制度落实情况等内容开展了常规审计工作。</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5.</w:t>
      </w:r>
      <w:r>
        <w:rPr>
          <w:rFonts w:hint="eastAsia" w:ascii="仿宋_GB2312" w:hAnsi="仿宋_GB2312" w:eastAsia="仿宋_GB2312" w:cs="仿宋_GB2312"/>
          <w:b/>
          <w:color w:val="auto"/>
          <w:sz w:val="32"/>
          <w:szCs w:val="32"/>
          <w:highlight w:val="none"/>
        </w:rPr>
        <w:t>信用风险状况</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信用风险管理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风险管理和控制政策方面，</w:t>
      </w:r>
      <w:r>
        <w:rPr>
          <w:rFonts w:hint="eastAsia" w:ascii="仿宋_GB2312" w:hAnsi="仿宋_GB2312" w:eastAsia="仿宋_GB2312" w:cs="仿宋_GB2312"/>
          <w:b/>
          <w:color w:val="auto"/>
          <w:sz w:val="32"/>
          <w:szCs w:val="32"/>
          <w:highlight w:val="none"/>
        </w:rPr>
        <w:t>一是</w:t>
      </w:r>
      <w:r>
        <w:rPr>
          <w:rFonts w:hint="eastAsia" w:ascii="仿宋_GB2312" w:hAnsi="仿宋_GB2312" w:eastAsia="仿宋_GB2312" w:cs="仿宋_GB2312"/>
          <w:color w:val="auto"/>
          <w:sz w:val="32"/>
          <w:szCs w:val="32"/>
          <w:highlight w:val="none"/>
        </w:rPr>
        <w:t>建立了审贷分离相互制衡的风险控制体系；</w:t>
      </w:r>
      <w:r>
        <w:rPr>
          <w:rFonts w:hint="eastAsia" w:ascii="仿宋_GB2312" w:hAnsi="仿宋_GB2312" w:eastAsia="仿宋_GB2312" w:cs="仿宋_GB2312"/>
          <w:b/>
          <w:color w:val="auto"/>
          <w:sz w:val="32"/>
          <w:szCs w:val="32"/>
          <w:highlight w:val="none"/>
        </w:rPr>
        <w:t>二是</w:t>
      </w:r>
      <w:r>
        <w:rPr>
          <w:rFonts w:hint="eastAsia" w:ascii="仿宋_GB2312" w:hAnsi="仿宋_GB2312" w:eastAsia="仿宋_GB2312" w:cs="仿宋_GB2312"/>
          <w:color w:val="auto"/>
          <w:sz w:val="32"/>
          <w:szCs w:val="32"/>
          <w:highlight w:val="none"/>
        </w:rPr>
        <w:t>加强对分支机构资产质量考核和风险责任人考核制度；</w:t>
      </w:r>
      <w:r>
        <w:rPr>
          <w:rFonts w:hint="eastAsia" w:ascii="仿宋_GB2312" w:hAnsi="仿宋_GB2312" w:eastAsia="仿宋_GB2312" w:cs="仿宋_GB2312"/>
          <w:b/>
          <w:color w:val="auto"/>
          <w:sz w:val="32"/>
          <w:szCs w:val="32"/>
          <w:highlight w:val="none"/>
        </w:rPr>
        <w:t>三是</w:t>
      </w:r>
      <w:r>
        <w:rPr>
          <w:rFonts w:hint="eastAsia" w:ascii="仿宋_GB2312" w:hAnsi="仿宋_GB2312" w:eastAsia="仿宋_GB2312" w:cs="仿宋_GB2312"/>
          <w:color w:val="auto"/>
          <w:sz w:val="32"/>
          <w:szCs w:val="32"/>
          <w:highlight w:val="none"/>
        </w:rPr>
        <w:t>在加强对不良资产的重点监控与管理等方面明确了相关措施。</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 xml:space="preserve"> 资产风险分类的程序和方法</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按照审慎经营、风险防范为本的管理理念，对信贷资产进行五级分类，根据安全履行合同，及时足额偿还的可能性将信贷资产分为正常、关注、次级、可疑和损失五个类别，后三类合称为不良信贷资产，以揭示信贷资产实际价值和风险程度，真实、全面、动态地反映信贷资产质量。信贷资产风险分类是在对借款人经营状况、财务状况、担保、非财务等各项因素进行全面、综合分析的基础上，按照分类标准进行分类。信贷资产风险分类实行初分，分级认定，</w:t>
      </w:r>
      <w:r>
        <w:rPr>
          <w:rFonts w:hint="eastAsia" w:ascii="仿宋_GB2312" w:hAnsi="仿宋_GB2312" w:eastAsia="仿宋_GB2312" w:cs="仿宋_GB2312"/>
          <w:color w:val="auto"/>
          <w:sz w:val="32"/>
          <w:szCs w:val="32"/>
          <w:highlight w:val="none"/>
          <w:lang w:eastAsia="zh-CN"/>
        </w:rPr>
        <w:t>总行审批流程</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ascii="楷体_GB2312" w:eastAsia="楷体_GB2312"/>
          <w:b/>
          <w:color w:val="auto"/>
          <w:sz w:val="32"/>
          <w:szCs w:val="32"/>
          <w:highlight w:val="none"/>
        </w:rPr>
      </w:pPr>
      <w:r>
        <w:rPr>
          <w:rFonts w:hint="eastAsia" w:ascii="楷体_GB2312" w:eastAsia="楷体_GB2312"/>
          <w:b/>
          <w:color w:val="auto"/>
          <w:sz w:val="32"/>
          <w:szCs w:val="32"/>
          <w:highlight w:val="none"/>
          <w:lang w:val="en-US" w:eastAsia="zh-CN"/>
        </w:rPr>
        <w:t>（3）</w:t>
      </w:r>
      <w:r>
        <w:rPr>
          <w:rFonts w:ascii="楷体_GB2312" w:eastAsia="楷体_GB2312"/>
          <w:b/>
          <w:color w:val="auto"/>
          <w:sz w:val="32"/>
          <w:szCs w:val="32"/>
          <w:highlight w:val="none"/>
        </w:rPr>
        <w:t>信贷资产分布情况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本行以“立足</w:t>
      </w:r>
      <w:r>
        <w:rPr>
          <w:rFonts w:hint="eastAsia" w:ascii="仿宋_GB2312" w:hAnsi="仿宋_GB2312" w:eastAsia="仿宋_GB2312" w:cs="仿宋_GB2312"/>
          <w:color w:val="auto"/>
          <w:sz w:val="32"/>
          <w:szCs w:val="32"/>
          <w:highlight w:val="none"/>
          <w:lang w:eastAsia="zh-CN"/>
        </w:rPr>
        <w:t>本土</w:t>
      </w:r>
      <w:r>
        <w:rPr>
          <w:rFonts w:hint="eastAsia" w:ascii="仿宋_GB2312" w:hAnsi="仿宋_GB2312" w:eastAsia="仿宋_GB2312" w:cs="仿宋_GB2312"/>
          <w:color w:val="auto"/>
          <w:sz w:val="32"/>
          <w:szCs w:val="32"/>
          <w:highlight w:val="none"/>
        </w:rPr>
        <w:t>、服务社区、支农支小”为市场定位，重点满足“三农”及小微企业的信贷需求，大力拓宽服务领域，不断创新服务手段，大力促进城乡经济协调发展，贷款分布主要集中在农、林、牧、渔业，批发和零售业等个人贷款</w:t>
      </w:r>
      <w:r>
        <w:rPr>
          <w:rFonts w:hint="eastAsia" w:ascii="仿宋_GB2312" w:hAnsi="仿宋_GB2312" w:eastAsia="仿宋_GB2312" w:cs="仿宋_GB2312"/>
          <w:color w:val="auto"/>
          <w:sz w:val="32"/>
          <w:szCs w:val="32"/>
          <w:highlight w:val="none"/>
          <w:lang w:eastAsia="zh-CN"/>
        </w:rPr>
        <w:t>业务。至</w:t>
      </w:r>
      <w:r>
        <w:rPr>
          <w:rFonts w:hint="eastAsia" w:ascii="仿宋_GB2312" w:hAnsi="仿宋_GB2312" w:eastAsia="仿宋_GB2312" w:cs="仿宋_GB2312"/>
          <w:color w:val="auto"/>
          <w:sz w:val="32"/>
          <w:szCs w:val="32"/>
          <w:highlight w:val="none"/>
          <w:lang w:val="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rPr>
        <w:t>年末，涉农贷款余额</w:t>
      </w:r>
      <w:r>
        <w:rPr>
          <w:rFonts w:hint="eastAsia" w:ascii="仿宋_GB2312" w:hAnsi="仿宋_GB2312" w:eastAsia="仿宋_GB2312" w:cs="仿宋_GB2312"/>
          <w:color w:val="auto"/>
          <w:sz w:val="32"/>
          <w:szCs w:val="32"/>
          <w:highlight w:val="none"/>
          <w:lang w:val="en-US" w:eastAsia="zh-CN"/>
        </w:rPr>
        <w:t>38.03</w:t>
      </w:r>
      <w:r>
        <w:rPr>
          <w:rFonts w:hint="eastAsia" w:ascii="仿宋_GB2312" w:hAnsi="仿宋_GB2312" w:eastAsia="仿宋_GB2312" w:cs="仿宋_GB2312"/>
          <w:color w:val="auto"/>
          <w:sz w:val="32"/>
          <w:szCs w:val="32"/>
          <w:highlight w:val="none"/>
          <w:lang w:val="zh-CN"/>
        </w:rPr>
        <w:t>亿元，较年初增加1.</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lang w:val="zh-CN"/>
        </w:rPr>
        <w:t>亿元，实现涉农贷款持续增长目标。小微企业贷款余额</w:t>
      </w:r>
      <w:r>
        <w:rPr>
          <w:rFonts w:hint="eastAsia" w:ascii="仿宋_GB2312" w:hAnsi="仿宋_GB2312" w:eastAsia="仿宋_GB2312" w:cs="仿宋_GB2312"/>
          <w:color w:val="auto"/>
          <w:sz w:val="32"/>
          <w:szCs w:val="32"/>
          <w:highlight w:val="none"/>
          <w:lang w:val="en-US" w:eastAsia="zh-CN"/>
        </w:rPr>
        <w:t>19.83</w:t>
      </w:r>
      <w:r>
        <w:rPr>
          <w:rFonts w:hint="eastAsia" w:ascii="仿宋_GB2312" w:hAnsi="仿宋_GB2312" w:eastAsia="仿宋_GB2312" w:cs="仿宋_GB2312"/>
          <w:color w:val="auto"/>
          <w:sz w:val="32"/>
          <w:szCs w:val="32"/>
          <w:highlight w:val="none"/>
          <w:lang w:val="zh-CN"/>
        </w:rPr>
        <w:t>亿元，较年初增加</w:t>
      </w:r>
      <w:r>
        <w:rPr>
          <w:rFonts w:hint="eastAsia" w:ascii="仿宋_GB2312" w:hAnsi="仿宋_GB2312" w:eastAsia="仿宋_GB2312" w:cs="仿宋_GB2312"/>
          <w:color w:val="auto"/>
          <w:sz w:val="32"/>
          <w:szCs w:val="32"/>
          <w:highlight w:val="none"/>
          <w:lang w:val="en-US" w:eastAsia="zh-CN"/>
        </w:rPr>
        <w:t>3.92</w:t>
      </w:r>
      <w:r>
        <w:rPr>
          <w:rFonts w:hint="eastAsia" w:ascii="仿宋_GB2312" w:hAnsi="仿宋_GB2312" w:eastAsia="仿宋_GB2312" w:cs="仿宋_GB2312"/>
          <w:color w:val="auto"/>
          <w:sz w:val="32"/>
          <w:szCs w:val="32"/>
          <w:highlight w:val="none"/>
          <w:lang w:val="zh-CN"/>
        </w:rPr>
        <w:t>亿元，增幅</w:t>
      </w:r>
      <w:r>
        <w:rPr>
          <w:rFonts w:hint="eastAsia" w:ascii="仿宋_GB2312" w:hAnsi="仿宋_GB2312" w:eastAsia="仿宋_GB2312" w:cs="仿宋_GB2312"/>
          <w:color w:val="auto"/>
          <w:sz w:val="32"/>
          <w:szCs w:val="32"/>
          <w:highlight w:val="none"/>
          <w:lang w:val="en-US" w:eastAsia="zh-CN"/>
        </w:rPr>
        <w:t>24.6</w:t>
      </w:r>
      <w:r>
        <w:rPr>
          <w:rFonts w:hint="eastAsia" w:ascii="仿宋_GB2312" w:hAnsi="仿宋_GB2312" w:eastAsia="仿宋_GB2312" w:cs="仿宋_GB2312"/>
          <w:color w:val="auto"/>
          <w:sz w:val="32"/>
          <w:szCs w:val="32"/>
          <w:highlight w:val="none"/>
          <w:lang w:val="zh-CN"/>
        </w:rPr>
        <w:t>%。其中我行1000万元以下普惠型小微企业贷款余额</w:t>
      </w:r>
      <w:r>
        <w:rPr>
          <w:rFonts w:hint="eastAsia" w:ascii="仿宋_GB2312" w:hAnsi="仿宋_GB2312" w:eastAsia="仿宋_GB2312" w:cs="仿宋_GB2312"/>
          <w:color w:val="auto"/>
          <w:sz w:val="32"/>
          <w:szCs w:val="32"/>
          <w:highlight w:val="none"/>
          <w:lang w:val="en-US" w:eastAsia="zh-CN"/>
        </w:rPr>
        <w:t>17.90</w:t>
      </w:r>
      <w:r>
        <w:rPr>
          <w:rFonts w:hint="eastAsia" w:ascii="仿宋_GB2312" w:hAnsi="仿宋_GB2312" w:eastAsia="仿宋_GB2312" w:cs="仿宋_GB2312"/>
          <w:color w:val="auto"/>
          <w:sz w:val="32"/>
          <w:szCs w:val="32"/>
          <w:highlight w:val="none"/>
          <w:lang w:val="zh-CN"/>
        </w:rPr>
        <w:t>亿元，较年初增加</w:t>
      </w:r>
      <w:r>
        <w:rPr>
          <w:rFonts w:hint="eastAsia" w:ascii="仿宋_GB2312" w:hAnsi="仿宋_GB2312" w:eastAsia="仿宋_GB2312" w:cs="仿宋_GB2312"/>
          <w:color w:val="auto"/>
          <w:sz w:val="32"/>
          <w:szCs w:val="32"/>
          <w:highlight w:val="none"/>
          <w:lang w:val="en-US" w:eastAsia="zh-CN"/>
        </w:rPr>
        <w:t>2.89</w:t>
      </w:r>
      <w:r>
        <w:rPr>
          <w:rFonts w:hint="eastAsia" w:ascii="仿宋_GB2312" w:hAnsi="仿宋_GB2312" w:eastAsia="仿宋_GB2312" w:cs="仿宋_GB2312"/>
          <w:color w:val="auto"/>
          <w:sz w:val="32"/>
          <w:szCs w:val="32"/>
          <w:highlight w:val="none"/>
          <w:lang w:val="zh-CN"/>
        </w:rPr>
        <w:t>亿，增速</w:t>
      </w:r>
      <w:r>
        <w:rPr>
          <w:rFonts w:hint="eastAsia" w:ascii="仿宋_GB2312" w:hAnsi="仿宋_GB2312" w:eastAsia="仿宋_GB2312" w:cs="仿宋_GB2312"/>
          <w:color w:val="auto"/>
          <w:sz w:val="32"/>
          <w:szCs w:val="32"/>
          <w:highlight w:val="none"/>
          <w:lang w:val="en-US" w:eastAsia="zh-CN"/>
        </w:rPr>
        <w:t>19.22</w:t>
      </w:r>
      <w:r>
        <w:rPr>
          <w:rFonts w:hint="eastAsia" w:ascii="仿宋_GB2312" w:hAnsi="仿宋_GB2312" w:eastAsia="仿宋_GB2312" w:cs="仿宋_GB2312"/>
          <w:color w:val="auto"/>
          <w:sz w:val="32"/>
          <w:szCs w:val="32"/>
          <w:highlight w:val="none"/>
          <w:lang w:val="zh-CN"/>
        </w:rPr>
        <w:t>%，高于各项贷款 (剔除票据) 增速</w:t>
      </w:r>
      <w:r>
        <w:rPr>
          <w:rFonts w:hint="eastAsia" w:ascii="仿宋_GB2312" w:hAnsi="仿宋_GB2312" w:eastAsia="仿宋_GB2312" w:cs="仿宋_GB2312"/>
          <w:color w:val="auto"/>
          <w:sz w:val="32"/>
          <w:szCs w:val="32"/>
          <w:highlight w:val="none"/>
          <w:lang w:val="en-US" w:eastAsia="zh-CN"/>
        </w:rPr>
        <w:t>7.96</w:t>
      </w:r>
      <w:r>
        <w:rPr>
          <w:rFonts w:hint="eastAsia" w:ascii="仿宋_GB2312" w:hAnsi="仿宋_GB2312" w:eastAsia="仿宋_GB2312" w:cs="仿宋_GB2312"/>
          <w:color w:val="auto"/>
          <w:sz w:val="32"/>
          <w:szCs w:val="32"/>
          <w:highlight w:val="none"/>
          <w:lang w:val="zh-CN"/>
        </w:rPr>
        <w:t>个百分点，实现两增两控目标。202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rPr>
        <w:t>年末普惠型小微贷款97</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lang w:val="zh-CN"/>
        </w:rPr>
        <w:t>户，较年初增加</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lang w:val="zh-CN"/>
        </w:rPr>
        <w:t>户。普惠型小微贷款平均利率5.</w:t>
      </w:r>
      <w:r>
        <w:rPr>
          <w:rFonts w:hint="eastAsia" w:ascii="仿宋_GB2312" w:hAnsi="仿宋_GB2312" w:eastAsia="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lang w:val="zh-CN"/>
        </w:rPr>
        <w:t>%，较年初下降0.</w:t>
      </w: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lang w:val="zh-CN"/>
        </w:rPr>
        <w:t>个百分点，切实降低了小微企业贷款融资成本。202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rPr>
        <w:t>年末，绿色贷款余额</w:t>
      </w:r>
      <w:r>
        <w:rPr>
          <w:rFonts w:hint="eastAsia" w:ascii="仿宋_GB2312" w:hAnsi="仿宋_GB2312" w:eastAsia="仿宋_GB2312" w:cs="仿宋_GB2312"/>
          <w:color w:val="auto"/>
          <w:sz w:val="32"/>
          <w:szCs w:val="32"/>
          <w:highlight w:val="none"/>
          <w:lang w:val="en-US" w:eastAsia="zh-CN"/>
        </w:rPr>
        <w:t>1.14</w:t>
      </w:r>
      <w:r>
        <w:rPr>
          <w:rFonts w:hint="eastAsia" w:ascii="仿宋_GB2312" w:hAnsi="仿宋_GB2312" w:eastAsia="仿宋_GB2312" w:cs="仿宋_GB2312"/>
          <w:color w:val="auto"/>
          <w:sz w:val="32"/>
          <w:szCs w:val="32"/>
          <w:highlight w:val="none"/>
          <w:lang w:val="zh-CN"/>
        </w:rPr>
        <w:t>亿元 ，较年初增加</w:t>
      </w:r>
      <w:r>
        <w:rPr>
          <w:rFonts w:hint="eastAsia" w:ascii="仿宋_GB2312" w:hAnsi="仿宋_GB2312" w:eastAsia="仿宋_GB2312" w:cs="仿宋_GB2312"/>
          <w:color w:val="auto"/>
          <w:sz w:val="32"/>
          <w:szCs w:val="32"/>
          <w:highlight w:val="none"/>
          <w:lang w:val="en-US" w:eastAsia="zh-CN"/>
        </w:rPr>
        <w:t>0.22</w:t>
      </w:r>
      <w:r>
        <w:rPr>
          <w:rFonts w:hint="eastAsia" w:ascii="仿宋_GB2312" w:hAnsi="仿宋_GB2312" w:eastAsia="仿宋_GB2312" w:cs="仿宋_GB2312"/>
          <w:color w:val="auto"/>
          <w:sz w:val="32"/>
          <w:szCs w:val="32"/>
          <w:highlight w:val="none"/>
          <w:lang w:val="zh-CN"/>
        </w:rPr>
        <w:t>万元 ，增幅</w:t>
      </w:r>
      <w:r>
        <w:rPr>
          <w:rFonts w:hint="eastAsia" w:ascii="仿宋_GB2312" w:hAnsi="仿宋_GB2312" w:eastAsia="仿宋_GB2312" w:cs="仿宋_GB2312"/>
          <w:color w:val="auto"/>
          <w:sz w:val="32"/>
          <w:szCs w:val="32"/>
          <w:highlight w:val="none"/>
          <w:lang w:val="en-US" w:eastAsia="zh-CN"/>
        </w:rPr>
        <w:t>23.91</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rPr>
        <w:t>涵盖了绿色农业、绿色林业、资源循环利用、可再生能源及清洁能源等多个项目，主动履行了我行在环境、资源等方面的社会责任。</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default" w:ascii="楷体_GB2312" w:eastAsia="楷体_GB2312"/>
          <w:b/>
          <w:color w:val="auto"/>
          <w:sz w:val="32"/>
          <w:szCs w:val="32"/>
          <w:highlight w:val="none"/>
          <w:lang w:val="en-US" w:eastAsia="zh-CN"/>
        </w:rPr>
      </w:pPr>
      <w:r>
        <w:rPr>
          <w:rFonts w:hint="eastAsia" w:ascii="楷体_GB2312" w:eastAsia="楷体_GB2312"/>
          <w:b/>
          <w:color w:val="auto"/>
          <w:sz w:val="32"/>
          <w:szCs w:val="32"/>
          <w:highlight w:val="none"/>
          <w:lang w:val="en-US" w:eastAsia="zh-CN"/>
        </w:rPr>
        <w:t>（4）</w:t>
      </w:r>
      <w:r>
        <w:rPr>
          <w:rFonts w:ascii="楷体_GB2312" w:eastAsia="楷体_GB2312"/>
          <w:b/>
          <w:color w:val="auto"/>
          <w:sz w:val="32"/>
          <w:szCs w:val="32"/>
          <w:highlight w:val="none"/>
        </w:rPr>
        <w:t>信用风险集中程度</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授信集中度较为合理，符合监管要求。202</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年末，</w:t>
      </w:r>
      <w:r>
        <w:rPr>
          <w:rFonts w:hint="eastAsia" w:ascii="仿宋_GB2312" w:eastAsia="仿宋_GB2312"/>
          <w:color w:val="auto"/>
          <w:sz w:val="32"/>
          <w:szCs w:val="32"/>
          <w:highlight w:val="none"/>
        </w:rPr>
        <w:t>非同业单一客户风险暴露集中度</w:t>
      </w:r>
      <w:r>
        <w:rPr>
          <w:rFonts w:hint="eastAsia" w:ascii="仿宋_GB2312" w:eastAsia="仿宋_GB2312"/>
          <w:color w:val="auto"/>
          <w:sz w:val="32"/>
          <w:szCs w:val="32"/>
          <w:highlight w:val="none"/>
          <w:lang w:val="en-US" w:eastAsia="zh-CN"/>
        </w:rPr>
        <w:t>11.7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非同业单一客户贷款集中度</w:t>
      </w:r>
      <w:r>
        <w:rPr>
          <w:rFonts w:hint="eastAsia" w:ascii="仿宋_GB2312" w:eastAsia="仿宋_GB2312"/>
          <w:color w:val="auto"/>
          <w:sz w:val="32"/>
          <w:szCs w:val="32"/>
          <w:highlight w:val="none"/>
          <w:lang w:val="en-US" w:eastAsia="zh-CN"/>
        </w:rPr>
        <w:t>3.45%，非同业集团及经济依存客户风险暴露集中度4.17%，同业单一客户风险暴露集中度12.83%，同业集团客户风险暴露集中度0%，最大单家同业融出比例12.83%，单一客户关联度0.26%，</w:t>
      </w:r>
      <w:r>
        <w:rPr>
          <w:rFonts w:ascii="仿宋_GB2312" w:eastAsia="仿宋_GB2312"/>
          <w:color w:val="auto"/>
          <w:sz w:val="32"/>
          <w:szCs w:val="32"/>
          <w:highlight w:val="none"/>
        </w:rPr>
        <w:t>全部关联度</w:t>
      </w:r>
      <w:r>
        <w:rPr>
          <w:rFonts w:hint="eastAsia" w:ascii="仿宋_GB2312" w:eastAsia="仿宋_GB2312"/>
          <w:color w:val="auto"/>
          <w:sz w:val="32"/>
          <w:szCs w:val="32"/>
          <w:highlight w:val="none"/>
          <w:lang w:val="en-US" w:eastAsia="zh-CN"/>
        </w:rPr>
        <w:t>4.26</w:t>
      </w:r>
      <w:r>
        <w:rPr>
          <w:rFonts w:ascii="仿宋_GB2312" w:eastAsia="仿宋_GB2312"/>
          <w:color w:val="auto"/>
          <w:sz w:val="32"/>
          <w:szCs w:val="32"/>
          <w:highlight w:val="none"/>
        </w:rPr>
        <w:t>%，均在监管要求比例之内。</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_GB2312" w:eastAsia="楷体_GB2312"/>
          <w:b/>
          <w:color w:val="auto"/>
          <w:sz w:val="32"/>
          <w:szCs w:val="32"/>
          <w:highlight w:val="none"/>
          <w:lang w:eastAsia="zh-CN"/>
        </w:rPr>
      </w:pPr>
      <w:r>
        <w:rPr>
          <w:rFonts w:hint="eastAsia" w:ascii="楷体_GB2312" w:eastAsia="楷体_GB2312"/>
          <w:b/>
          <w:color w:val="auto"/>
          <w:sz w:val="32"/>
          <w:szCs w:val="32"/>
          <w:highlight w:val="none"/>
          <w:lang w:val="en-US" w:eastAsia="zh-CN"/>
        </w:rPr>
        <w:t>6.</w:t>
      </w:r>
      <w:r>
        <w:rPr>
          <w:rFonts w:ascii="楷体_GB2312" w:eastAsia="楷体_GB2312"/>
          <w:b/>
          <w:color w:val="auto"/>
          <w:sz w:val="32"/>
          <w:szCs w:val="32"/>
          <w:highlight w:val="none"/>
        </w:rPr>
        <w:t>流动性风险状况</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hAnsi="Times New Roman" w:eastAsia="仿宋_GB2312" w:cs="Times New Roman"/>
          <w:color w:val="auto"/>
          <w:sz w:val="32"/>
          <w:szCs w:val="32"/>
          <w:highlight w:val="none"/>
        </w:rPr>
        <w:t>流动性指标基本符合监管要求。2023年末，流动性比例为45.97%,较去年同期增加5.76个百分点，高于监管要求20.97个百分点;核心负债依存度为61.8%，较去年同期下降2.70个百分点，高于监管要求1.8个百分点；流动性缺口率为26.64%，较去年同期下降0.55个百分点，高于监管要求36.64个百分点;调整后的存贷款比例为87.36%，较去年同期上升1.55个百分点。</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_GB2312" w:eastAsia="楷体_GB2312"/>
          <w:b/>
          <w:color w:val="auto"/>
          <w:sz w:val="32"/>
          <w:szCs w:val="32"/>
          <w:highlight w:val="none"/>
          <w:lang w:eastAsia="zh-CN"/>
        </w:rPr>
      </w:pPr>
      <w:r>
        <w:rPr>
          <w:rFonts w:hint="eastAsia" w:ascii="楷体_GB2312" w:eastAsia="楷体_GB2312"/>
          <w:b/>
          <w:color w:val="auto"/>
          <w:sz w:val="32"/>
          <w:szCs w:val="32"/>
          <w:highlight w:val="none"/>
          <w:lang w:val="en-US" w:eastAsia="zh-CN"/>
        </w:rPr>
        <w:t>7.</w:t>
      </w:r>
      <w:r>
        <w:rPr>
          <w:rFonts w:ascii="楷体_GB2312" w:eastAsia="楷体_GB2312"/>
          <w:b/>
          <w:color w:val="auto"/>
          <w:sz w:val="32"/>
          <w:szCs w:val="32"/>
          <w:highlight w:val="none"/>
        </w:rPr>
        <w:t>操作风险状况</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为确保我行各项业务的正常运作，及时发现和纠正业务经营中存在的问题，</w:t>
      </w:r>
      <w:r>
        <w:rPr>
          <w:rFonts w:hint="eastAsia" w:ascii="仿宋_GB2312" w:hAnsi="仿宋_GB2312" w:eastAsia="仿宋_GB2312" w:cs="仿宋_GB2312"/>
          <w:sz w:val="32"/>
          <w:szCs w:val="32"/>
          <w:highlight w:val="none"/>
          <w:lang w:val="en-US" w:eastAsia="zh-CN"/>
        </w:rPr>
        <w:t>我行多措并举</w:t>
      </w:r>
      <w:r>
        <w:rPr>
          <w:rFonts w:hint="eastAsia" w:ascii="仿宋_GB2312" w:hAnsi="仿宋_GB2312" w:eastAsia="仿宋_GB2312" w:cs="仿宋_GB2312"/>
          <w:sz w:val="32"/>
          <w:szCs w:val="32"/>
          <w:highlight w:val="none"/>
        </w:rPr>
        <w:t>防范操作风险和事故的发生，促进各项业务合规经营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sz w:val="32"/>
          <w:szCs w:val="32"/>
          <w:highlight w:val="none"/>
        </w:rPr>
        <w:t>一是</w:t>
      </w:r>
      <w:r>
        <w:rPr>
          <w:rFonts w:hint="eastAsia" w:ascii="仿宋_GB2312" w:hAnsi="仿宋_GB2312" w:eastAsia="仿宋_GB2312" w:cs="仿宋_GB2312"/>
          <w:sz w:val="32"/>
          <w:szCs w:val="32"/>
          <w:highlight w:val="none"/>
        </w:rPr>
        <w:t>制定严格规范的业务流程，划清各部门、各岗位间业务边界，部门之间职责分工明确，相关职能适当分离，避免潜在的利益冲突；</w:t>
      </w:r>
      <w:r>
        <w:rPr>
          <w:rFonts w:hint="eastAsia" w:ascii="仿宋_GB2312" w:hAnsi="仿宋_GB2312" w:eastAsia="仿宋_GB2312" w:cs="仿宋_GB2312"/>
          <w:b/>
          <w:sz w:val="32"/>
          <w:szCs w:val="32"/>
          <w:highlight w:val="none"/>
        </w:rPr>
        <w:t>二是</w:t>
      </w:r>
      <w:r>
        <w:rPr>
          <w:rFonts w:hint="eastAsia" w:ascii="仿宋_GB2312" w:hAnsi="仿宋_GB2312" w:eastAsia="仿宋_GB2312" w:cs="仿宋_GB2312"/>
          <w:sz w:val="32"/>
          <w:szCs w:val="32"/>
          <w:highlight w:val="none"/>
        </w:rPr>
        <w:t>密切监测风险限额或权限的执行情况；定期对交易和账户进行复核和对账；</w:t>
      </w:r>
      <w:r>
        <w:rPr>
          <w:rFonts w:hint="eastAsia" w:ascii="仿宋_GB2312" w:hAnsi="仿宋_GB2312" w:eastAsia="仿宋_GB2312" w:cs="仿宋_GB2312"/>
          <w:b/>
          <w:sz w:val="32"/>
          <w:szCs w:val="32"/>
          <w:highlight w:val="none"/>
        </w:rPr>
        <w:t>三是</w:t>
      </w:r>
      <w:r>
        <w:rPr>
          <w:rFonts w:hint="eastAsia" w:ascii="仿宋_GB2312" w:hAnsi="仿宋_GB2312" w:eastAsia="仿宋_GB2312" w:cs="仿宋_GB2312"/>
          <w:sz w:val="32"/>
          <w:szCs w:val="32"/>
          <w:highlight w:val="none"/>
        </w:rPr>
        <w:t>强化员工培训，使员工的业务能力与业务发展相适应，通过培训提升员工的合规意识；</w:t>
      </w:r>
      <w:r>
        <w:rPr>
          <w:rFonts w:hint="eastAsia" w:ascii="仿宋_GB2312" w:hAnsi="仿宋_GB2312" w:eastAsia="仿宋_GB2312" w:cs="仿宋_GB2312"/>
          <w:b/>
          <w:sz w:val="32"/>
          <w:szCs w:val="32"/>
          <w:highlight w:val="none"/>
        </w:rPr>
        <w:t>四是</w:t>
      </w:r>
      <w:r>
        <w:rPr>
          <w:rFonts w:hint="eastAsia" w:ascii="仿宋_GB2312" w:hAnsi="仿宋_GB2312" w:eastAsia="仿宋_GB2312" w:cs="仿宋_GB2312"/>
          <w:sz w:val="32"/>
          <w:szCs w:val="32"/>
          <w:highlight w:val="none"/>
        </w:rPr>
        <w:t>建立员工署名揭发违法违规问题的激励和保护制度及对操作风险管控奖惩兼顾的激励约束机制；加强日常监督检查，不断纠正不规范行为，有效化解操作风险；</w:t>
      </w:r>
      <w:r>
        <w:rPr>
          <w:rFonts w:hint="eastAsia" w:ascii="仿宋_GB2312" w:hAnsi="仿宋_GB2312" w:eastAsia="仿宋_GB2312" w:cs="仿宋_GB2312"/>
          <w:b/>
          <w:sz w:val="32"/>
          <w:szCs w:val="32"/>
          <w:highlight w:val="none"/>
        </w:rPr>
        <w:t>五是</w:t>
      </w:r>
      <w:r>
        <w:rPr>
          <w:rFonts w:hint="eastAsia" w:ascii="仿宋_GB2312" w:hAnsi="仿宋_GB2312" w:eastAsia="仿宋_GB2312" w:cs="仿宋_GB2312"/>
          <w:sz w:val="32"/>
          <w:szCs w:val="32"/>
          <w:highlight w:val="none"/>
        </w:rPr>
        <w:t>切实抓好整改。对检查发现的问题，责令限期整改，明确整改责任人，问题责任人为整改执行责任人，运营主管为整改监督责任人，明确每一个问题的整改措施、整改期限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落实到岗到人，定期收集汇总整改相关资料，掌握整改进度，实行销号管理。</w:t>
      </w:r>
      <w:r>
        <w:rPr>
          <w:rFonts w:hint="eastAsia" w:ascii="仿宋_GB2312" w:hAnsi="仿宋_GB2312" w:eastAsia="仿宋_GB2312" w:cs="仿宋_GB2312"/>
          <w:b/>
          <w:sz w:val="32"/>
          <w:szCs w:val="32"/>
          <w:highlight w:val="none"/>
        </w:rPr>
        <w:t>六是</w:t>
      </w:r>
      <w:r>
        <w:rPr>
          <w:rFonts w:hint="eastAsia" w:ascii="仿宋_GB2312" w:hAnsi="仿宋_GB2312" w:eastAsia="仿宋_GB2312" w:cs="仿宋_GB2312"/>
          <w:sz w:val="32"/>
          <w:szCs w:val="32"/>
          <w:highlight w:val="none"/>
        </w:rPr>
        <w:t>强化风险管控。在信贷管理方面，严格执行贷款“三查”制度，督促贷款“三查”环节岗位人员履职尽职，按规定开展贷前实地调查、贷后实地检查，严把客户准入关，注重对贷款资金实际用途、第一还款来源、第二还款来源的调查、审查，加强客户关联信息、关联贷款的管理，对信用观念差、还贷意愿差、不配合贷前、贷后检查的客户审慎放贷。</w:t>
      </w:r>
      <w:r>
        <w:rPr>
          <w:rFonts w:hint="eastAsia" w:ascii="仿宋_GB2312" w:hAnsi="仿宋_GB2312" w:eastAsia="仿宋_GB2312" w:cs="仿宋_GB2312"/>
          <w:b/>
          <w:sz w:val="32"/>
          <w:szCs w:val="32"/>
          <w:highlight w:val="none"/>
        </w:rPr>
        <w:t>七是</w:t>
      </w:r>
      <w:r>
        <w:rPr>
          <w:rFonts w:hint="eastAsia" w:ascii="仿宋_GB2312" w:hAnsi="仿宋_GB2312" w:eastAsia="仿宋_GB2312" w:cs="仿宋_GB2312"/>
          <w:sz w:val="32"/>
          <w:szCs w:val="32"/>
          <w:highlight w:val="none"/>
        </w:rPr>
        <w:t>建立长效机制。加强对员工的培训教育，重视全员的合规理念培育和业务操作指导，不断增强员工的合规意识、风险意识和责任意识。注重审计成果的运用，全面深入分析审计发现问题的成因，结合实际对相关问题进行纠正，对相关制度进行完善，争取以点带面、以审促改效果。</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截止报告日，我行暂未发生重大操作风险事件。</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_GB2312" w:eastAsia="楷体_GB2312"/>
          <w:b/>
          <w:color w:val="auto"/>
          <w:sz w:val="32"/>
          <w:szCs w:val="32"/>
          <w:highlight w:val="none"/>
        </w:rPr>
      </w:pPr>
      <w:r>
        <w:rPr>
          <w:rFonts w:hint="eastAsia" w:ascii="楷体_GB2312" w:eastAsia="楷体_GB2312"/>
          <w:b/>
          <w:color w:val="auto"/>
          <w:sz w:val="32"/>
          <w:szCs w:val="32"/>
          <w:highlight w:val="none"/>
          <w:lang w:val="en-US" w:eastAsia="zh-CN"/>
        </w:rPr>
        <w:t>8.</w:t>
      </w:r>
      <w:r>
        <w:rPr>
          <w:rFonts w:hint="eastAsia" w:ascii="楷体_GB2312" w:eastAsia="楷体_GB2312"/>
          <w:b/>
          <w:color w:val="auto"/>
          <w:sz w:val="32"/>
          <w:szCs w:val="32"/>
          <w:highlight w:val="none"/>
        </w:rPr>
        <w:t>同业竞争风险</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目前，随着金融市场对外开放和金融体制改革的深入，银行同业竞争将更加激烈，银行金融机构都面临诸如客户流失、市场份额下降等挑战。</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针对同业竞争风险，本行通过建立高效、灵活的经营机制，调整营销策略，合理确定市场定位，寻找市场空缺，加强服务手段创新，以提升核心竞争能力，培养并逐渐扩大基本客户群，稳定优质客户群，争取更大的市场份额，继续</w:t>
      </w:r>
      <w:r>
        <w:rPr>
          <w:rFonts w:hint="eastAsia" w:ascii="仿宋_GB2312" w:eastAsia="仿宋_GB2312"/>
          <w:color w:val="auto"/>
          <w:sz w:val="32"/>
          <w:szCs w:val="32"/>
          <w:highlight w:val="none"/>
          <w:lang w:eastAsia="zh-CN"/>
        </w:rPr>
        <w:t>发挥</w:t>
      </w:r>
      <w:r>
        <w:rPr>
          <w:rFonts w:ascii="仿宋_GB2312" w:eastAsia="仿宋_GB2312"/>
          <w:color w:val="auto"/>
          <w:sz w:val="32"/>
          <w:szCs w:val="32"/>
          <w:highlight w:val="none"/>
        </w:rPr>
        <w:t>业已形成的规模和机构网点优势，保持在同业竞争中的领先地位。</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楷体_GB2312" w:hAnsi="楷体_GB2312" w:eastAsia="楷体_GB2312" w:cs="楷体_GB2312"/>
          <w:b/>
          <w:color w:val="auto"/>
          <w:kern w:val="0"/>
          <w:sz w:val="32"/>
          <w:szCs w:val="32"/>
          <w:highlight w:val="none"/>
          <w:lang w:eastAsia="zh-CN"/>
        </w:rPr>
      </w:pPr>
      <w:r>
        <w:rPr>
          <w:rFonts w:hint="eastAsia" w:ascii="楷体_GB2312" w:hAnsi="楷体_GB2312" w:eastAsia="楷体_GB2312" w:cs="楷体_GB2312"/>
          <w:b/>
          <w:color w:val="auto"/>
          <w:kern w:val="0"/>
          <w:sz w:val="32"/>
          <w:szCs w:val="32"/>
          <w:highlight w:val="none"/>
          <w:lang w:val="en-US" w:eastAsia="zh-CN"/>
        </w:rPr>
        <w:t>9.</w:t>
      </w:r>
      <w:r>
        <w:rPr>
          <w:rFonts w:hint="eastAsia" w:ascii="楷体_GB2312" w:hAnsi="楷体_GB2312" w:eastAsia="楷体_GB2312" w:cs="楷体_GB2312"/>
          <w:b/>
          <w:color w:val="auto"/>
          <w:kern w:val="0"/>
          <w:sz w:val="32"/>
          <w:szCs w:val="32"/>
          <w:highlight w:val="none"/>
        </w:rPr>
        <w:t>信息技术风险</w:t>
      </w:r>
      <w:r>
        <w:rPr>
          <w:rFonts w:hint="eastAsia" w:ascii="楷体_GB2312" w:hAnsi="楷体_GB2312" w:eastAsia="楷体_GB2312" w:cs="楷体_GB2312"/>
          <w:b/>
          <w:color w:val="auto"/>
          <w:kern w:val="0"/>
          <w:sz w:val="32"/>
          <w:szCs w:val="32"/>
          <w:highlight w:val="none"/>
          <w:lang w:eastAsia="zh-CN"/>
        </w:rPr>
        <w:t>情况</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Times New Roman" w:eastAsia="仿宋_GB2312" w:cs="Times New Roman"/>
          <w:color w:val="auto"/>
          <w:sz w:val="32"/>
          <w:szCs w:val="32"/>
          <w:highlight w:val="none"/>
        </w:rPr>
        <w:t>信息技术风险主要是信息网络突发事件或不法分子借助网络系统、高科技手段实施犯罪而引发的风险</w:t>
      </w:r>
      <w:r>
        <w:rPr>
          <w:rFonts w:hint="eastAsia" w:ascii="仿宋_GB2312" w:hAnsi="Times New Roman" w:eastAsia="仿宋_GB2312" w:cs="Times New Roman"/>
          <w:color w:val="auto"/>
          <w:sz w:val="32"/>
          <w:szCs w:val="32"/>
          <w:highlight w:val="none"/>
          <w:lang w:val="en-US" w:eastAsia="zh-CN"/>
        </w:rPr>
        <w:t>或者因网络、系统、设备等原因造成的业务连续性风险</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为防范信息科技风险，</w:t>
      </w:r>
      <w:r>
        <w:rPr>
          <w:rFonts w:hint="eastAsia" w:ascii="仿宋_GB2312" w:hAnsi="Times New Roman" w:eastAsia="仿宋_GB2312" w:cs="Times New Roman"/>
          <w:color w:val="auto"/>
          <w:sz w:val="32"/>
          <w:szCs w:val="32"/>
          <w:highlight w:val="none"/>
        </w:rPr>
        <w:t>本行</w:t>
      </w:r>
      <w:r>
        <w:rPr>
          <w:rFonts w:hint="eastAsia" w:ascii="仿宋_GB2312" w:hAnsi="Times New Roman" w:eastAsia="仿宋_GB2312" w:cs="Times New Roman"/>
          <w:b/>
          <w:bCs/>
          <w:color w:val="auto"/>
          <w:sz w:val="32"/>
          <w:szCs w:val="32"/>
          <w:highlight w:val="none"/>
          <w:lang w:val="en-US" w:eastAsia="zh-CN"/>
        </w:rPr>
        <w:t>一是</w:t>
      </w:r>
      <w:r>
        <w:rPr>
          <w:rFonts w:hint="eastAsia" w:ascii="仿宋_GB2312" w:hAnsi="Times New Roman" w:eastAsia="仿宋_GB2312" w:cs="Times New Roman"/>
          <w:color w:val="auto"/>
          <w:sz w:val="32"/>
          <w:szCs w:val="32"/>
          <w:highlight w:val="none"/>
        </w:rPr>
        <w:t>推进了信息科技建章立制工作，不断完善信息科技标准规范，结合本行实际制定计算机相应的内控制度，切实将本行的网络安全管理责任落到实处；</w:t>
      </w:r>
      <w:r>
        <w:rPr>
          <w:rFonts w:hint="eastAsia" w:ascii="仿宋_GB2312" w:hAnsi="Times New Roman" w:eastAsia="仿宋_GB2312" w:cs="Times New Roman"/>
          <w:b/>
          <w:bCs/>
          <w:color w:val="auto"/>
          <w:sz w:val="32"/>
          <w:szCs w:val="32"/>
          <w:highlight w:val="none"/>
          <w:lang w:val="en-US" w:eastAsia="zh-CN"/>
        </w:rPr>
        <w:t>二是</w:t>
      </w:r>
      <w:r>
        <w:rPr>
          <w:rFonts w:hint="eastAsia" w:ascii="仿宋_GB2312" w:hAnsi="Times New Roman" w:eastAsia="仿宋_GB2312" w:cs="Times New Roman"/>
          <w:color w:val="auto"/>
          <w:sz w:val="32"/>
          <w:szCs w:val="32"/>
          <w:highlight w:val="none"/>
          <w:lang w:val="en-US" w:eastAsia="zh-CN"/>
        </w:rPr>
        <w:t>为保障业务连续性，本行更新了网络设备及业务设备，并按省联社要求开展了网络应急演练；</w:t>
      </w:r>
      <w:r>
        <w:rPr>
          <w:rFonts w:hint="eastAsia" w:ascii="仿宋_GB2312" w:hAnsi="Times New Roman" w:eastAsia="仿宋_GB2312" w:cs="Times New Roman"/>
          <w:b/>
          <w:bCs/>
          <w:color w:val="auto"/>
          <w:sz w:val="32"/>
          <w:szCs w:val="32"/>
          <w:highlight w:val="none"/>
          <w:lang w:val="en-US" w:eastAsia="zh-CN"/>
        </w:rPr>
        <w:t>三是</w:t>
      </w:r>
      <w:r>
        <w:rPr>
          <w:rFonts w:hint="eastAsia" w:ascii="仿宋_GB2312" w:hAnsi="Times New Roman" w:eastAsia="仿宋_GB2312" w:cs="Times New Roman"/>
          <w:color w:val="auto"/>
          <w:sz w:val="32"/>
          <w:szCs w:val="32"/>
          <w:highlight w:val="none"/>
          <w:lang w:val="en-US" w:eastAsia="zh-CN"/>
        </w:rPr>
        <w:t>加强</w:t>
      </w:r>
      <w:r>
        <w:rPr>
          <w:rFonts w:hint="eastAsia" w:ascii="仿宋_GB2312" w:hAnsi="Times New Roman" w:eastAsia="仿宋_GB2312" w:cs="Times New Roman"/>
          <w:color w:val="auto"/>
          <w:sz w:val="32"/>
          <w:szCs w:val="32"/>
          <w:highlight w:val="none"/>
        </w:rPr>
        <w:t>防病毒管理</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统一安装和布放省联社下发的“奇安信天擎”防病毒软件；</w:t>
      </w:r>
      <w:r>
        <w:rPr>
          <w:rFonts w:hint="eastAsia" w:ascii="仿宋_GB2312" w:hAnsi="Times New Roman" w:eastAsia="仿宋_GB2312" w:cs="Times New Roman"/>
          <w:b/>
          <w:bCs/>
          <w:color w:val="auto"/>
          <w:sz w:val="32"/>
          <w:szCs w:val="32"/>
          <w:highlight w:val="none"/>
          <w:lang w:val="en-US" w:eastAsia="zh-CN"/>
        </w:rPr>
        <w:t>四是</w:t>
      </w:r>
      <w:r>
        <w:rPr>
          <w:rFonts w:hint="eastAsia" w:ascii="仿宋_GB2312" w:hAnsi="Times New Roman" w:eastAsia="仿宋_GB2312" w:cs="Times New Roman"/>
          <w:color w:val="auto"/>
          <w:sz w:val="32"/>
          <w:szCs w:val="32"/>
          <w:highlight w:val="none"/>
        </w:rPr>
        <w:t>持续做好内部</w:t>
      </w:r>
      <w:r>
        <w:rPr>
          <w:rFonts w:hint="eastAsia" w:ascii="仿宋_GB2312" w:hAnsi="Times New Roman" w:eastAsia="仿宋_GB2312" w:cs="Times New Roman"/>
          <w:color w:val="auto"/>
          <w:sz w:val="32"/>
          <w:szCs w:val="32"/>
          <w:highlight w:val="none"/>
          <w:lang w:val="en-US" w:eastAsia="zh-CN"/>
        </w:rPr>
        <w:t>信息科技</w:t>
      </w:r>
      <w:r>
        <w:rPr>
          <w:rFonts w:hint="eastAsia" w:ascii="仿宋_GB2312" w:hAnsi="Times New Roman" w:eastAsia="仿宋_GB2312" w:cs="Times New Roman"/>
          <w:color w:val="auto"/>
          <w:sz w:val="32"/>
          <w:szCs w:val="32"/>
          <w:highlight w:val="none"/>
        </w:rPr>
        <w:t>安全检查与保障</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五是对全行员工开展</w:t>
      </w:r>
      <w:r>
        <w:rPr>
          <w:rFonts w:hint="eastAsia" w:ascii="仿宋_GB2312" w:hAnsi="Times New Roman" w:eastAsia="仿宋_GB2312" w:cs="Times New Roman"/>
          <w:color w:val="auto"/>
          <w:sz w:val="32"/>
          <w:szCs w:val="32"/>
          <w:highlight w:val="none"/>
        </w:rPr>
        <w:t>信息</w:t>
      </w:r>
      <w:r>
        <w:rPr>
          <w:rFonts w:hint="eastAsia" w:ascii="仿宋_GB2312" w:hAnsi="Times New Roman" w:eastAsia="仿宋_GB2312" w:cs="Times New Roman"/>
          <w:color w:val="auto"/>
          <w:sz w:val="32"/>
          <w:szCs w:val="32"/>
          <w:highlight w:val="none"/>
          <w:lang w:val="en-US" w:eastAsia="zh-CN"/>
        </w:rPr>
        <w:t>科技安全培训，提升员工信息科技安全意识。切实做好信息科技风险防控工作。</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楷体_GB2312" w:hAnsi="楷体_GB2312" w:eastAsia="楷体_GB2312" w:cs="楷体_GB2312"/>
          <w:b/>
          <w:color w:val="auto"/>
          <w:kern w:val="0"/>
          <w:sz w:val="32"/>
          <w:szCs w:val="32"/>
          <w:highlight w:val="none"/>
          <w:lang w:val="en-US" w:eastAsia="zh-CN"/>
        </w:rPr>
      </w:pPr>
      <w:r>
        <w:rPr>
          <w:rFonts w:hint="eastAsia" w:ascii="楷体_GB2312" w:hAnsi="楷体_GB2312" w:eastAsia="楷体_GB2312" w:cs="楷体_GB2312"/>
          <w:b/>
          <w:color w:val="auto"/>
          <w:kern w:val="0"/>
          <w:sz w:val="32"/>
          <w:szCs w:val="32"/>
          <w:highlight w:val="none"/>
          <w:lang w:val="en-US" w:eastAsia="zh-CN"/>
        </w:rPr>
        <w:t>10.安全生产风险情况</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安全生产风险</w:t>
      </w:r>
      <w:r>
        <w:rPr>
          <w:rFonts w:hint="eastAsia" w:ascii="仿宋_GB2312" w:hAnsi="仿宋_GB2312" w:eastAsia="仿宋_GB2312" w:cs="仿宋_GB2312"/>
          <w:color w:val="auto"/>
          <w:kern w:val="0"/>
          <w:sz w:val="32"/>
          <w:szCs w:val="32"/>
          <w:highlight w:val="none"/>
        </w:rPr>
        <w:t>主要是</w:t>
      </w:r>
      <w:r>
        <w:rPr>
          <w:rFonts w:hint="eastAsia" w:ascii="仿宋_GB2312" w:hAnsi="仿宋_GB2312" w:eastAsia="仿宋_GB2312" w:cs="仿宋_GB2312"/>
          <w:color w:val="auto"/>
          <w:kern w:val="0"/>
          <w:sz w:val="32"/>
          <w:szCs w:val="32"/>
          <w:highlight w:val="none"/>
          <w:lang w:eastAsia="zh-CN"/>
        </w:rPr>
        <w:t>经营过程中，因内部管理、硬件设备、外部不可抗因素等，导致出现财产损失和危及人生安全的风险。本行始终把</w:t>
      </w:r>
      <w:r>
        <w:rPr>
          <w:rFonts w:hint="eastAsia" w:ascii="仿宋_GB2312" w:hAnsi="仿宋_GB2312" w:eastAsia="仿宋_GB2312" w:cs="仿宋_GB2312"/>
          <w:color w:val="auto"/>
          <w:sz w:val="32"/>
          <w:szCs w:val="32"/>
          <w:highlight w:val="none"/>
          <w:lang w:val="en-US" w:eastAsia="zh-CN"/>
        </w:rPr>
        <w:t>安全生产摆在重要位置，确保全行安全稳定运行，</w:t>
      </w:r>
      <w:r>
        <w:rPr>
          <w:rFonts w:hint="eastAsia" w:ascii="仿宋_GB2312" w:hAnsi="仿宋_GB2312" w:eastAsia="仿宋_GB2312" w:cs="仿宋_GB2312"/>
          <w:b/>
          <w:bCs/>
          <w:color w:val="auto"/>
          <w:sz w:val="32"/>
          <w:szCs w:val="32"/>
          <w:highlight w:val="none"/>
          <w:lang w:val="en-US" w:eastAsia="zh-CN"/>
        </w:rPr>
        <w:t>一是严格落实安全生产责任制，</w:t>
      </w:r>
      <w:r>
        <w:rPr>
          <w:rFonts w:hint="eastAsia" w:ascii="仿宋_GB2312" w:hAnsi="仿宋_GB2312" w:eastAsia="仿宋_GB2312" w:cs="仿宋_GB2312"/>
          <w:color w:val="auto"/>
          <w:sz w:val="32"/>
          <w:szCs w:val="32"/>
          <w:highlight w:val="none"/>
          <w:lang w:val="en-US" w:eastAsia="zh-CN"/>
        </w:rPr>
        <w:t>层层签订安全生产责任状，明确各自岗位、条线工作职责，与周边单位和当地公安局派出所签订联防联控协议，压实工作责任。</w:t>
      </w:r>
      <w:r>
        <w:rPr>
          <w:rFonts w:hint="eastAsia" w:ascii="仿宋_GB2312" w:hAnsi="仿宋_GB2312" w:eastAsia="仿宋_GB2312" w:cs="仿宋_GB2312"/>
          <w:b/>
          <w:bCs/>
          <w:color w:val="auto"/>
          <w:sz w:val="32"/>
          <w:szCs w:val="32"/>
          <w:highlight w:val="none"/>
          <w:lang w:val="en-US" w:eastAsia="zh-CN"/>
        </w:rPr>
        <w:t>二是加强员工和安保人员业务培训，</w:t>
      </w:r>
      <w:r>
        <w:rPr>
          <w:rFonts w:hint="eastAsia" w:ascii="仿宋_GB2312" w:hAnsi="仿宋_GB2312" w:eastAsia="仿宋_GB2312" w:cs="仿宋_GB2312"/>
          <w:color w:val="auto"/>
          <w:sz w:val="32"/>
          <w:szCs w:val="32"/>
          <w:highlight w:val="none"/>
          <w:lang w:val="en-US" w:eastAsia="zh-CN"/>
        </w:rPr>
        <w:t>开展防火防盗防爆演练，常态化开展安全生产教育培训，结合实际进一步完善各类应急处置预案，妥善处理突发事件，夯实安全基础。</w:t>
      </w:r>
      <w:r>
        <w:rPr>
          <w:rFonts w:hint="eastAsia" w:ascii="仿宋_GB2312" w:hAnsi="仿宋_GB2312" w:eastAsia="仿宋_GB2312" w:cs="仿宋_GB2312"/>
          <w:b/>
          <w:bCs/>
          <w:color w:val="auto"/>
          <w:sz w:val="32"/>
          <w:szCs w:val="32"/>
          <w:highlight w:val="none"/>
          <w:lang w:val="en-US" w:eastAsia="zh-CN"/>
        </w:rPr>
        <w:t>三是全面深入开展安全隐患排查治理，</w:t>
      </w:r>
      <w:r>
        <w:rPr>
          <w:rFonts w:hint="eastAsia" w:ascii="仿宋_GB2312" w:hAnsi="仿宋_GB2312" w:eastAsia="仿宋_GB2312" w:cs="仿宋_GB2312"/>
          <w:color w:val="auto"/>
          <w:sz w:val="32"/>
          <w:szCs w:val="32"/>
          <w:highlight w:val="none"/>
          <w:lang w:val="en-US" w:eastAsia="zh-CN"/>
        </w:rPr>
        <w:t>对营业网点、自助设备和武装押运、防火防盗、值班值守、重大事项报告等重点区域和关键环节发现的问题进行集中整治，严防死守、严防严控，以“时时放心不下”的责任感和“处处如履薄冰”的警惕感，以“一万”的努力防止“万一”的发生。</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楷体_GB2312" w:hAnsi="楷体_GB2312" w:eastAsia="楷体_GB2312" w:cs="楷体_GB2312"/>
          <w:b/>
          <w:color w:val="FF0000"/>
          <w:kern w:val="0"/>
          <w:sz w:val="32"/>
          <w:szCs w:val="32"/>
          <w:highlight w:val="none"/>
          <w:lang w:val="en-US" w:eastAsia="zh-CN"/>
        </w:rPr>
      </w:pPr>
      <w:r>
        <w:rPr>
          <w:rFonts w:hint="eastAsia" w:ascii="楷体_GB2312" w:hAnsi="楷体_GB2312" w:eastAsia="楷体_GB2312" w:cs="楷体_GB2312"/>
          <w:b/>
          <w:color w:val="auto"/>
          <w:kern w:val="0"/>
          <w:sz w:val="32"/>
          <w:szCs w:val="32"/>
          <w:highlight w:val="none"/>
          <w:lang w:val="en-US" w:eastAsia="zh-CN"/>
        </w:rPr>
        <w:t>11.声誉风险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声誉风险主要是指由我行经营、管理及其他行为或外部事件导致利益相关方对我行负面评价的风险。本行坚决贯彻落实省联社、辖区党组和监管部门关于加强声誉风险管理有关精神，采取前置措施，完善组织体系，健全工作机制，为本行发展营造良好的声誉环境，保障了各项业务和工作平稳健康运行。</w:t>
      </w:r>
      <w:r>
        <w:rPr>
          <w:rFonts w:hint="eastAsia" w:ascii="仿宋_GB2312" w:hAnsi="仿宋_GB2312" w:eastAsia="仿宋_GB2312" w:cs="仿宋_GB2312"/>
          <w:b/>
          <w:bCs/>
          <w:color w:val="auto"/>
          <w:kern w:val="2"/>
          <w:sz w:val="32"/>
          <w:szCs w:val="32"/>
          <w:highlight w:val="none"/>
          <w:lang w:val="en-US" w:eastAsia="zh-CN" w:bidi="ar-SA"/>
        </w:rPr>
        <w:t>一是加强组织领导。</w:t>
      </w:r>
      <w:r>
        <w:rPr>
          <w:rFonts w:hint="eastAsia" w:ascii="仿宋_GB2312" w:hAnsi="仿宋_GB2312" w:eastAsia="仿宋_GB2312" w:cs="仿宋_GB2312"/>
          <w:color w:val="auto"/>
          <w:kern w:val="2"/>
          <w:sz w:val="32"/>
          <w:szCs w:val="32"/>
          <w:highlight w:val="none"/>
          <w:lang w:val="en-US" w:eastAsia="zh-CN" w:bidi="ar-SA"/>
        </w:rPr>
        <w:t>我行成立以董事长为组长，其他班子成员为副组长，各支行行长和各部门负责人为成员的声誉风险防范工作领导小组，领导小组下设办公室在总行办公室，各支行、部（室）成立相应的工作小组，指定专人负责声誉风险工作，承担本支行、本部门声誉风险管理的主体责任。</w:t>
      </w:r>
      <w:r>
        <w:rPr>
          <w:rFonts w:hint="eastAsia" w:ascii="仿宋_GB2312" w:hAnsi="仿宋_GB2312" w:eastAsia="仿宋_GB2312" w:cs="仿宋_GB2312"/>
          <w:b/>
          <w:bCs/>
          <w:color w:val="auto"/>
          <w:kern w:val="2"/>
          <w:sz w:val="32"/>
          <w:szCs w:val="32"/>
          <w:highlight w:val="none"/>
          <w:lang w:val="en-US" w:eastAsia="zh-CN" w:bidi="ar-SA"/>
        </w:rPr>
        <w:t>二是完善管理制度。</w:t>
      </w:r>
      <w:r>
        <w:rPr>
          <w:rFonts w:hint="eastAsia" w:ascii="仿宋_GB2312" w:hAnsi="仿宋_GB2312" w:eastAsia="仿宋_GB2312" w:cs="仿宋_GB2312"/>
          <w:color w:val="auto"/>
          <w:kern w:val="2"/>
          <w:sz w:val="32"/>
          <w:szCs w:val="32"/>
          <w:highlight w:val="none"/>
          <w:lang w:val="en-US" w:eastAsia="zh-CN" w:bidi="ar-SA"/>
        </w:rPr>
        <w:t>我行制定完善舆情管理制度和办法，制定了《寻乌农商银行声誉风险管理办法》，制定了《寻乌农商银行负面舆情风险应急处置预案》，设置专人专岗负责声誉风险日常管理。将声誉风险管理工作纳入评先评优和干部员工绩效考核体系。严格对外宣传广告发布。严格执行负面舆情监测报告制度，落实舆情网7*24小时登陆监测。</w:t>
      </w:r>
      <w:r>
        <w:rPr>
          <w:rFonts w:hint="eastAsia" w:ascii="仿宋_GB2312" w:hAnsi="仿宋_GB2312" w:eastAsia="仿宋_GB2312" w:cs="仿宋_GB2312"/>
          <w:b/>
          <w:bCs/>
          <w:color w:val="auto"/>
          <w:kern w:val="2"/>
          <w:sz w:val="32"/>
          <w:szCs w:val="32"/>
          <w:highlight w:val="none"/>
          <w:lang w:val="en-US" w:eastAsia="zh-CN" w:bidi="ar-SA"/>
        </w:rPr>
        <w:t>三是强化员工管理。</w:t>
      </w:r>
      <w:r>
        <w:rPr>
          <w:rFonts w:hint="eastAsia" w:ascii="仿宋_GB2312" w:hAnsi="仿宋_GB2312" w:eastAsia="仿宋_GB2312" w:cs="仿宋_GB2312"/>
          <w:color w:val="auto"/>
          <w:kern w:val="2"/>
          <w:sz w:val="32"/>
          <w:szCs w:val="32"/>
          <w:highlight w:val="none"/>
          <w:lang w:val="en-US" w:eastAsia="zh-CN" w:bidi="ar-SA"/>
        </w:rPr>
        <w:t>我行常态化开展员工谈心谈话和家访，管好员工8小时内外，关注员工微信、朋友圈、抖音等新媒体言论，关心爱护员工，舒缓员工工作压力，防范员工异常行为导致的负面舆情。</w:t>
      </w:r>
      <w:r>
        <w:rPr>
          <w:rFonts w:hint="eastAsia" w:ascii="仿宋_GB2312" w:hAnsi="仿宋_GB2312" w:eastAsia="仿宋_GB2312" w:cs="仿宋_GB2312"/>
          <w:b/>
          <w:bCs w:val="0"/>
          <w:color w:val="000000"/>
          <w:kern w:val="0"/>
          <w:sz w:val="32"/>
          <w:szCs w:val="32"/>
          <w:highlight w:val="none"/>
          <w:lang w:eastAsia="zh-CN"/>
        </w:rPr>
        <w:t>四</w:t>
      </w:r>
      <w:r>
        <w:rPr>
          <w:rFonts w:hint="eastAsia" w:ascii="仿宋_GB2312" w:hAnsi="仿宋_GB2312" w:eastAsia="仿宋_GB2312" w:cs="仿宋_GB2312"/>
          <w:b/>
          <w:color w:val="000000"/>
          <w:kern w:val="0"/>
          <w:sz w:val="32"/>
          <w:szCs w:val="32"/>
          <w:highlight w:val="none"/>
        </w:rPr>
        <w:t>是加大正面宣传。</w:t>
      </w:r>
      <w:r>
        <w:rPr>
          <w:rFonts w:hint="eastAsia" w:ascii="仿宋_GB2312" w:hAnsi="仿宋_GB2312" w:eastAsia="仿宋_GB2312" w:cs="仿宋_GB2312"/>
          <w:color w:val="000000"/>
          <w:sz w:val="32"/>
          <w:szCs w:val="32"/>
          <w:highlight w:val="none"/>
        </w:rPr>
        <w:t>我行</w:t>
      </w:r>
      <w:r>
        <w:rPr>
          <w:rFonts w:hint="eastAsia" w:ascii="仿宋_GB2312" w:hAnsi="仿宋_GB2312" w:eastAsia="仿宋_GB2312" w:cs="仿宋_GB2312"/>
          <w:bCs/>
          <w:color w:val="000000"/>
          <w:kern w:val="0"/>
          <w:sz w:val="32"/>
          <w:szCs w:val="32"/>
          <w:highlight w:val="none"/>
        </w:rPr>
        <w:t>制定</w:t>
      </w:r>
      <w:r>
        <w:rPr>
          <w:rFonts w:hint="eastAsia" w:ascii="仿宋_GB2312" w:hAnsi="仿宋_GB2312" w:eastAsia="仿宋_GB2312" w:cs="仿宋_GB2312"/>
          <w:b w:val="0"/>
          <w:bCs/>
          <w:color w:val="auto"/>
          <w:sz w:val="32"/>
          <w:szCs w:val="32"/>
          <w:highlight w:val="none"/>
          <w:lang w:eastAsia="zh-CN"/>
        </w:rPr>
        <w:t>信息宣传考核办法，</w:t>
      </w:r>
      <w:r>
        <w:rPr>
          <w:rFonts w:hint="eastAsia" w:ascii="仿宋_GB2312" w:hAnsi="仿宋_GB2312" w:eastAsia="仿宋_GB2312" w:cs="仿宋_GB2312"/>
          <w:b w:val="0"/>
          <w:bCs/>
          <w:color w:val="auto"/>
          <w:sz w:val="32"/>
          <w:szCs w:val="32"/>
          <w:highlight w:val="none"/>
          <w:lang w:val="en-US" w:eastAsia="zh-CN"/>
        </w:rPr>
        <w:t>严格执行对外信息发布审核制</w:t>
      </w:r>
      <w:r>
        <w:rPr>
          <w:rFonts w:hint="eastAsia" w:ascii="仿宋_GB2312" w:hAnsi="仿宋_GB2312" w:eastAsia="仿宋_GB2312" w:cs="仿宋_GB2312"/>
          <w:bCs/>
          <w:color w:val="000000"/>
          <w:kern w:val="0"/>
          <w:sz w:val="32"/>
          <w:szCs w:val="32"/>
          <w:highlight w:val="none"/>
        </w:rPr>
        <w:t>度</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Cs/>
          <w:color w:val="000000"/>
          <w:kern w:val="0"/>
          <w:sz w:val="32"/>
          <w:szCs w:val="32"/>
          <w:highlight w:val="none"/>
        </w:rPr>
        <w:t>加大权威媒体投稿力度，积极主动宣传我行在服务</w:t>
      </w:r>
      <w:r>
        <w:rPr>
          <w:rFonts w:hint="eastAsia" w:ascii="仿宋_GB2312" w:hAnsi="仿宋_GB2312" w:eastAsia="仿宋_GB2312" w:cs="仿宋_GB2312"/>
          <w:bCs/>
          <w:color w:val="000000"/>
          <w:kern w:val="0"/>
          <w:sz w:val="32"/>
          <w:szCs w:val="32"/>
          <w:highlight w:val="none"/>
          <w:lang w:eastAsia="zh-CN"/>
        </w:rPr>
        <w:t>地方经济建设、支持民营小微企业</w:t>
      </w:r>
      <w:r>
        <w:rPr>
          <w:rFonts w:hint="eastAsia" w:ascii="仿宋_GB2312" w:hAnsi="仿宋_GB2312" w:eastAsia="仿宋_GB2312" w:cs="仿宋_GB2312"/>
          <w:bCs/>
          <w:color w:val="000000"/>
          <w:kern w:val="0"/>
          <w:sz w:val="32"/>
          <w:szCs w:val="32"/>
          <w:highlight w:val="none"/>
        </w:rPr>
        <w:t>、助力</w:t>
      </w:r>
      <w:r>
        <w:rPr>
          <w:rFonts w:hint="eastAsia" w:ascii="仿宋_GB2312" w:hAnsi="仿宋_GB2312" w:eastAsia="仿宋_GB2312" w:cs="仿宋_GB2312"/>
          <w:bCs/>
          <w:color w:val="000000"/>
          <w:kern w:val="0"/>
          <w:sz w:val="32"/>
          <w:szCs w:val="32"/>
          <w:highlight w:val="none"/>
          <w:lang w:eastAsia="zh-CN"/>
        </w:rPr>
        <w:t>全面</w:t>
      </w:r>
      <w:r>
        <w:rPr>
          <w:rFonts w:hint="eastAsia" w:ascii="仿宋_GB2312" w:hAnsi="仿宋_GB2312" w:eastAsia="仿宋_GB2312" w:cs="仿宋_GB2312"/>
          <w:bCs/>
          <w:color w:val="000000"/>
          <w:kern w:val="0"/>
          <w:sz w:val="32"/>
          <w:szCs w:val="32"/>
          <w:highlight w:val="none"/>
        </w:rPr>
        <w:t>乡村振兴、践行普惠金融、</w:t>
      </w:r>
      <w:r>
        <w:rPr>
          <w:rFonts w:hint="eastAsia" w:ascii="仿宋_GB2312" w:hAnsi="仿宋_GB2312" w:eastAsia="仿宋_GB2312" w:cs="仿宋_GB2312"/>
          <w:bCs/>
          <w:color w:val="000000"/>
          <w:kern w:val="0"/>
          <w:sz w:val="32"/>
          <w:szCs w:val="32"/>
          <w:highlight w:val="none"/>
          <w:lang w:eastAsia="zh-CN"/>
        </w:rPr>
        <w:t>金融知识宣传</w:t>
      </w:r>
      <w:r>
        <w:rPr>
          <w:rFonts w:hint="eastAsia" w:ascii="仿宋_GB2312" w:hAnsi="仿宋_GB2312" w:eastAsia="仿宋_GB2312" w:cs="仿宋_GB2312"/>
          <w:bCs/>
          <w:color w:val="000000"/>
          <w:kern w:val="0"/>
          <w:sz w:val="32"/>
          <w:szCs w:val="32"/>
          <w:highlight w:val="none"/>
        </w:rPr>
        <w:t>等方面的贡献，提高社会正面知名度和影响力。</w:t>
      </w:r>
      <w:r>
        <w:rPr>
          <w:rFonts w:hint="eastAsia" w:ascii="仿宋_GB2312" w:hAnsi="仿宋_GB2312" w:eastAsia="仿宋_GB2312" w:cs="仿宋_GB2312"/>
          <w:b/>
          <w:color w:val="000000"/>
          <w:kern w:val="0"/>
          <w:sz w:val="32"/>
          <w:szCs w:val="32"/>
          <w:highlight w:val="none"/>
          <w:lang w:eastAsia="zh-CN"/>
        </w:rPr>
        <w:t>五</w:t>
      </w:r>
      <w:r>
        <w:rPr>
          <w:rFonts w:hint="eastAsia" w:ascii="仿宋_GB2312" w:hAnsi="仿宋_GB2312" w:eastAsia="仿宋_GB2312" w:cs="仿宋_GB2312"/>
          <w:b/>
          <w:color w:val="000000"/>
          <w:kern w:val="0"/>
          <w:sz w:val="32"/>
          <w:szCs w:val="32"/>
          <w:highlight w:val="none"/>
        </w:rPr>
        <w:t>是参与公益事业。</w:t>
      </w:r>
      <w:r>
        <w:rPr>
          <w:rFonts w:hint="eastAsia" w:ascii="仿宋_GB2312" w:hAnsi="仿宋_GB2312" w:eastAsia="仿宋_GB2312" w:cs="仿宋_GB2312"/>
          <w:color w:val="000000"/>
          <w:sz w:val="32"/>
          <w:szCs w:val="32"/>
          <w:highlight w:val="none"/>
        </w:rPr>
        <w:t>积极参与社会公益事业，投身保文创卫、捐资助学、关爱弱势群体、融入社区治理</w:t>
      </w:r>
      <w:r>
        <w:rPr>
          <w:rFonts w:hint="eastAsia" w:ascii="仿宋_GB2312" w:hAnsi="仿宋_GB2312" w:eastAsia="仿宋_GB2312" w:cs="仿宋_GB2312"/>
          <w:color w:val="000000"/>
          <w:sz w:val="32"/>
          <w:szCs w:val="32"/>
          <w:highlight w:val="none"/>
          <w:lang w:eastAsia="zh-CN"/>
        </w:rPr>
        <w:t>、营商环境改善</w:t>
      </w:r>
      <w:r>
        <w:rPr>
          <w:rFonts w:hint="eastAsia" w:ascii="仿宋_GB2312" w:hAnsi="仿宋_GB2312" w:eastAsia="仿宋_GB2312" w:cs="仿宋_GB2312"/>
          <w:color w:val="000000"/>
          <w:sz w:val="32"/>
          <w:szCs w:val="32"/>
          <w:highlight w:val="none"/>
        </w:rPr>
        <w:t>等，进一步塑造有情怀、有温度、有担当的企业形象。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12.内部控制制度的完整性、合理性和有效性</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kern w:val="0"/>
          <w:sz w:val="32"/>
          <w:szCs w:val="32"/>
          <w:highlight w:val="none"/>
        </w:rPr>
        <w:t>本行参照《中华人民共和国商业银行法》《商业银行内部控制指引》《银行业金融机构信息系统风险管理指引》和《江西省农村信用社风险合规管理法规手册》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中华人民共和国</w:t>
      </w:r>
      <w:r>
        <w:rPr>
          <w:rFonts w:hint="eastAsia" w:ascii="仿宋_GB2312" w:hAnsi="仿宋_GB2312" w:eastAsia="仿宋_GB2312" w:cs="仿宋_GB2312"/>
          <w:color w:val="auto"/>
          <w:kern w:val="0"/>
          <w:sz w:val="32"/>
          <w:szCs w:val="32"/>
          <w:highlight w:val="none"/>
          <w:lang w:eastAsia="zh-CN"/>
        </w:rPr>
        <w:t>民法典》</w:t>
      </w:r>
      <w:r>
        <w:rPr>
          <w:rFonts w:hint="eastAsia" w:ascii="仿宋_GB2312" w:hAnsi="仿宋_GB2312" w:eastAsia="仿宋_GB2312" w:cs="仿宋_GB2312"/>
          <w:color w:val="auto"/>
          <w:kern w:val="0"/>
          <w:sz w:val="32"/>
          <w:szCs w:val="32"/>
          <w:highlight w:val="none"/>
        </w:rPr>
        <w:t>等相关法律、规章及规范性文件要求，从控制环境、风险识别、内控措施、信息反馈、监督评价等方面，</w:t>
      </w:r>
      <w:r>
        <w:rPr>
          <w:rFonts w:hint="eastAsia" w:ascii="仿宋_GB2312" w:hAnsi="仿宋_GB2312" w:eastAsia="仿宋_GB2312" w:cs="仿宋_GB2312"/>
          <w:color w:val="auto"/>
          <w:kern w:val="0"/>
          <w:sz w:val="32"/>
          <w:szCs w:val="32"/>
          <w:highlight w:val="none"/>
          <w:lang w:eastAsia="zh-CN"/>
        </w:rPr>
        <w:t>对本行的制度</w:t>
      </w:r>
      <w:r>
        <w:rPr>
          <w:rFonts w:hint="eastAsia" w:ascii="仿宋_GB2312" w:hAnsi="仿宋_GB2312" w:eastAsia="仿宋_GB2312" w:cs="仿宋_GB2312"/>
          <w:color w:val="auto"/>
          <w:kern w:val="0"/>
          <w:sz w:val="32"/>
          <w:szCs w:val="32"/>
          <w:highlight w:val="none"/>
        </w:rPr>
        <w:t>进行了</w:t>
      </w:r>
      <w:r>
        <w:rPr>
          <w:rFonts w:hint="eastAsia" w:ascii="仿宋_GB2312" w:hAnsi="仿宋_GB2312" w:eastAsia="仿宋_GB2312" w:cs="仿宋_GB2312"/>
          <w:color w:val="auto"/>
          <w:kern w:val="0"/>
          <w:sz w:val="32"/>
          <w:szCs w:val="32"/>
          <w:highlight w:val="none"/>
          <w:lang w:eastAsia="zh-CN"/>
        </w:rPr>
        <w:t>梳理、</w:t>
      </w:r>
      <w:r>
        <w:rPr>
          <w:rFonts w:hint="eastAsia" w:ascii="仿宋_GB2312" w:hAnsi="仿宋_GB2312" w:eastAsia="仿宋_GB2312" w:cs="仿宋_GB2312"/>
          <w:color w:val="auto"/>
          <w:kern w:val="0"/>
          <w:sz w:val="32"/>
          <w:szCs w:val="32"/>
          <w:highlight w:val="none"/>
        </w:rPr>
        <w:t>完善。经梳理评价，本行内控制度均符合法律法规、行政规章和监管要求，能够覆盖各业务条线，能有效控制业务风险，各项制度在日常经营活动中得到贯彻执行，并由</w:t>
      </w:r>
      <w:r>
        <w:rPr>
          <w:rFonts w:hint="eastAsia" w:ascii="仿宋_GB2312" w:hAnsi="仿宋_GB2312" w:eastAsia="仿宋_GB2312" w:cs="仿宋_GB2312"/>
          <w:color w:val="auto"/>
          <w:kern w:val="0"/>
          <w:sz w:val="32"/>
          <w:szCs w:val="32"/>
          <w:highlight w:val="none"/>
          <w:lang w:eastAsia="zh-CN"/>
        </w:rPr>
        <w:t>相关</w:t>
      </w:r>
      <w:r>
        <w:rPr>
          <w:rFonts w:hint="eastAsia" w:ascii="仿宋_GB2312" w:hAnsi="仿宋_GB2312" w:eastAsia="仿宋_GB2312" w:cs="仿宋_GB2312"/>
          <w:color w:val="auto"/>
          <w:kern w:val="0"/>
          <w:sz w:val="32"/>
          <w:szCs w:val="32"/>
          <w:highlight w:val="none"/>
        </w:rPr>
        <w:t>职能部门落实监督检查。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13.金融消费者权益状况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本</w:t>
      </w:r>
      <w:r>
        <w:rPr>
          <w:rFonts w:hint="eastAsia" w:ascii="仿宋_GB2312" w:hAnsi="仿宋_GB2312" w:eastAsia="仿宋_GB2312" w:cs="仿宋_GB2312"/>
          <w:color w:val="auto"/>
          <w:kern w:val="0"/>
          <w:sz w:val="32"/>
          <w:szCs w:val="32"/>
          <w:highlight w:val="none"/>
        </w:rPr>
        <w:t>行在业务经营、内部控制与风险管理中充分考虑金融消费者投诉反映的问题和需求，并在各营业网点、网络公众平台等公布人行、银</w:t>
      </w:r>
      <w:r>
        <w:rPr>
          <w:rFonts w:hint="eastAsia" w:ascii="仿宋_GB2312" w:hAnsi="仿宋_GB2312" w:eastAsia="仿宋_GB2312" w:cs="仿宋_GB2312"/>
          <w:color w:val="auto"/>
          <w:kern w:val="0"/>
          <w:sz w:val="32"/>
          <w:szCs w:val="32"/>
          <w:highlight w:val="none"/>
          <w:lang w:eastAsia="zh-CN"/>
        </w:rPr>
        <w:t>保</w:t>
      </w:r>
      <w:r>
        <w:rPr>
          <w:rFonts w:hint="eastAsia" w:ascii="仿宋_GB2312" w:hAnsi="仿宋_GB2312" w:eastAsia="仿宋_GB2312" w:cs="仿宋_GB2312"/>
          <w:color w:val="auto"/>
          <w:kern w:val="0"/>
          <w:sz w:val="32"/>
          <w:szCs w:val="32"/>
          <w:highlight w:val="none"/>
        </w:rPr>
        <w:t>监等监管部门和本行投诉受理电话及受理流程，使投诉渠道无障碍、畅通直达，保护了金融消费者的合法权益，及时妥善地解决消费者投诉事项</w:t>
      </w:r>
      <w:r>
        <w:rPr>
          <w:rFonts w:hint="eastAsia" w:ascii="仿宋_GB2312" w:hAnsi="仿宋_GB2312" w:eastAsia="仿宋_GB2312" w:cs="仿宋_GB2312"/>
          <w:color w:val="auto"/>
          <w:kern w:val="0"/>
          <w:sz w:val="32"/>
          <w:szCs w:val="32"/>
          <w:highlight w:val="none"/>
          <w:lang w:eastAsia="zh-CN"/>
        </w:rPr>
        <w:t>，切实维护金融消费权益</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同时，积极开展金融知识宣传活动，提高广大群众金融素养。</w:t>
      </w:r>
      <w:r>
        <w:rPr>
          <w:rFonts w:hint="eastAsia" w:ascii="仿宋_GB2312" w:hAnsi="仿宋_GB2312" w:eastAsia="仿宋_GB2312" w:cs="仿宋_GB2312"/>
          <w:color w:val="auto"/>
          <w:kern w:val="0"/>
          <w:sz w:val="32"/>
          <w:szCs w:val="32"/>
          <w:highlight w:val="none"/>
        </w:rPr>
        <w:t>我行</w:t>
      </w:r>
      <w:r>
        <w:rPr>
          <w:rFonts w:hint="eastAsia" w:ascii="仿宋_GB2312" w:hAnsi="仿宋_GB2312" w:eastAsia="仿宋_GB2312" w:cs="仿宋_GB2312"/>
          <w:color w:val="auto"/>
          <w:kern w:val="0"/>
          <w:sz w:val="32"/>
          <w:szCs w:val="32"/>
          <w:highlight w:val="none"/>
          <w:lang w:val="en-US" w:eastAsia="zh-CN"/>
        </w:rPr>
        <w:t>2023年共</w:t>
      </w:r>
      <w:r>
        <w:rPr>
          <w:rFonts w:hint="eastAsia" w:ascii="仿宋_GB2312" w:hAnsi="仿宋_GB2312" w:eastAsia="仿宋_GB2312" w:cs="仿宋_GB2312"/>
          <w:color w:val="auto"/>
          <w:kern w:val="0"/>
          <w:sz w:val="32"/>
          <w:szCs w:val="32"/>
          <w:highlight w:val="none"/>
        </w:rPr>
        <w:t>发生</w:t>
      </w:r>
      <w:r>
        <w:rPr>
          <w:rFonts w:hint="eastAsia" w:ascii="仿宋_GB2312" w:hAnsi="仿宋_GB2312" w:eastAsia="仿宋_GB2312" w:cs="仿宋_GB2312"/>
          <w:color w:val="auto"/>
          <w:kern w:val="0"/>
          <w:sz w:val="32"/>
          <w:szCs w:val="32"/>
          <w:highlight w:val="none"/>
          <w:lang w:val="en-US" w:eastAsia="zh-CN"/>
        </w:rPr>
        <w:t>46笔</w:t>
      </w:r>
      <w:r>
        <w:rPr>
          <w:rFonts w:hint="eastAsia" w:ascii="仿宋_GB2312" w:hAnsi="仿宋_GB2312" w:eastAsia="仿宋_GB2312" w:cs="仿宋_GB2312"/>
          <w:color w:val="auto"/>
          <w:kern w:val="0"/>
          <w:sz w:val="32"/>
          <w:szCs w:val="32"/>
          <w:highlight w:val="none"/>
        </w:rPr>
        <w:t>金融消费者投诉事件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46笔经过沟通调解，均得到了妥善有效的解决。</w:t>
      </w:r>
      <w:r>
        <w:rPr>
          <w:rFonts w:hint="eastAsia" w:ascii="仿宋_GB2312" w:hAnsi="仿宋_GB2312" w:eastAsia="仿宋_GB2312" w:cs="仿宋_GB2312"/>
          <w:color w:val="auto"/>
          <w:kern w:val="0"/>
          <w:sz w:val="32"/>
          <w:szCs w:val="32"/>
          <w:highlight w:val="none"/>
        </w:rPr>
        <w:t>属</w:t>
      </w:r>
      <w:r>
        <w:rPr>
          <w:rFonts w:hint="eastAsia" w:ascii="仿宋_GB2312" w:hAnsi="仿宋_GB2312" w:eastAsia="仿宋_GB2312" w:cs="仿宋_GB2312"/>
          <w:color w:val="auto"/>
          <w:kern w:val="0"/>
          <w:sz w:val="32"/>
          <w:szCs w:val="32"/>
          <w:highlight w:val="none"/>
          <w:lang w:eastAsia="zh-CN"/>
        </w:rPr>
        <w:t>员工</w:t>
      </w:r>
      <w:r>
        <w:rPr>
          <w:rFonts w:hint="eastAsia" w:ascii="仿宋_GB2312" w:hAnsi="仿宋_GB2312" w:eastAsia="仿宋_GB2312" w:cs="仿宋_GB2312"/>
          <w:color w:val="auto"/>
          <w:kern w:val="0"/>
          <w:sz w:val="32"/>
          <w:szCs w:val="32"/>
          <w:highlight w:val="none"/>
        </w:rPr>
        <w:t>责任的，主动向客户道歉，取得客户的谅解,并对当事人进行批评教育和酌情处理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对投诉事项没有责任，而是因客户误解或不合理要求引起的，耐心解释、有理有节、争取理解。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14.</w:t>
      </w:r>
      <w:r>
        <w:rPr>
          <w:rFonts w:hint="eastAsia" w:ascii="仿宋_GB2312" w:hAnsi="仿宋_GB2312" w:eastAsia="仿宋_GB2312" w:cs="仿宋_GB2312"/>
          <w:b/>
          <w:bCs/>
          <w:color w:val="auto"/>
          <w:kern w:val="0"/>
          <w:sz w:val="32"/>
          <w:szCs w:val="32"/>
          <w:highlight w:val="none"/>
        </w:rPr>
        <w:t>其他风险状况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截止202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年末，本行未发现内部控制制度在完整性、合理性和有效性等方面存在重大缺陷及其他风险。</w:t>
      </w:r>
    </w:p>
    <w:p>
      <w:pPr>
        <w:pStyle w:val="2"/>
        <w:keepNext w:val="0"/>
        <w:keepLines w:val="0"/>
        <w:pageBreakBefore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四、公司治理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（一）董事会的构成及其工作情况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color w:val="auto"/>
          <w:sz w:val="32"/>
          <w:szCs w:val="32"/>
          <w:highlight w:val="none"/>
        </w:rPr>
        <w:t>董事会由</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名董事组成，其中</w:t>
      </w:r>
      <w:r>
        <w:rPr>
          <w:rFonts w:hint="eastAsia" w:ascii="仿宋_GB2312" w:hAnsi="仿宋_GB2312" w:eastAsia="仿宋_GB2312" w:cs="仿宋_GB2312"/>
          <w:color w:val="auto"/>
          <w:sz w:val="32"/>
          <w:szCs w:val="32"/>
          <w:highlight w:val="none"/>
          <w:lang w:eastAsia="zh-CN"/>
        </w:rPr>
        <w:t>职工</w:t>
      </w:r>
      <w:r>
        <w:rPr>
          <w:rFonts w:hint="eastAsia" w:ascii="仿宋_GB2312" w:hAnsi="仿宋_GB2312" w:eastAsia="仿宋_GB2312" w:cs="仿宋_GB2312"/>
          <w:color w:val="auto"/>
          <w:sz w:val="32"/>
          <w:szCs w:val="32"/>
          <w:highlight w:val="none"/>
        </w:rPr>
        <w:t>董事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人，独立董事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董事会下设战略、提名与薪酬、三农、信息科技、风险管理与关联交易委员会、合规、消费者权益保护、审计、普惠金融等专门委员会。全体董事恪尽职守，积极参与本公司重大问题的研究和决策，注重维护本公司和全体股东的利益。</w:t>
      </w:r>
    </w:p>
    <w:p>
      <w:pPr>
        <w:pStyle w:val="2"/>
        <w:ind w:firstLine="643" w:firstLineChars="200"/>
        <w:rPr>
          <w:rFonts w:hint="eastAsia"/>
          <w:b/>
          <w:bCs/>
          <w:lang w:val="en-US" w:eastAsia="zh-CN"/>
        </w:rPr>
      </w:pPr>
      <w:r>
        <w:rPr>
          <w:rFonts w:hint="eastAsia" w:ascii="仿宋_GB2312" w:hAnsi="仿宋_GB2312" w:eastAsia="仿宋_GB2312" w:cs="仿宋_GB2312"/>
          <w:b/>
          <w:bCs/>
          <w:color w:val="auto"/>
          <w:sz w:val="32"/>
          <w:szCs w:val="32"/>
          <w:highlight w:val="none"/>
          <w:lang w:val="en-US" w:eastAsia="zh-CN"/>
        </w:rPr>
        <w:t>1.董事</w:t>
      </w:r>
    </w:p>
    <w:tbl>
      <w:tblPr>
        <w:tblStyle w:val="13"/>
        <w:tblW w:w="9202" w:type="dxa"/>
        <w:jc w:val="center"/>
        <w:tblInd w:w="0" w:type="dxa"/>
        <w:tblLayout w:type="fixed"/>
        <w:tblCellMar>
          <w:top w:w="0" w:type="dxa"/>
          <w:left w:w="108" w:type="dxa"/>
          <w:bottom w:w="0" w:type="dxa"/>
          <w:right w:w="108" w:type="dxa"/>
        </w:tblCellMar>
      </w:tblPr>
      <w:tblGrid>
        <w:gridCol w:w="593"/>
        <w:gridCol w:w="1620"/>
        <w:gridCol w:w="900"/>
        <w:gridCol w:w="1619"/>
        <w:gridCol w:w="4470"/>
      </w:tblGrid>
      <w:tr>
        <w:tblPrEx>
          <w:tblLayout w:type="fixed"/>
          <w:tblCellMar>
            <w:top w:w="0" w:type="dxa"/>
            <w:left w:w="108" w:type="dxa"/>
            <w:bottom w:w="0" w:type="dxa"/>
            <w:right w:w="108" w:type="dxa"/>
          </w:tblCellMar>
        </w:tblPrEx>
        <w:trPr>
          <w:trHeight w:val="748"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序</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号</w:t>
            </w:r>
          </w:p>
        </w:tc>
        <w:tc>
          <w:tcPr>
            <w:tcW w:w="16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姓</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名</w:t>
            </w:r>
          </w:p>
        </w:tc>
        <w:tc>
          <w:tcPr>
            <w:tcW w:w="9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性</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别</w:t>
            </w:r>
          </w:p>
        </w:tc>
        <w:tc>
          <w:tcPr>
            <w:tcW w:w="16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职</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务</w:t>
            </w:r>
          </w:p>
        </w:tc>
        <w:tc>
          <w:tcPr>
            <w:tcW w:w="4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简历</w:t>
            </w:r>
          </w:p>
        </w:tc>
      </w:tr>
      <w:tr>
        <w:tblPrEx>
          <w:tblLayout w:type="fixed"/>
          <w:tblCellMar>
            <w:top w:w="0" w:type="dxa"/>
            <w:left w:w="108" w:type="dxa"/>
            <w:bottom w:w="0" w:type="dxa"/>
            <w:right w:w="108" w:type="dxa"/>
          </w:tblCellMar>
        </w:tblPrEx>
        <w:trPr>
          <w:trHeight w:val="1350" w:hRule="atLeast"/>
          <w:jc w:val="center"/>
        </w:trPr>
        <w:tc>
          <w:tcPr>
            <w:tcW w:w="593"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1</w:t>
            </w:r>
          </w:p>
        </w:tc>
        <w:tc>
          <w:tcPr>
            <w:tcW w:w="16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曾海金</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 xml:space="preserve">男 </w:t>
            </w:r>
          </w:p>
        </w:tc>
        <w:tc>
          <w:tcPr>
            <w:tcW w:w="161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董事长</w:t>
            </w:r>
          </w:p>
        </w:tc>
        <w:tc>
          <w:tcPr>
            <w:tcW w:w="44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宋体" w:eastAsia="仿宋_GB2312" w:cs="仿宋_GB2312"/>
                <w:i w:val="0"/>
                <w:color w:val="auto"/>
                <w:kern w:val="0"/>
                <w:sz w:val="24"/>
                <w:szCs w:val="24"/>
                <w:highlight w:val="none"/>
                <w:u w:val="none"/>
                <w:lang w:val="en-US" w:eastAsia="zh-CN" w:bidi="ar"/>
              </w:rPr>
              <w:t>汉族，江西兴国人，1976年9月出生，中共党员，本科学历，助理经济师职称，1997年8月参加工作，现任寻乌农商银行党委书记、董事长。</w:t>
            </w:r>
          </w:p>
        </w:tc>
      </w:tr>
      <w:tr>
        <w:tblPrEx>
          <w:tblLayout w:type="fixed"/>
          <w:tblCellMar>
            <w:top w:w="0" w:type="dxa"/>
            <w:left w:w="108" w:type="dxa"/>
            <w:bottom w:w="0" w:type="dxa"/>
            <w:right w:w="108" w:type="dxa"/>
          </w:tblCellMar>
        </w:tblPrEx>
        <w:trPr>
          <w:trHeight w:val="90"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潘其森</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 xml:space="preserve">男 </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职工董事</w:t>
            </w:r>
          </w:p>
        </w:tc>
        <w:tc>
          <w:tcPr>
            <w:tcW w:w="4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宋体" w:eastAsia="仿宋_GB2312" w:cs="仿宋_GB2312"/>
                <w:i w:val="0"/>
                <w:color w:val="auto"/>
                <w:kern w:val="0"/>
                <w:sz w:val="24"/>
                <w:szCs w:val="24"/>
                <w:highlight w:val="none"/>
                <w:u w:val="none"/>
                <w:lang w:val="en-US" w:eastAsia="zh-CN" w:bidi="ar"/>
              </w:rPr>
              <w:t>汉族，江西寻乌人，1972年10月出生，中共党员，本科学历，助理会计师职称，1995年8月参加工作，现任寻乌农商银行党委委员、行长。</w:t>
            </w:r>
          </w:p>
        </w:tc>
      </w:tr>
      <w:tr>
        <w:tblPrEx>
          <w:tblLayout w:type="fixed"/>
          <w:tblCellMar>
            <w:top w:w="0" w:type="dxa"/>
            <w:left w:w="108" w:type="dxa"/>
            <w:bottom w:w="0" w:type="dxa"/>
            <w:right w:w="108" w:type="dxa"/>
          </w:tblCellMar>
        </w:tblPrEx>
        <w:trPr>
          <w:trHeight w:val="389"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3</w:t>
            </w:r>
          </w:p>
        </w:tc>
        <w:tc>
          <w:tcPr>
            <w:tcW w:w="16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谢珍祥</w:t>
            </w:r>
          </w:p>
        </w:tc>
        <w:tc>
          <w:tcPr>
            <w:tcW w:w="9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p>
        </w:tc>
        <w:tc>
          <w:tcPr>
            <w:tcW w:w="161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独立董事</w:t>
            </w:r>
          </w:p>
        </w:tc>
        <w:tc>
          <w:tcPr>
            <w:tcW w:w="4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 w:eastAsia="仿宋_GB2312"/>
                <w:color w:val="auto"/>
                <w:sz w:val="24"/>
                <w:szCs w:val="24"/>
                <w:highlight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汉族，江西寻乌人，1974年11月出生，本科学历，2007年5月参加工作。2007年5月至2016年11月，任江西寻信律师事务所专职律师；2016年12月至今任江西神光律师事务所主任。</w:t>
            </w:r>
          </w:p>
        </w:tc>
      </w:tr>
      <w:tr>
        <w:tblPrEx>
          <w:tblLayout w:type="fixed"/>
          <w:tblCellMar>
            <w:top w:w="0" w:type="dxa"/>
            <w:left w:w="108" w:type="dxa"/>
            <w:bottom w:w="0" w:type="dxa"/>
            <w:right w:w="108" w:type="dxa"/>
          </w:tblCellMar>
        </w:tblPrEx>
        <w:trPr>
          <w:trHeight w:val="4129" w:hRule="atLeast"/>
          <w:jc w:val="center"/>
        </w:trPr>
        <w:tc>
          <w:tcPr>
            <w:tcW w:w="593"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4</w:t>
            </w:r>
          </w:p>
        </w:tc>
        <w:tc>
          <w:tcPr>
            <w:tcW w:w="16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吴春燕</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p>
        </w:tc>
        <w:tc>
          <w:tcPr>
            <w:tcW w:w="161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独立董事</w:t>
            </w:r>
          </w:p>
        </w:tc>
        <w:tc>
          <w:tcPr>
            <w:tcW w:w="4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 w:eastAsia="仿宋_GB2312"/>
                <w:color w:val="auto"/>
                <w:sz w:val="24"/>
                <w:szCs w:val="24"/>
                <w:highlight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汉族，江西新余人，1982年3月出生，本科学历，2004年10月参加工作。2004年10月至2008年10月，在信丰县委办秘书科任秘书；2009年2月至2011年5月，在新余新钢实业公司任行政办事员；2011年5月至2011年9月，在备考司法考试；2011年12月至2017年1月，在江西南芳律师事务所担任律师；2017年2月至今，在江西同圆律师事务所任高级合伙人、监事会主任。</w:t>
            </w:r>
          </w:p>
        </w:tc>
      </w:tr>
      <w:tr>
        <w:tblPrEx>
          <w:tblLayout w:type="fixed"/>
          <w:tblCellMar>
            <w:top w:w="0" w:type="dxa"/>
            <w:left w:w="108" w:type="dxa"/>
            <w:bottom w:w="0" w:type="dxa"/>
            <w:right w:w="108" w:type="dxa"/>
          </w:tblCellMar>
        </w:tblPrEx>
        <w:trPr>
          <w:trHeight w:val="172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吴观林</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 xml:space="preserve">男 </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股东董事</w:t>
            </w:r>
          </w:p>
        </w:tc>
        <w:tc>
          <w:tcPr>
            <w:tcW w:w="4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宋体" w:eastAsia="仿宋_GB2312" w:cs="仿宋_GB2312"/>
                <w:i w:val="0"/>
                <w:color w:val="auto"/>
                <w:kern w:val="0"/>
                <w:sz w:val="24"/>
                <w:szCs w:val="24"/>
                <w:highlight w:val="none"/>
                <w:u w:val="none"/>
                <w:lang w:val="en-US" w:eastAsia="zh-CN" w:bidi="ar"/>
              </w:rPr>
              <w:t>汉族，江西于都人，1967年3月出生，中共党员，本科学历， 1989年3月参加工作，目前任于都农商银行副科级调研员。</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2.董事会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2023年度，本行</w:t>
      </w:r>
      <w:r>
        <w:rPr>
          <w:rFonts w:hint="eastAsia" w:ascii="仿宋_GB2312" w:hAnsi="仿宋_GB2312" w:eastAsia="仿宋_GB2312" w:cs="仿宋_GB2312"/>
          <w:color w:val="auto"/>
          <w:sz w:val="32"/>
          <w:szCs w:val="32"/>
          <w:highlight w:val="none"/>
        </w:rPr>
        <w:t>召开董事会</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次，每次董事会均有监事会成员列席，董事会下设的专门委员会均按要求召开会议，并研究落实相关工作，董事会能够按照章程</w:t>
      </w:r>
      <w:r>
        <w:rPr>
          <w:rFonts w:hint="eastAsia" w:ascii="仿宋_GB2312" w:hAnsi="仿宋_GB2312" w:eastAsia="仿宋_GB2312" w:cs="仿宋_GB2312"/>
          <w:color w:val="auto"/>
          <w:sz w:val="32"/>
          <w:szCs w:val="32"/>
          <w:highlight w:val="none"/>
          <w:lang w:eastAsia="zh-CN"/>
        </w:rPr>
        <w:t>和议事规则</w:t>
      </w:r>
      <w:r>
        <w:rPr>
          <w:rFonts w:hint="eastAsia" w:ascii="仿宋_GB2312" w:hAnsi="仿宋_GB2312" w:eastAsia="仿宋_GB2312" w:cs="仿宋_GB2312"/>
          <w:color w:val="auto"/>
          <w:sz w:val="32"/>
          <w:szCs w:val="32"/>
          <w:highlight w:val="none"/>
        </w:rPr>
        <w:t>规定，勤勉履职，认真执行股东大会决议。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3.独立董事履职情况</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报告期末，本行独立董事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名。报告期内，独立董事能够按照法律、法规和本行章程的要求，忠实履行职责,参加股东会、董事会及专门委员会会议，维护本行和全体股东的权益。工作期间，独立董事能够独立履行职责，不受本行主要股东、实际控制人或者其他与本行存在利害关系的单位或个人的影响，发表独立意见，有效履行职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rPr>
      </w:pPr>
      <w:r>
        <w:rPr>
          <w:rFonts w:hint="eastAsia" w:ascii="楷体" w:hAnsi="楷体" w:eastAsia="楷体" w:cs="楷体"/>
          <w:b/>
          <w:bCs/>
          <w:color w:val="auto"/>
          <w:kern w:val="0"/>
          <w:sz w:val="32"/>
          <w:szCs w:val="32"/>
          <w:highlight w:val="none"/>
          <w:lang w:eastAsia="zh-CN"/>
        </w:rPr>
        <w:t>（二）监事会的构成及其工作情况</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监事会由5名监事组成，其中</w:t>
      </w:r>
      <w:r>
        <w:rPr>
          <w:rFonts w:hint="eastAsia" w:ascii="仿宋_GB2312" w:hAnsi="仿宋_GB2312" w:eastAsia="仿宋_GB2312" w:cs="仿宋_GB2312"/>
          <w:color w:val="auto"/>
          <w:sz w:val="32"/>
          <w:szCs w:val="32"/>
          <w:highlight w:val="none"/>
          <w:lang w:eastAsia="zh-CN"/>
        </w:rPr>
        <w:t>职</w:t>
      </w:r>
      <w:r>
        <w:rPr>
          <w:rFonts w:hint="eastAsia" w:ascii="仿宋_GB2312" w:hAnsi="仿宋_GB2312" w:eastAsia="仿宋_GB2312" w:cs="仿宋_GB2312"/>
          <w:color w:val="auto"/>
          <w:sz w:val="32"/>
          <w:szCs w:val="32"/>
          <w:highlight w:val="none"/>
        </w:rPr>
        <w:t>工监事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外部监事2人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监事会能积极参政议政，认真履职，有效发挥了长效监督职能,从源头上成功防范了风险。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rPr>
        <w:t>监事</w:t>
      </w:r>
    </w:p>
    <w:tbl>
      <w:tblPr>
        <w:tblStyle w:val="13"/>
        <w:tblW w:w="9051" w:type="dxa"/>
        <w:jc w:val="center"/>
        <w:tblInd w:w="0" w:type="dxa"/>
        <w:tblLayout w:type="fixed"/>
        <w:tblCellMar>
          <w:top w:w="0" w:type="dxa"/>
          <w:left w:w="108" w:type="dxa"/>
          <w:bottom w:w="0" w:type="dxa"/>
          <w:right w:w="108" w:type="dxa"/>
        </w:tblCellMar>
      </w:tblPr>
      <w:tblGrid>
        <w:gridCol w:w="924"/>
        <w:gridCol w:w="1200"/>
        <w:gridCol w:w="1293"/>
        <w:gridCol w:w="1591"/>
        <w:gridCol w:w="4043"/>
      </w:tblGrid>
      <w:tr>
        <w:tblPrEx>
          <w:tblLayout w:type="fixed"/>
          <w:tblCellMar>
            <w:top w:w="0" w:type="dxa"/>
            <w:left w:w="108" w:type="dxa"/>
            <w:bottom w:w="0" w:type="dxa"/>
            <w:right w:w="108" w:type="dxa"/>
          </w:tblCellMar>
        </w:tblPrEx>
        <w:trPr>
          <w:trHeight w:val="65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序号</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姓名</w:t>
            </w:r>
          </w:p>
        </w:tc>
        <w:tc>
          <w:tcPr>
            <w:tcW w:w="12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性别</w:t>
            </w:r>
          </w:p>
        </w:tc>
        <w:tc>
          <w:tcPr>
            <w:tcW w:w="15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职务</w:t>
            </w:r>
          </w:p>
        </w:tc>
        <w:tc>
          <w:tcPr>
            <w:tcW w:w="40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简历</w:t>
            </w:r>
          </w:p>
        </w:tc>
      </w:tr>
      <w:tr>
        <w:tblPrEx>
          <w:tblLayout w:type="fixed"/>
          <w:tblCellMar>
            <w:top w:w="0" w:type="dxa"/>
            <w:left w:w="108" w:type="dxa"/>
            <w:bottom w:w="0" w:type="dxa"/>
            <w:right w:w="108" w:type="dxa"/>
          </w:tblCellMar>
        </w:tblPrEx>
        <w:trPr>
          <w:trHeight w:val="1474"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罗忠钦</w:t>
            </w:r>
          </w:p>
        </w:tc>
        <w:tc>
          <w:tcPr>
            <w:tcW w:w="12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5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监事长</w:t>
            </w:r>
          </w:p>
        </w:tc>
        <w:tc>
          <w:tcPr>
            <w:tcW w:w="40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汉族，江西南康人，1983年6月出生，中共党员，研究生学历，助理经济师职称，2005年7月参加工作，现任寻乌农商银行党委委员、纪委书记、监事长。</w:t>
            </w:r>
          </w:p>
        </w:tc>
      </w:tr>
      <w:tr>
        <w:tblPrEx>
          <w:tblLayout w:type="fixed"/>
          <w:tblCellMar>
            <w:top w:w="0" w:type="dxa"/>
            <w:left w:w="108" w:type="dxa"/>
            <w:bottom w:w="0" w:type="dxa"/>
            <w:right w:w="108" w:type="dxa"/>
          </w:tblCellMar>
        </w:tblPrEx>
        <w:trPr>
          <w:trHeight w:val="90"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严艳娟</w:t>
            </w:r>
          </w:p>
        </w:tc>
        <w:tc>
          <w:tcPr>
            <w:tcW w:w="12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女</w:t>
            </w:r>
          </w:p>
        </w:tc>
        <w:tc>
          <w:tcPr>
            <w:tcW w:w="15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职工监事</w:t>
            </w:r>
          </w:p>
        </w:tc>
        <w:tc>
          <w:tcPr>
            <w:tcW w:w="40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汉族，江西寻乌人，1988年6月出生，中共党员，大专学历，2012年4月参加工作，现任寻乌农商银行党群工作部副总经理。</w:t>
            </w:r>
          </w:p>
        </w:tc>
      </w:tr>
      <w:tr>
        <w:tblPrEx>
          <w:tblLayout w:type="fixed"/>
          <w:tblCellMar>
            <w:top w:w="0" w:type="dxa"/>
            <w:left w:w="108" w:type="dxa"/>
            <w:bottom w:w="0" w:type="dxa"/>
            <w:right w:w="108" w:type="dxa"/>
          </w:tblCellMar>
        </w:tblPrEx>
        <w:trPr>
          <w:trHeight w:val="660"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陈志凌</w:t>
            </w:r>
          </w:p>
        </w:tc>
        <w:tc>
          <w:tcPr>
            <w:tcW w:w="12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5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eastAsia="仿宋_GB2312"/>
                <w:bCs/>
                <w:sz w:val="24"/>
                <w:highlight w:val="none"/>
                <w:lang w:val="en-US" w:eastAsia="zh-CN"/>
              </w:rPr>
              <w:t>股东监事</w:t>
            </w:r>
          </w:p>
        </w:tc>
        <w:tc>
          <w:tcPr>
            <w:tcW w:w="40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exact"/>
              <w:jc w:val="both"/>
              <w:textAlignment w:val="auto"/>
              <w:rPr>
                <w:rFonts w:hint="eastAsia" w:ascii="仿宋_GB2312" w:eastAsia="仿宋_GB2312"/>
                <w:color w:val="auto"/>
                <w:sz w:val="24"/>
                <w:szCs w:val="24"/>
                <w:highlight w:val="none"/>
                <w:lang w:eastAsia="zh-CN"/>
              </w:rPr>
            </w:pPr>
            <w:r>
              <w:rPr>
                <w:rFonts w:hint="eastAsia" w:eastAsia="仿宋_GB2312"/>
                <w:sz w:val="24"/>
                <w:szCs w:val="21"/>
                <w:highlight w:val="none"/>
              </w:rPr>
              <w:t>汉族，江西</w:t>
            </w:r>
            <w:r>
              <w:rPr>
                <w:rFonts w:hint="eastAsia" w:ascii="仿宋_GB2312" w:eastAsia="仿宋_GB2312"/>
                <w:bCs/>
                <w:sz w:val="24"/>
                <w:highlight w:val="none"/>
                <w:lang w:val="en-US" w:eastAsia="zh-CN"/>
              </w:rPr>
              <w:t>石城</w:t>
            </w:r>
            <w:r>
              <w:rPr>
                <w:rFonts w:hint="eastAsia" w:eastAsia="仿宋_GB2312"/>
                <w:sz w:val="24"/>
                <w:szCs w:val="21"/>
                <w:highlight w:val="none"/>
              </w:rPr>
              <w:t>人，19</w:t>
            </w:r>
            <w:r>
              <w:rPr>
                <w:rFonts w:hint="eastAsia" w:eastAsia="仿宋_GB2312"/>
                <w:sz w:val="24"/>
                <w:szCs w:val="21"/>
                <w:highlight w:val="none"/>
                <w:lang w:val="en-US" w:eastAsia="zh-CN"/>
              </w:rPr>
              <w:t>85</w:t>
            </w:r>
            <w:r>
              <w:rPr>
                <w:rFonts w:hint="eastAsia" w:eastAsia="仿宋_GB2312"/>
                <w:sz w:val="24"/>
                <w:szCs w:val="21"/>
                <w:highlight w:val="none"/>
              </w:rPr>
              <w:t>年</w:t>
            </w:r>
            <w:r>
              <w:rPr>
                <w:rFonts w:hint="eastAsia" w:eastAsia="仿宋_GB2312"/>
                <w:sz w:val="24"/>
                <w:szCs w:val="21"/>
                <w:highlight w:val="none"/>
                <w:lang w:val="en-US" w:eastAsia="zh-CN"/>
              </w:rPr>
              <w:t>1</w:t>
            </w:r>
            <w:r>
              <w:rPr>
                <w:rFonts w:hint="eastAsia" w:eastAsia="仿宋_GB2312"/>
                <w:sz w:val="24"/>
                <w:szCs w:val="21"/>
                <w:highlight w:val="none"/>
              </w:rPr>
              <w:t>月</w:t>
            </w:r>
            <w:r>
              <w:rPr>
                <w:rFonts w:hint="eastAsia" w:eastAsia="仿宋_GB2312"/>
                <w:sz w:val="24"/>
                <w:szCs w:val="21"/>
                <w:highlight w:val="none"/>
                <w:lang w:eastAsia="zh-CN"/>
              </w:rPr>
              <w:t>出生，中共党员，</w:t>
            </w:r>
            <w:r>
              <w:rPr>
                <w:rFonts w:hint="eastAsia" w:ascii="仿宋_GB2312" w:eastAsia="仿宋_GB2312"/>
                <w:bCs/>
                <w:sz w:val="24"/>
                <w:highlight w:val="none"/>
                <w:lang w:val="en-US" w:eastAsia="zh-CN"/>
              </w:rPr>
              <w:t>学士学位，助理经济师职称，2007年3月参加工作</w:t>
            </w:r>
            <w:r>
              <w:rPr>
                <w:rFonts w:hint="eastAsia" w:ascii="仿宋_GB2312" w:hAnsi="宋体" w:eastAsia="仿宋_GB2312" w:cs="仿宋_GB2312"/>
                <w:i w:val="0"/>
                <w:color w:val="auto"/>
                <w:kern w:val="0"/>
                <w:sz w:val="24"/>
                <w:szCs w:val="24"/>
                <w:highlight w:val="none"/>
                <w:u w:val="none"/>
                <w:lang w:val="en-US" w:eastAsia="zh-CN" w:bidi="ar"/>
              </w:rPr>
              <w:t>，现任兴国农商银行党委委员、纪委书记、监事长</w:t>
            </w:r>
            <w:r>
              <w:rPr>
                <w:rFonts w:hint="eastAsia" w:ascii="仿宋_GB2312" w:eastAsia="仿宋_GB2312"/>
                <w:bCs/>
                <w:sz w:val="24"/>
                <w:highlight w:val="none"/>
                <w:lang w:val="en-US" w:eastAsia="zh-CN"/>
              </w:rPr>
              <w:t>。</w:t>
            </w: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曾令达</w:t>
            </w:r>
          </w:p>
        </w:tc>
        <w:tc>
          <w:tcPr>
            <w:tcW w:w="12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5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rPr>
              <w:t>外部监事</w:t>
            </w:r>
          </w:p>
        </w:tc>
        <w:tc>
          <w:tcPr>
            <w:tcW w:w="40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eastAsia" w:ascii="仿宋_GB2312" w:eastAsia="仿宋_GB2312"/>
                <w:color w:val="auto"/>
                <w:sz w:val="24"/>
                <w:szCs w:val="24"/>
                <w:highlight w:val="none"/>
                <w:lang w:eastAsia="zh-CN"/>
              </w:rPr>
            </w:pPr>
            <w:r>
              <w:rPr>
                <w:rFonts w:hint="eastAsia" w:eastAsia="仿宋_GB2312"/>
                <w:sz w:val="24"/>
                <w:szCs w:val="21"/>
                <w:highlight w:val="none"/>
              </w:rPr>
              <w:t>汉族，江西寻乌人，19</w:t>
            </w:r>
            <w:r>
              <w:rPr>
                <w:rFonts w:hint="eastAsia" w:eastAsia="仿宋_GB2312"/>
                <w:sz w:val="24"/>
                <w:szCs w:val="21"/>
                <w:highlight w:val="none"/>
                <w:lang w:val="en-US" w:eastAsia="zh-CN"/>
              </w:rPr>
              <w:t>62</w:t>
            </w:r>
            <w:r>
              <w:rPr>
                <w:rFonts w:hint="eastAsia" w:eastAsia="仿宋_GB2312"/>
                <w:sz w:val="24"/>
                <w:szCs w:val="21"/>
                <w:highlight w:val="none"/>
              </w:rPr>
              <w:t>年</w:t>
            </w:r>
            <w:r>
              <w:rPr>
                <w:rFonts w:hint="eastAsia" w:eastAsia="仿宋_GB2312"/>
                <w:sz w:val="24"/>
                <w:szCs w:val="21"/>
                <w:highlight w:val="none"/>
                <w:lang w:val="en-US" w:eastAsia="zh-CN"/>
              </w:rPr>
              <w:t>8</w:t>
            </w:r>
            <w:r>
              <w:rPr>
                <w:rFonts w:hint="eastAsia" w:eastAsia="仿宋_GB2312"/>
                <w:sz w:val="24"/>
                <w:szCs w:val="21"/>
                <w:highlight w:val="none"/>
              </w:rPr>
              <w:t>月出生，</w:t>
            </w:r>
            <w:r>
              <w:rPr>
                <w:rFonts w:hint="eastAsia" w:eastAsia="仿宋_GB2312"/>
                <w:sz w:val="24"/>
                <w:szCs w:val="21"/>
                <w:highlight w:val="none"/>
                <w:lang w:eastAsia="zh-CN"/>
              </w:rPr>
              <w:t>中共党员，本科</w:t>
            </w:r>
            <w:r>
              <w:rPr>
                <w:rFonts w:hint="eastAsia" w:eastAsia="仿宋_GB2312"/>
                <w:sz w:val="24"/>
                <w:szCs w:val="21"/>
                <w:highlight w:val="none"/>
              </w:rPr>
              <w:t>学历，</w:t>
            </w:r>
            <w:r>
              <w:rPr>
                <w:rFonts w:hint="eastAsia" w:eastAsia="仿宋_GB2312"/>
                <w:sz w:val="24"/>
                <w:szCs w:val="21"/>
                <w:highlight w:val="none"/>
                <w:lang w:val="en-US" w:eastAsia="zh-CN"/>
              </w:rPr>
              <w:t>2009</w:t>
            </w:r>
            <w:r>
              <w:rPr>
                <w:rFonts w:hint="eastAsia" w:eastAsia="仿宋_GB2312"/>
                <w:sz w:val="24"/>
                <w:szCs w:val="21"/>
                <w:highlight w:val="none"/>
              </w:rPr>
              <w:t>年</w:t>
            </w:r>
            <w:r>
              <w:rPr>
                <w:rFonts w:hint="eastAsia" w:eastAsia="仿宋_GB2312"/>
                <w:sz w:val="24"/>
                <w:szCs w:val="21"/>
                <w:highlight w:val="none"/>
                <w:lang w:val="en-US" w:eastAsia="zh-CN"/>
              </w:rPr>
              <w:t>12月</w:t>
            </w:r>
            <w:r>
              <w:rPr>
                <w:rFonts w:hint="eastAsia" w:eastAsia="仿宋_GB2312"/>
                <w:sz w:val="24"/>
                <w:szCs w:val="21"/>
                <w:highlight w:val="none"/>
              </w:rPr>
              <w:t>至今，在</w:t>
            </w:r>
            <w:r>
              <w:rPr>
                <w:rFonts w:hint="eastAsia" w:ascii="仿宋_GB2312" w:hAnsi="仿宋_GB2312" w:eastAsia="仿宋_GB2312" w:cs="仿宋_GB2312"/>
                <w:color w:val="auto"/>
                <w:kern w:val="0"/>
                <w:sz w:val="24"/>
                <w:szCs w:val="24"/>
                <w:highlight w:val="none"/>
                <w:lang w:eastAsia="zh-CN"/>
              </w:rPr>
              <w:t>江西寻信律师事务所工作</w:t>
            </w:r>
            <w:r>
              <w:rPr>
                <w:rFonts w:hint="eastAsia" w:eastAsia="仿宋_GB2312"/>
                <w:sz w:val="24"/>
                <w:szCs w:val="21"/>
                <w:highlight w:val="none"/>
              </w:rPr>
              <w:t>。</w:t>
            </w:r>
          </w:p>
        </w:tc>
      </w:tr>
      <w:tr>
        <w:tblPrEx>
          <w:tblLayout w:type="fixed"/>
          <w:tblCellMar>
            <w:top w:w="0" w:type="dxa"/>
            <w:left w:w="108" w:type="dxa"/>
            <w:bottom w:w="0" w:type="dxa"/>
            <w:right w:w="108" w:type="dxa"/>
          </w:tblCellMar>
        </w:tblPrEx>
        <w:trPr>
          <w:trHeight w:val="1523" w:hRule="atLeast"/>
          <w:jc w:val="center"/>
        </w:trPr>
        <w:tc>
          <w:tcPr>
            <w:tcW w:w="9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刘海珊</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女</w:t>
            </w:r>
          </w:p>
        </w:tc>
        <w:tc>
          <w:tcPr>
            <w:tcW w:w="15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外部监事</w:t>
            </w:r>
          </w:p>
        </w:tc>
        <w:tc>
          <w:tcPr>
            <w:tcW w:w="40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eastAsia" w:ascii="仿宋_GB2312" w:eastAsia="仿宋_GB2312"/>
                <w:color w:val="auto"/>
                <w:sz w:val="24"/>
                <w:szCs w:val="24"/>
                <w:highlight w:val="none"/>
                <w:lang w:eastAsia="zh-CN"/>
              </w:rPr>
            </w:pPr>
            <w:r>
              <w:rPr>
                <w:rFonts w:hint="eastAsia" w:eastAsia="仿宋_GB2312"/>
                <w:sz w:val="24"/>
                <w:szCs w:val="21"/>
                <w:highlight w:val="none"/>
              </w:rPr>
              <w:t>汉族，江西寻乌人，19</w:t>
            </w:r>
            <w:r>
              <w:rPr>
                <w:rFonts w:hint="eastAsia" w:eastAsia="仿宋_GB2312"/>
                <w:sz w:val="24"/>
                <w:szCs w:val="21"/>
                <w:highlight w:val="none"/>
                <w:lang w:val="en-US" w:eastAsia="zh-CN"/>
              </w:rPr>
              <w:t>71</w:t>
            </w:r>
            <w:r>
              <w:rPr>
                <w:rFonts w:hint="eastAsia" w:eastAsia="仿宋_GB2312"/>
                <w:sz w:val="24"/>
                <w:szCs w:val="21"/>
                <w:highlight w:val="none"/>
              </w:rPr>
              <w:t>年5月出生，</w:t>
            </w:r>
            <w:r>
              <w:rPr>
                <w:rFonts w:hint="eastAsia" w:eastAsia="仿宋_GB2312"/>
                <w:sz w:val="24"/>
                <w:szCs w:val="21"/>
                <w:highlight w:val="none"/>
                <w:lang w:eastAsia="zh-CN"/>
              </w:rPr>
              <w:t>中共党员，大专</w:t>
            </w:r>
            <w:r>
              <w:rPr>
                <w:rFonts w:hint="eastAsia" w:eastAsia="仿宋_GB2312"/>
                <w:sz w:val="24"/>
                <w:szCs w:val="21"/>
                <w:highlight w:val="none"/>
              </w:rPr>
              <w:t>学历，</w:t>
            </w:r>
            <w:r>
              <w:rPr>
                <w:rFonts w:hint="eastAsia" w:eastAsia="仿宋_GB2312"/>
                <w:sz w:val="24"/>
                <w:szCs w:val="21"/>
                <w:highlight w:val="none"/>
                <w:lang w:val="en-US" w:eastAsia="zh-CN"/>
              </w:rPr>
              <w:t>2018</w:t>
            </w:r>
            <w:r>
              <w:rPr>
                <w:rFonts w:hint="eastAsia" w:eastAsia="仿宋_GB2312"/>
                <w:sz w:val="24"/>
                <w:szCs w:val="21"/>
                <w:highlight w:val="none"/>
              </w:rPr>
              <w:t>年</w:t>
            </w:r>
            <w:r>
              <w:rPr>
                <w:rFonts w:hint="eastAsia" w:eastAsia="仿宋_GB2312"/>
                <w:sz w:val="24"/>
                <w:szCs w:val="21"/>
                <w:highlight w:val="none"/>
                <w:lang w:val="en-US" w:eastAsia="zh-CN"/>
              </w:rPr>
              <w:t>3</w:t>
            </w:r>
            <w:r>
              <w:rPr>
                <w:rFonts w:hint="eastAsia" w:eastAsia="仿宋_GB2312"/>
                <w:sz w:val="24"/>
                <w:szCs w:val="21"/>
                <w:highlight w:val="none"/>
              </w:rPr>
              <w:t>月至</w:t>
            </w:r>
            <w:r>
              <w:rPr>
                <w:rFonts w:hint="eastAsia" w:eastAsia="仿宋_GB2312"/>
                <w:sz w:val="24"/>
                <w:szCs w:val="21"/>
                <w:highlight w:val="none"/>
                <w:lang w:eastAsia="zh-CN"/>
              </w:rPr>
              <w:t>今</w:t>
            </w:r>
            <w:r>
              <w:rPr>
                <w:rFonts w:hint="eastAsia" w:eastAsia="仿宋_GB2312"/>
                <w:sz w:val="24"/>
                <w:szCs w:val="21"/>
                <w:highlight w:val="none"/>
              </w:rPr>
              <w:t>，</w:t>
            </w:r>
            <w:r>
              <w:rPr>
                <w:rFonts w:hint="eastAsia" w:eastAsia="仿宋_GB2312"/>
                <w:sz w:val="24"/>
                <w:szCs w:val="21"/>
                <w:highlight w:val="none"/>
                <w:lang w:eastAsia="zh-CN"/>
              </w:rPr>
              <w:t>在</w:t>
            </w:r>
            <w:r>
              <w:rPr>
                <w:rFonts w:hint="eastAsia" w:ascii="仿宋_GB2312" w:hAnsi="仿宋_GB2312" w:eastAsia="仿宋_GB2312" w:cs="仿宋_GB2312"/>
                <w:color w:val="auto"/>
                <w:kern w:val="0"/>
                <w:sz w:val="24"/>
                <w:szCs w:val="24"/>
                <w:highlight w:val="none"/>
                <w:lang w:eastAsia="zh-CN"/>
              </w:rPr>
              <w:t>寻乌正信财务咨询有限公司工作。</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2.监事会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2023年度</w:t>
      </w:r>
      <w:r>
        <w:rPr>
          <w:rFonts w:hint="eastAsia" w:ascii="仿宋_GB2312" w:hAnsi="仿宋_GB2312" w:eastAsia="仿宋_GB2312" w:cs="仿宋_GB2312"/>
          <w:color w:val="auto"/>
          <w:sz w:val="32"/>
          <w:szCs w:val="32"/>
          <w:highlight w:val="none"/>
        </w:rPr>
        <w:t>共召开监事会</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次，监事会下设专门委员会均按要求召开会议。监事会本着对股东高度负责的态度，按照商业银行的管理标准，对董事会和高级管理层及其成员的履职尽责情况、财务活动、内部控制、风险管理等进行监督，维护股东的合法权益和存款人利益。</w:t>
      </w:r>
    </w:p>
    <w:p>
      <w:pPr>
        <w:pStyle w:val="2"/>
        <w:keepNext w:val="0"/>
        <w:keepLines w:val="0"/>
        <w:pageBreakBefore w:val="0"/>
        <w:kinsoku/>
        <w:wordWrap/>
        <w:overflowPunct/>
        <w:topLinePunct w:val="0"/>
        <w:autoSpaceDE/>
        <w:autoSpaceDN/>
        <w:bidi w:val="0"/>
        <w:adjustRightInd/>
        <w:snapToGrid/>
        <w:spacing w:before="0"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3.外部监事履职情况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报告期内，</w:t>
      </w:r>
      <w:r>
        <w:rPr>
          <w:rFonts w:hint="eastAsia" w:ascii="仿宋_GB2312" w:hAnsi="仿宋_GB2312" w:eastAsia="仿宋_GB2312" w:cs="仿宋_GB2312"/>
          <w:color w:val="auto"/>
          <w:sz w:val="32"/>
          <w:szCs w:val="32"/>
          <w:highlight w:val="none"/>
          <w:lang w:eastAsia="zh-CN"/>
        </w:rPr>
        <w:t>外部监事</w:t>
      </w:r>
      <w:r>
        <w:rPr>
          <w:rFonts w:hint="eastAsia" w:ascii="仿宋_GB2312" w:hAnsi="仿宋_GB2312" w:eastAsia="仿宋_GB2312" w:cs="仿宋_GB2312"/>
          <w:color w:val="auto"/>
          <w:sz w:val="32"/>
          <w:szCs w:val="32"/>
          <w:highlight w:val="none"/>
        </w:rPr>
        <w:t>能够按照法律、法规和本行章程的要求，忠实履行职责,参加股东会、专门委员会会议</w:t>
      </w:r>
      <w:r>
        <w:rPr>
          <w:rFonts w:hint="eastAsia" w:ascii="仿宋_GB2312" w:hAnsi="仿宋_GB2312" w:eastAsia="仿宋_GB2312" w:cs="仿宋_GB2312"/>
          <w:color w:val="auto"/>
          <w:sz w:val="32"/>
          <w:szCs w:val="32"/>
          <w:highlight w:val="none"/>
          <w:lang w:eastAsia="zh-CN"/>
        </w:rPr>
        <w:t>以及列席董事会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对寻乌农商银行决策程序、经营战略、风险管控提出积极有效的意见，较好地发挥了监督作用</w:t>
      </w:r>
      <w:r>
        <w:rPr>
          <w:rFonts w:hint="eastAsia" w:ascii="仿宋_GB2312" w:hAnsi="仿宋_GB2312" w:eastAsia="仿宋_GB2312" w:cs="仿宋_GB2312"/>
          <w:color w:val="auto"/>
          <w:sz w:val="32"/>
          <w:szCs w:val="32"/>
          <w:highlight w:val="none"/>
        </w:rPr>
        <w:t>。工作期间，</w:t>
      </w:r>
      <w:r>
        <w:rPr>
          <w:rFonts w:hint="eastAsia" w:ascii="仿宋_GB2312" w:hAnsi="仿宋_GB2312" w:eastAsia="仿宋_GB2312" w:cs="仿宋_GB2312"/>
          <w:color w:val="auto"/>
          <w:sz w:val="32"/>
          <w:szCs w:val="32"/>
          <w:highlight w:val="none"/>
          <w:lang w:eastAsia="zh-CN"/>
        </w:rPr>
        <w:t>外部监事</w:t>
      </w:r>
      <w:r>
        <w:rPr>
          <w:rFonts w:hint="eastAsia" w:ascii="仿宋_GB2312" w:hAnsi="仿宋_GB2312" w:eastAsia="仿宋_GB2312" w:cs="仿宋_GB2312"/>
          <w:color w:val="auto"/>
          <w:sz w:val="32"/>
          <w:szCs w:val="32"/>
          <w:highlight w:val="none"/>
        </w:rPr>
        <w:t>能够独立履行职责，</w:t>
      </w:r>
      <w:r>
        <w:rPr>
          <w:rFonts w:hint="eastAsia" w:ascii="仿宋_GB2312" w:hAnsi="仿宋_GB2312" w:eastAsia="仿宋_GB2312" w:cs="仿宋_GB2312"/>
          <w:color w:val="auto"/>
          <w:sz w:val="32"/>
          <w:szCs w:val="32"/>
          <w:highlight w:val="none"/>
          <w:lang w:eastAsia="zh-CN"/>
        </w:rPr>
        <w:t>守法合规、履职尽责，外部监事能够按要求出席会议，</w:t>
      </w:r>
      <w:r>
        <w:rPr>
          <w:rFonts w:hint="eastAsia" w:ascii="仿宋_GB2312" w:hAnsi="仿宋_GB2312" w:eastAsia="仿宋_GB2312" w:cs="仿宋_GB2312"/>
          <w:color w:val="auto"/>
          <w:sz w:val="32"/>
          <w:szCs w:val="32"/>
          <w:highlight w:val="none"/>
        </w:rPr>
        <w:t>不受本行主要股东、实际控制人或者其他与本行存在利害关系的单位或个人的影响，发表独立意见，有效履行职责。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报告期内，</w:t>
      </w:r>
      <w:r>
        <w:rPr>
          <w:rFonts w:hint="eastAsia" w:ascii="仿宋_GB2312" w:hAnsi="仿宋_GB2312" w:eastAsia="仿宋_GB2312" w:cs="仿宋_GB2312"/>
          <w:color w:val="auto"/>
          <w:sz w:val="32"/>
          <w:szCs w:val="32"/>
          <w:highlight w:val="none"/>
          <w:lang w:eastAsia="zh-CN"/>
        </w:rPr>
        <w:t>外部监事</w:t>
      </w:r>
      <w:r>
        <w:rPr>
          <w:rFonts w:hint="eastAsia" w:ascii="仿宋_GB2312" w:hAnsi="仿宋_GB2312" w:eastAsia="仿宋_GB2312" w:cs="仿宋_GB2312"/>
          <w:color w:val="auto"/>
          <w:sz w:val="32"/>
          <w:szCs w:val="32"/>
          <w:highlight w:val="none"/>
        </w:rPr>
        <w:t>没有对本行董事会会议议案及其他事项提出异议。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（三）高级管理层成员构成及其基本情况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本行高级管理层由总行行长、副行长及监管部门认定的其他高级管理人员组成。高级管理层严格执行股东大会、董事会决议，认真执行年度预算，圆满完成年度经营目标。</w:t>
      </w:r>
    </w:p>
    <w:p>
      <w:pPr>
        <w:pStyle w:val="2"/>
        <w:rPr>
          <w:rFonts w:hint="eastAsia"/>
        </w:rPr>
      </w:pPr>
    </w:p>
    <w:tbl>
      <w:tblPr>
        <w:tblStyle w:val="13"/>
        <w:tblW w:w="9016" w:type="dxa"/>
        <w:jc w:val="center"/>
        <w:tblInd w:w="0" w:type="dxa"/>
        <w:tblLayout w:type="fixed"/>
        <w:tblCellMar>
          <w:top w:w="0" w:type="dxa"/>
          <w:left w:w="108" w:type="dxa"/>
          <w:bottom w:w="0" w:type="dxa"/>
          <w:right w:w="108" w:type="dxa"/>
        </w:tblCellMar>
      </w:tblPr>
      <w:tblGrid>
        <w:gridCol w:w="910"/>
        <w:gridCol w:w="1233"/>
        <w:gridCol w:w="983"/>
        <w:gridCol w:w="1917"/>
        <w:gridCol w:w="3973"/>
      </w:tblGrid>
      <w:tr>
        <w:tblPrEx>
          <w:tblLayout w:type="fixed"/>
          <w:tblCellMar>
            <w:top w:w="0" w:type="dxa"/>
            <w:left w:w="108" w:type="dxa"/>
            <w:bottom w:w="0" w:type="dxa"/>
            <w:right w:w="108" w:type="dxa"/>
          </w:tblCellMar>
        </w:tblPrEx>
        <w:trPr>
          <w:trHeight w:val="597"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序号</w:t>
            </w:r>
          </w:p>
        </w:tc>
        <w:tc>
          <w:tcPr>
            <w:tcW w:w="1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姓</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名</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性别</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职</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务</w:t>
            </w:r>
          </w:p>
        </w:tc>
        <w:tc>
          <w:tcPr>
            <w:tcW w:w="3973"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overflowPunct/>
              <w:topLinePunct w:val="0"/>
              <w:bidi w:val="0"/>
              <w:spacing w:line="560" w:lineRule="exact"/>
              <w:ind w:right="0" w:firstLine="1285" w:firstLineChars="4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从业年限</w:t>
            </w:r>
          </w:p>
        </w:tc>
      </w:tr>
      <w:tr>
        <w:tblPrEx>
          <w:tblLayout w:type="fixed"/>
          <w:tblCellMar>
            <w:top w:w="0" w:type="dxa"/>
            <w:left w:w="108" w:type="dxa"/>
            <w:bottom w:w="0" w:type="dxa"/>
            <w:right w:w="108" w:type="dxa"/>
          </w:tblCellMar>
        </w:tblPrEx>
        <w:trPr>
          <w:trHeight w:val="1787" w:hRule="atLeast"/>
          <w:jc w:val="center"/>
        </w:trPr>
        <w:tc>
          <w:tcPr>
            <w:tcW w:w="9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12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曾海金</w:t>
            </w:r>
          </w:p>
        </w:tc>
        <w:tc>
          <w:tcPr>
            <w:tcW w:w="9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9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党委书记、董事长</w:t>
            </w:r>
          </w:p>
        </w:tc>
        <w:tc>
          <w:tcPr>
            <w:tcW w:w="39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eastAsia="仿宋_GB2312"/>
                <w:sz w:val="24"/>
                <w:szCs w:val="21"/>
                <w:highlight w:val="none"/>
                <w:lang w:val="en-US" w:eastAsia="zh-CN"/>
              </w:rPr>
              <w:t>汉族，江西兴国人，1976年9月出生，大学本科学历，中共党员，1997年8月参加信用社工作，从事金融工作年限27年。</w:t>
            </w:r>
          </w:p>
        </w:tc>
      </w:tr>
      <w:tr>
        <w:tblPrEx>
          <w:tblLayout w:type="fixed"/>
          <w:tblCellMar>
            <w:top w:w="0" w:type="dxa"/>
            <w:left w:w="108" w:type="dxa"/>
            <w:bottom w:w="0" w:type="dxa"/>
            <w:right w:w="108" w:type="dxa"/>
          </w:tblCellMar>
        </w:tblPrEx>
        <w:trPr>
          <w:trHeight w:val="1890"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1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潘其森</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党委委员、行长</w:t>
            </w:r>
          </w:p>
        </w:tc>
        <w:tc>
          <w:tcPr>
            <w:tcW w:w="39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eastAsia="仿宋_GB2312"/>
                <w:sz w:val="24"/>
                <w:szCs w:val="21"/>
                <w:highlight w:val="none"/>
                <w:lang w:val="en-US" w:eastAsia="zh-CN"/>
              </w:rPr>
              <w:t>汉族，江西寻乌人，1972年10月出生，大学本科学历，中共党员，1995年8月参加信用社工作，从事金融工作年限28年。</w:t>
            </w:r>
          </w:p>
        </w:tc>
      </w:tr>
      <w:tr>
        <w:tblPrEx>
          <w:tblLayout w:type="fixed"/>
          <w:tblCellMar>
            <w:top w:w="0" w:type="dxa"/>
            <w:left w:w="108" w:type="dxa"/>
            <w:bottom w:w="0" w:type="dxa"/>
            <w:right w:w="108" w:type="dxa"/>
          </w:tblCellMar>
        </w:tblPrEx>
        <w:trPr>
          <w:trHeight w:val="1740"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1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赖建平</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党委委员、副行长</w:t>
            </w:r>
          </w:p>
        </w:tc>
        <w:tc>
          <w:tcPr>
            <w:tcW w:w="39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eastAsia="仿宋_GB2312"/>
                <w:sz w:val="24"/>
                <w:szCs w:val="21"/>
                <w:highlight w:val="none"/>
                <w:lang w:val="en-US" w:eastAsia="zh-CN"/>
              </w:rPr>
              <w:t>汉族，江西寻乌人，1983年8月出生，大学本科学历，中共党员，2007年2月参加信用社工作，从事金融工作年限17年。</w:t>
            </w:r>
          </w:p>
        </w:tc>
      </w:tr>
      <w:tr>
        <w:tblPrEx>
          <w:tblLayout w:type="fixed"/>
          <w:tblCellMar>
            <w:top w:w="0" w:type="dxa"/>
            <w:left w:w="108" w:type="dxa"/>
            <w:bottom w:w="0" w:type="dxa"/>
            <w:right w:w="108" w:type="dxa"/>
          </w:tblCellMar>
        </w:tblPrEx>
        <w:trPr>
          <w:trHeight w:val="1703"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4</w:t>
            </w:r>
          </w:p>
        </w:tc>
        <w:tc>
          <w:tcPr>
            <w:tcW w:w="1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罗忠钦</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党委委员、纪委书记、监事长</w:t>
            </w:r>
          </w:p>
        </w:tc>
        <w:tc>
          <w:tcPr>
            <w:tcW w:w="39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eastAsia="仿宋_GB2312"/>
                <w:sz w:val="24"/>
                <w:szCs w:val="21"/>
                <w:highlight w:val="none"/>
                <w:lang w:val="en-US" w:eastAsia="zh-CN"/>
              </w:rPr>
              <w:t>汉族，江西南康人，1983年6月出生，研究生学历，中共党员，2005年7月参加信用社工作，从事金融工作年限19年。</w:t>
            </w:r>
          </w:p>
        </w:tc>
      </w:tr>
      <w:tr>
        <w:tblPrEx>
          <w:tblLayout w:type="fixed"/>
          <w:tblCellMar>
            <w:top w:w="0" w:type="dxa"/>
            <w:left w:w="108" w:type="dxa"/>
            <w:bottom w:w="0" w:type="dxa"/>
            <w:right w:w="108" w:type="dxa"/>
          </w:tblCellMar>
        </w:tblPrEx>
        <w:trPr>
          <w:trHeight w:val="1796"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5</w:t>
            </w:r>
          </w:p>
        </w:tc>
        <w:tc>
          <w:tcPr>
            <w:tcW w:w="1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曾宇</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党委委员、副行长</w:t>
            </w:r>
          </w:p>
        </w:tc>
        <w:tc>
          <w:tcPr>
            <w:tcW w:w="39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eastAsia="仿宋_GB2312"/>
                <w:sz w:val="24"/>
                <w:szCs w:val="21"/>
                <w:highlight w:val="none"/>
                <w:lang w:val="en-US" w:eastAsia="zh-CN"/>
              </w:rPr>
              <w:t>汉族，江西会昌人，1980年12月出生，大学本科学历，中共党员，2005年4月参加信用社工作，从事金融工作年限19年。</w:t>
            </w:r>
          </w:p>
        </w:tc>
      </w:tr>
      <w:tr>
        <w:tblPrEx>
          <w:tblLayout w:type="fixed"/>
          <w:tblCellMar>
            <w:top w:w="0" w:type="dxa"/>
            <w:left w:w="108" w:type="dxa"/>
            <w:bottom w:w="0" w:type="dxa"/>
            <w:right w:w="108" w:type="dxa"/>
          </w:tblCellMar>
        </w:tblPrEx>
        <w:trPr>
          <w:trHeight w:val="1807"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6</w:t>
            </w:r>
          </w:p>
        </w:tc>
        <w:tc>
          <w:tcPr>
            <w:tcW w:w="1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曾烨发</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寻乌农商银行董秘</w:t>
            </w:r>
          </w:p>
        </w:tc>
        <w:tc>
          <w:tcPr>
            <w:tcW w:w="39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eastAsia="仿宋_GB2312"/>
                <w:sz w:val="24"/>
                <w:szCs w:val="21"/>
                <w:highlight w:val="none"/>
                <w:lang w:val="en-US" w:eastAsia="zh-CN"/>
              </w:rPr>
              <w:t>汉族，江西寻乌人，1992年4月出生，大学本科学历，中共党员，2015年10月参加工作，从事金融工作年限9年。</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40"/>
          <w:highlight w:val="none"/>
          <w:lang w:eastAsia="zh-CN"/>
        </w:rPr>
      </w:pPr>
      <w:r>
        <w:rPr>
          <w:rFonts w:hint="eastAsia" w:ascii="黑体" w:hAnsi="黑体" w:eastAsia="黑体" w:cs="黑体"/>
          <w:sz w:val="32"/>
          <w:szCs w:val="40"/>
          <w:highlight w:val="none"/>
          <w:lang w:eastAsia="zh-CN"/>
        </w:rPr>
        <w:t>（四）董事会、监事会、高级管理层职责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eastAsia="仿宋_GB2312"/>
          <w:b/>
          <w:bCs/>
          <w:sz w:val="32"/>
          <w:szCs w:val="32"/>
          <w:highlight w:val="none"/>
        </w:rPr>
        <w:t>董事会行使下列职权：</w:t>
      </w:r>
      <w:r>
        <w:rPr>
          <w:rFonts w:hint="eastAsia" w:ascii="仿宋_GB2312" w:eastAsia="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负责召集股东大会，并向大会报告工作；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执行股东大会的决议；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）确定本行的经营发展战略并监督战略的实施，决定本行的经营计划和投资方案，制定支农支小发展战略；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）制订本行的年度财务预算方案、决算方案、审慎利润分配方案（将主要股东以书面形式向本行作出在必要时向本行补充资本的长期承诺作为需要考虑的主要因素）和弥补亏损方案；</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）制订本行增加或者减少注册资本、发行债券或者其他证券及上市的方案，制定资本规划（包含主要股东以书面形式向本行作出在必要时向本行补充资本的长期承诺的内容），承担资本或偿付能力管理最终责任；</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）拟订本行重大收购、收购本行股份或者合并、分立、解散、清算和变更公司形式的方案；</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）审议批准本行重大对外投资、资产购置、资产处置与核销、资产抵押、关联交易等事项；</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）决定本行内部管理机构及非法人分支机构的设置；</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）聘任或者解聘本行行长、董事会秘书；根据行长的提名，聘任或者解聘本行副行长、内审部门负责人、财务部门负责人、合规部门负责人；</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）确定本行的风险容忍度、风险管理和内部控制政策；董事会对本行全面风险管理承担最终责任；</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制订本行章程的修改方案，制订涉及全体股东利益的重大制度、基本制度、股东大会议事规则、董事会议事规则、董事薪酬制度；审议并批准不涉及全体股东利益的重大制度、基本制度以及董事会专门委员、董事长办公会议事规则、行长办公会议事规则；制定高级管理层履职问责制度；审议或批准对经营活动有重要影响的具体制度,以及其他须由董事会审议或批准的制度。</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）负责本行的信息披露，并对本行的会计和财务报告的真实性、准确性、完整性和及时性承担最终责任；</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）提请股东大会聘用或者解聘为本行财务报告进行定期法定审计的会计师事务所；</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）听取本行行长的工作汇报并检查行长的工作；</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）通报银行保险业监督管理机构对本行的监管意见及本行执行整改情况；</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）向股东大会报告董事会对董事包括独立董事的履职评价结果；</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）制订本行董事年度薪酬、津贴方案，报经股东大会审议批准；</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18</w:t>
      </w:r>
      <w:r>
        <w:rPr>
          <w:rFonts w:hint="eastAsia" w:ascii="仿宋_GB2312" w:eastAsia="仿宋_GB2312"/>
          <w:sz w:val="32"/>
          <w:szCs w:val="32"/>
          <w:highlight w:val="none"/>
        </w:rPr>
        <w:t>）按照监管规定，聘任或者解聘高级管理人员，并决定其报酬、奖惩事项，监督本行高级管理层的履职情况，确保高级管理层有效履行管理职责；</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19</w:t>
      </w:r>
      <w:r>
        <w:rPr>
          <w:rFonts w:hint="eastAsia" w:ascii="仿宋_GB2312" w:eastAsia="仿宋_GB2312"/>
          <w:sz w:val="32"/>
          <w:szCs w:val="32"/>
          <w:highlight w:val="none"/>
        </w:rPr>
        <w:t>）制订股权激励方案；</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）定期评估并完善银行本行公司治理；</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）维护金融消费者和其他利益相关者合法权益；</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）建立本行与股东特别是主要股东之间利益冲突的识别、审查和管理机制；</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）承担股东事务的管理责任；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）法律、法规或本行章程规定，以及股东大会授予或者监管部门要求董事会行使的其他职权。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b w:val="0"/>
          <w:bCs w:val="0"/>
          <w:sz w:val="32"/>
          <w:szCs w:val="32"/>
          <w:highlight w:val="none"/>
        </w:rPr>
      </w:pPr>
      <w:r>
        <w:rPr>
          <w:rFonts w:hint="eastAsia" w:ascii="仿宋_GB2312" w:eastAsia="仿宋_GB2312"/>
          <w:b/>
          <w:bCs/>
          <w:sz w:val="32"/>
          <w:szCs w:val="32"/>
          <w:highlight w:val="none"/>
          <w:lang w:val="en-US" w:eastAsia="zh-CN"/>
        </w:rPr>
        <w:t>2.</w:t>
      </w:r>
      <w:r>
        <w:rPr>
          <w:rFonts w:hint="eastAsia" w:ascii="仿宋_GB2312" w:eastAsia="仿宋_GB2312"/>
          <w:b/>
          <w:bCs/>
          <w:sz w:val="32"/>
          <w:szCs w:val="32"/>
          <w:highlight w:val="none"/>
        </w:rPr>
        <w:t>监事会行使下列职权：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pacing w:val="-6"/>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）监督董事会、高级管理人员履行职责情况，监督董事会确立</w:t>
      </w:r>
      <w:r>
        <w:rPr>
          <w:rFonts w:hint="eastAsia" w:ascii="仿宋_GB2312" w:eastAsia="仿宋_GB2312"/>
          <w:spacing w:val="-6"/>
          <w:sz w:val="32"/>
          <w:szCs w:val="32"/>
          <w:highlight w:val="none"/>
        </w:rPr>
        <w:t xml:space="preserve">稳健的经营理念、价值准则和制定符合公司情况的发展战略；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）要求董事、董事长及高级管理人员纠正其损害本行利益的行为；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）对董事的选聘程序进行监督，对董事和高级管理人员进行专项审计和离任审计；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）对董事、董事长及高级管理人员进行质询；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）检查监督本行的财务活动；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 xml:space="preserve">）对本行的经营决策、风险管理和内部控制等进行监督检查并督促整改；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）对本行发展战略的科学性、合理性和稳健性进行评估，形成评估报告；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）对本行薪酬管理制度实施情况及高级管理人员薪酬方案的科学性、合理性进行监督；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）制订监事会议事规则、监事薪酬制度；制定董事、监事及高级管理层履职评价制度；审议并批准监事会专门委员会议事规则；监督制度的制定与完善；监督制度的实施；监督其他制度管理情况；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）提议召开临时股东大会；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）其他法律、法规、规章及本章程规定应当由监事会行使的职权。</w:t>
      </w:r>
    </w:p>
    <w:p>
      <w:pPr>
        <w:keepNext w:val="0"/>
        <w:keepLines w:val="0"/>
        <w:pageBreakBefore w:val="0"/>
        <w:kinsoku/>
        <w:wordWrap/>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3.高级管理层职责。</w:t>
      </w:r>
      <w:r>
        <w:rPr>
          <w:rFonts w:hint="eastAsia" w:ascii="仿宋_GB2312" w:eastAsia="仿宋_GB2312"/>
          <w:sz w:val="32"/>
          <w:szCs w:val="32"/>
          <w:highlight w:val="none"/>
        </w:rPr>
        <w:t>本行设行长1名，副行长2名。</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）提请董事会聘任或者解聘其他高级管理层成员及内审部门负责人；</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）聘任或者解聘除应由董事会聘任或者解聘以外的本行内部各职能部门及分支机构负责人；</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）代表高级管理层向董事会提交经营计划和投资方案，经董事会批准后组织实施；</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）授权高级管理层成员、内部各职能部门及分支机构负责人从事经营活动，落实支农支小发展战略；</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）在本行发生挤兑等重大突发事件时，采取紧急措施，并立即向有关机构和董事会、监事会报告；</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）审议并批准日常经营管理中的具体制度、操作流程； 制订行长办公会议事规则； 指导本单位遵守法律法规及制度规定，合规经营，完善内控;经董事会授权，审议或批准其他有关制度、操作流程；</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）其他依据法律法规、行政规章和本章程规定应由行长行使的职权。</w:t>
      </w:r>
    </w:p>
    <w:p>
      <w:pPr>
        <w:keepNext w:val="0"/>
        <w:keepLines w:val="0"/>
        <w:pageBreakBefore w:val="0"/>
        <w:kinsoku/>
        <w:wordWrap/>
        <w:topLinePunct w:val="0"/>
        <w:autoSpaceDE/>
        <w:autoSpaceDN/>
        <w:bidi w:val="0"/>
        <w:adjustRightInd/>
        <w:snapToGrid/>
        <w:spacing w:line="560" w:lineRule="exact"/>
        <w:ind w:left="0" w:leftChars="0" w:right="0" w:rightChars="0" w:firstLine="616" w:firstLineChars="200"/>
        <w:jc w:val="both"/>
        <w:textAlignment w:val="auto"/>
        <w:rPr>
          <w:rFonts w:hint="eastAsia" w:ascii="仿宋_GB2312" w:eastAsia="仿宋_GB2312"/>
          <w:b w:val="0"/>
          <w:bCs/>
          <w:spacing w:val="-6"/>
          <w:sz w:val="32"/>
          <w:szCs w:val="32"/>
          <w:highlight w:val="none"/>
        </w:rPr>
      </w:pPr>
      <w:r>
        <w:rPr>
          <w:rFonts w:hint="eastAsia" w:ascii="仿宋_GB2312" w:eastAsia="仿宋_GB2312"/>
          <w:b w:val="0"/>
          <w:bCs/>
          <w:spacing w:val="-6"/>
          <w:sz w:val="32"/>
          <w:szCs w:val="32"/>
          <w:highlight w:val="none"/>
          <w:lang w:eastAsia="zh-CN"/>
        </w:rPr>
        <w:t>（</w:t>
      </w:r>
      <w:r>
        <w:rPr>
          <w:rFonts w:hint="eastAsia" w:ascii="仿宋_GB2312" w:eastAsia="仿宋_GB2312"/>
          <w:b w:val="0"/>
          <w:bCs/>
          <w:spacing w:val="-6"/>
          <w:sz w:val="32"/>
          <w:szCs w:val="32"/>
          <w:highlight w:val="none"/>
          <w:lang w:val="en-US" w:eastAsia="zh-CN"/>
        </w:rPr>
        <w:t>8</w:t>
      </w:r>
      <w:r>
        <w:rPr>
          <w:rFonts w:hint="eastAsia" w:ascii="仿宋_GB2312" w:eastAsia="仿宋_GB2312"/>
          <w:b w:val="0"/>
          <w:bCs/>
          <w:spacing w:val="-6"/>
          <w:sz w:val="32"/>
          <w:szCs w:val="32"/>
          <w:highlight w:val="none"/>
          <w:lang w:eastAsia="zh-CN"/>
        </w:rPr>
        <w:t>）</w:t>
      </w:r>
      <w:r>
        <w:rPr>
          <w:rFonts w:hint="eastAsia" w:ascii="仿宋_GB2312" w:eastAsia="仿宋_GB2312"/>
          <w:b w:val="0"/>
          <w:bCs/>
          <w:spacing w:val="-6"/>
          <w:sz w:val="32"/>
          <w:szCs w:val="32"/>
          <w:highlight w:val="none"/>
        </w:rPr>
        <w:t>行长列席董事会会议，非董事行长在董事会上没有表决权。</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lang w:val="en-US" w:eastAsia="zh-CN"/>
        </w:rPr>
        <w:t>9</w:t>
      </w: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rPr>
        <w:t>行长和其他高级管理人员应当接受监事会监督，定期向监事会提供有关本行经营业绩、重要合同、财务状况、风险状况和经营前景等情况，不得阻挠、妨碍监事会依照职权进行的检查、监督等活动。</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lang w:val="en-US" w:eastAsia="zh-CN"/>
        </w:rPr>
        <w:t>10</w:t>
      </w:r>
      <w:r>
        <w:rPr>
          <w:rFonts w:hint="eastAsia" w:ascii="仿宋_GB2312" w:eastAsia="仿宋_GB2312"/>
          <w:b w:val="0"/>
          <w:bCs/>
          <w:sz w:val="32"/>
          <w:szCs w:val="32"/>
          <w:highlight w:val="none"/>
          <w:lang w:eastAsia="zh-CN"/>
        </w:rPr>
        <w:t>）</w:t>
      </w:r>
      <w:r>
        <w:rPr>
          <w:rFonts w:hint="eastAsia" w:ascii="仿宋_GB2312" w:eastAsia="仿宋_GB2312"/>
          <w:sz w:val="32"/>
          <w:szCs w:val="32"/>
          <w:highlight w:val="none"/>
        </w:rPr>
        <w:t>行长和其他高级管理人员应当遵守法律、行政法规和本章程的规定，履行诚信和勤勉的义务，熟悉反洗钱和反恐怖融资法律法规，接受了必要的反洗钱和反恐怖融资培训，通过银行业监督管理机构组织的包含反洗钱和反恐怖融资内容的任职资格测试。</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本行高级管理人员依法在职权范围内的经营管理活动不受干预。超出董事会授权范围或违反法律法规、行政规章和本章程规定做出经营决策，致使本行遭受严重损失的，参与决策的高级管理人员应承担相应责任。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（五）部门及分支机构情况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本行内设机构有办公室、人力资源部、党风行风监督室、</w:t>
      </w:r>
      <w:r>
        <w:rPr>
          <w:rFonts w:hint="eastAsia" w:ascii="仿宋_GB2312" w:hAnsi="仿宋_GB2312" w:eastAsia="仿宋_GB2312" w:cs="仿宋_GB2312"/>
          <w:color w:val="auto"/>
          <w:sz w:val="32"/>
          <w:szCs w:val="32"/>
          <w:highlight w:val="none"/>
          <w:lang w:eastAsia="zh-CN"/>
        </w:rPr>
        <w:t>计划财务</w:t>
      </w:r>
      <w:r>
        <w:rPr>
          <w:rFonts w:hint="eastAsia" w:ascii="仿宋_GB2312" w:hAnsi="仿宋_GB2312" w:eastAsia="仿宋_GB2312" w:cs="仿宋_GB2312"/>
          <w:color w:val="auto"/>
          <w:sz w:val="32"/>
          <w:szCs w:val="32"/>
          <w:highlight w:val="none"/>
        </w:rPr>
        <w:t>部、运营管理部、审计部、风险合规部、业务拓展部、安全保卫部、</w:t>
      </w:r>
      <w:r>
        <w:rPr>
          <w:rFonts w:hint="eastAsia" w:ascii="仿宋_GB2312" w:hAnsi="仿宋_GB2312" w:eastAsia="仿宋_GB2312" w:cs="仿宋_GB2312"/>
          <w:color w:val="auto"/>
          <w:sz w:val="32"/>
          <w:szCs w:val="32"/>
          <w:highlight w:val="none"/>
          <w:lang w:eastAsia="zh-CN"/>
        </w:rPr>
        <w:t>党群工作部、</w:t>
      </w:r>
      <w:r>
        <w:rPr>
          <w:rFonts w:hint="eastAsia" w:ascii="仿宋_GB2312" w:hAnsi="仿宋_GB2312" w:eastAsia="仿宋_GB2312" w:cs="仿宋_GB2312"/>
          <w:color w:val="auto"/>
          <w:sz w:val="32"/>
          <w:szCs w:val="32"/>
          <w:highlight w:val="none"/>
          <w:lang w:val="en-US" w:eastAsia="zh-CN"/>
        </w:rPr>
        <w:t>信贷管理部</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个职能部室及</w:t>
      </w:r>
      <w:r>
        <w:rPr>
          <w:rFonts w:hint="eastAsia" w:ascii="仿宋_GB2312" w:hAnsi="仿宋_GB2312" w:eastAsia="仿宋_GB2312" w:cs="仿宋_GB2312"/>
          <w:color w:val="auto"/>
          <w:sz w:val="32"/>
          <w:szCs w:val="32"/>
          <w:highlight w:val="none"/>
          <w:lang w:eastAsia="zh-CN"/>
        </w:rPr>
        <w:t>资金事业</w:t>
      </w:r>
      <w:r>
        <w:rPr>
          <w:rFonts w:hint="eastAsia" w:ascii="仿宋_GB2312" w:hAnsi="仿宋_GB2312" w:eastAsia="仿宋_GB2312" w:cs="仿宋_GB2312"/>
          <w:color w:val="auto"/>
          <w:sz w:val="32"/>
          <w:szCs w:val="32"/>
          <w:highlight w:val="none"/>
        </w:rPr>
        <w:t>部、清收事业部、普惠金融事业部3个事业部，辖内</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个营业网点，其中总行营业部1个，支行</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（六）员工情况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年末，本行在岗员工</w:t>
      </w:r>
      <w:r>
        <w:rPr>
          <w:rFonts w:hint="eastAsia" w:ascii="仿宋_GB2312" w:hAnsi="仿宋_GB2312" w:eastAsia="仿宋_GB2312" w:cs="仿宋_GB2312"/>
          <w:color w:val="auto"/>
          <w:sz w:val="32"/>
          <w:szCs w:val="32"/>
          <w:highlight w:val="none"/>
          <w:lang w:val="en-US" w:eastAsia="zh-CN"/>
        </w:rPr>
        <w:t>210</w:t>
      </w:r>
      <w:r>
        <w:rPr>
          <w:rFonts w:hint="eastAsia" w:ascii="仿宋_GB2312" w:hAnsi="仿宋_GB2312" w:eastAsia="仿宋_GB2312" w:cs="仿宋_GB2312"/>
          <w:color w:val="auto"/>
          <w:sz w:val="32"/>
          <w:szCs w:val="32"/>
          <w:highlight w:val="none"/>
        </w:rPr>
        <w:t>人。</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楷体" w:hAnsi="楷体" w:eastAsia="楷体" w:cs="楷体"/>
          <w:b/>
          <w:bCs/>
          <w:color w:val="auto"/>
          <w:kern w:val="0"/>
          <w:sz w:val="32"/>
          <w:szCs w:val="32"/>
          <w:highlight w:val="none"/>
          <w:lang w:val="en-US" w:eastAsia="zh-CN" w:bidi="ar-SA"/>
        </w:rPr>
        <w:t xml:space="preserve"> （七）年度内股东大会情况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2023年度共召开1次股东大会。5月15日召开2022年度股东大会，审议通过了董事会、监事会工作报告、财务预决算方案和利润分配方案等议案和报告</w:t>
      </w:r>
      <w:r>
        <w:rPr>
          <w:rFonts w:hint="eastAsia" w:ascii="仿宋_GB2312" w:hAnsi="仿宋_GB2312" w:eastAsia="仿宋_GB2312" w:cs="仿宋_GB2312"/>
          <w:color w:val="auto"/>
          <w:sz w:val="32"/>
          <w:szCs w:val="32"/>
          <w:highlight w:val="none"/>
          <w:lang w:eastAsia="zh-CN"/>
        </w:rPr>
        <w:t>共</w:t>
      </w:r>
      <w:r>
        <w:rPr>
          <w:rFonts w:hint="eastAsia" w:ascii="仿宋_GB2312" w:hAnsi="仿宋_GB2312" w:eastAsia="仿宋_GB2312" w:cs="仿宋_GB2312"/>
          <w:color w:val="auto"/>
          <w:sz w:val="32"/>
          <w:szCs w:val="32"/>
          <w:highlight w:val="none"/>
          <w:lang w:val="en-US" w:eastAsia="zh-CN"/>
        </w:rPr>
        <w:t>27个个议案</w:t>
      </w:r>
      <w:r>
        <w:rPr>
          <w:rFonts w:hint="eastAsia" w:ascii="仿宋_GB2312" w:hAnsi="仿宋_GB2312" w:eastAsia="仿宋_GB2312" w:cs="仿宋_GB2312"/>
          <w:color w:val="auto"/>
          <w:sz w:val="32"/>
          <w:szCs w:val="32"/>
          <w:highlight w:val="none"/>
        </w:rPr>
        <w:t>，并对年度工作计划进行了研究部署。还聘请律师专门组织股东、董事、监事和高管人员进行培训。股东大会会上，各股东代表均以主人翁的姿态，纷纷建言献策，畅所欲言，增进了农商银行工作的透明度和公信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（八）股东提名董事、监事情况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2023年度股东未提名董事、监事人选。</w:t>
      </w:r>
    </w:p>
    <w:p>
      <w:pPr>
        <w:pStyle w:val="2"/>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五、重要事项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（一）股本变动及股东情况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1.股东权益变动表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单位：万元</w:t>
      </w:r>
    </w:p>
    <w:tbl>
      <w:tblPr>
        <w:tblStyle w:val="13"/>
        <w:tblW w:w="91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3"/>
        <w:gridCol w:w="2241"/>
        <w:gridCol w:w="2241"/>
        <w:gridCol w:w="2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项</w:t>
            </w:r>
            <w:r>
              <w:rPr>
                <w:rFonts w:hint="eastAsia" w:ascii="仿宋_GB2312" w:hAnsi="仿宋_GB2312" w:eastAsia="仿宋_GB2312" w:cs="仿宋_GB2312"/>
                <w:b/>
                <w:bCs/>
                <w:color w:val="auto"/>
                <w:kern w:val="0"/>
                <w:sz w:val="28"/>
                <w:szCs w:val="28"/>
                <w:highlight w:val="none"/>
                <w:lang w:val="en-US" w:eastAsia="zh-CN"/>
              </w:rPr>
              <w:t xml:space="preserve"> </w:t>
            </w:r>
            <w:r>
              <w:rPr>
                <w:rFonts w:hint="eastAsia" w:ascii="仿宋_GB2312" w:hAnsi="仿宋_GB2312" w:eastAsia="仿宋_GB2312" w:cs="仿宋_GB2312"/>
                <w:b/>
                <w:bCs/>
                <w:color w:val="auto"/>
                <w:kern w:val="0"/>
                <w:sz w:val="28"/>
                <w:szCs w:val="28"/>
                <w:highlight w:val="none"/>
              </w:rPr>
              <w:t>目</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202</w:t>
            </w:r>
            <w:r>
              <w:rPr>
                <w:rFonts w:hint="eastAsia" w:ascii="仿宋_GB2312" w:hAnsi="仿宋_GB2312" w:eastAsia="仿宋_GB2312" w:cs="仿宋_GB2312"/>
                <w:b/>
                <w:bCs/>
                <w:color w:val="auto"/>
                <w:kern w:val="0"/>
                <w:sz w:val="28"/>
                <w:szCs w:val="28"/>
                <w:highlight w:val="none"/>
                <w:lang w:val="en-US" w:eastAsia="zh-CN"/>
              </w:rPr>
              <w:t>3</w:t>
            </w:r>
            <w:r>
              <w:rPr>
                <w:rFonts w:hint="eastAsia" w:ascii="仿宋_GB2312" w:hAnsi="仿宋_GB2312" w:eastAsia="仿宋_GB2312" w:cs="仿宋_GB2312"/>
                <w:b/>
                <w:bCs/>
                <w:color w:val="auto"/>
                <w:kern w:val="0"/>
                <w:sz w:val="28"/>
                <w:szCs w:val="28"/>
                <w:highlight w:val="none"/>
              </w:rPr>
              <w:t>年末</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本期增加</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202</w:t>
            </w:r>
            <w:r>
              <w:rPr>
                <w:rFonts w:hint="eastAsia" w:ascii="仿宋_GB2312" w:hAnsi="仿宋_GB2312" w:eastAsia="仿宋_GB2312" w:cs="仿宋_GB2312"/>
                <w:b/>
                <w:bCs/>
                <w:color w:val="auto"/>
                <w:kern w:val="0"/>
                <w:sz w:val="28"/>
                <w:szCs w:val="28"/>
                <w:highlight w:val="none"/>
                <w:lang w:val="en-US" w:eastAsia="zh-CN"/>
              </w:rPr>
              <w:t>2</w:t>
            </w:r>
            <w:r>
              <w:rPr>
                <w:rFonts w:hint="eastAsia" w:ascii="仿宋_GB2312" w:hAnsi="仿宋_GB2312" w:eastAsia="仿宋_GB2312" w:cs="仿宋_GB2312"/>
                <w:b/>
                <w:bCs/>
                <w:color w:val="auto"/>
                <w:kern w:val="0"/>
                <w:sz w:val="28"/>
                <w:szCs w:val="28"/>
                <w:highlight w:val="none"/>
              </w:rPr>
              <w:t>年末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股</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本</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15169.35</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0.00</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 xml:space="preserve">15169.35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资本公积</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793.98</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0.00</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 xml:space="preserve">793.98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盈余公积</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14569.61</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1152.89</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 xml:space="preserve">13416.72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一般风险准备</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21266.35</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0.00</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 xml:space="preserve">21266.35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未分配利润</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39440.89</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8220.85</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 xml:space="preserve">31220.04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其他综合收益</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740.08</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273.27</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 xml:space="preserve">466.81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所有者权益合计</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91980.26</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9647.02</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 xml:space="preserve">82333.24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2.股东权益变动表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单位：万元 </w:t>
      </w:r>
    </w:p>
    <w:tbl>
      <w:tblPr>
        <w:tblStyle w:val="13"/>
        <w:tblW w:w="9099" w:type="dxa"/>
        <w:jc w:val="center"/>
        <w:tblInd w:w="0" w:type="dxa"/>
        <w:tblLayout w:type="fixed"/>
        <w:tblCellMar>
          <w:top w:w="0" w:type="dxa"/>
          <w:left w:w="108" w:type="dxa"/>
          <w:bottom w:w="0" w:type="dxa"/>
          <w:right w:w="108" w:type="dxa"/>
        </w:tblCellMar>
      </w:tblPr>
      <w:tblGrid>
        <w:gridCol w:w="2610"/>
        <w:gridCol w:w="3408"/>
        <w:gridCol w:w="3081"/>
      </w:tblGrid>
      <w:tr>
        <w:tblPrEx>
          <w:tblLayout w:type="fixed"/>
          <w:tblCellMar>
            <w:top w:w="0" w:type="dxa"/>
            <w:left w:w="108" w:type="dxa"/>
            <w:bottom w:w="0" w:type="dxa"/>
            <w:right w:w="108" w:type="dxa"/>
          </w:tblCellMar>
        </w:tblPrEx>
        <w:trPr>
          <w:trHeight w:val="645"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股东类型</w:t>
            </w:r>
          </w:p>
        </w:tc>
        <w:tc>
          <w:tcPr>
            <w:tcW w:w="34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val="en-US" w:eastAsia="zh-CN"/>
              </w:rPr>
              <w:t>2023</w:t>
            </w:r>
            <w:r>
              <w:rPr>
                <w:rFonts w:hint="eastAsia" w:ascii="仿宋_GB2312" w:hAnsi="仿宋_GB2312" w:eastAsia="仿宋_GB2312" w:cs="仿宋_GB2312"/>
                <w:b/>
                <w:bCs/>
                <w:color w:val="auto"/>
                <w:kern w:val="0"/>
                <w:sz w:val="28"/>
                <w:szCs w:val="28"/>
                <w:highlight w:val="none"/>
              </w:rPr>
              <w:t>年末股本数</w:t>
            </w:r>
          </w:p>
        </w:tc>
        <w:tc>
          <w:tcPr>
            <w:tcW w:w="30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占总股本比例（%）</w:t>
            </w:r>
          </w:p>
        </w:tc>
      </w:tr>
      <w:tr>
        <w:tblPrEx>
          <w:tblLayout w:type="fixed"/>
          <w:tblCellMar>
            <w:top w:w="0" w:type="dxa"/>
            <w:left w:w="108" w:type="dxa"/>
            <w:bottom w:w="0" w:type="dxa"/>
            <w:right w:w="108" w:type="dxa"/>
          </w:tblCellMar>
        </w:tblPrEx>
        <w:trPr>
          <w:trHeight w:val="645" w:hRule="atLeast"/>
          <w:jc w:val="center"/>
        </w:trPr>
        <w:tc>
          <w:tcPr>
            <w:tcW w:w="26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法人股</w:t>
            </w:r>
          </w:p>
        </w:tc>
        <w:tc>
          <w:tcPr>
            <w:tcW w:w="34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 xml:space="preserve">2140.45 </w:t>
            </w:r>
          </w:p>
        </w:tc>
        <w:tc>
          <w:tcPr>
            <w:tcW w:w="3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 xml:space="preserve">14.11 </w:t>
            </w:r>
          </w:p>
        </w:tc>
      </w:tr>
      <w:tr>
        <w:tblPrEx>
          <w:tblLayout w:type="fixed"/>
          <w:tblCellMar>
            <w:top w:w="0" w:type="dxa"/>
            <w:left w:w="108" w:type="dxa"/>
            <w:bottom w:w="0" w:type="dxa"/>
            <w:right w:w="108" w:type="dxa"/>
          </w:tblCellMar>
        </w:tblPrEx>
        <w:trPr>
          <w:trHeight w:val="645" w:hRule="atLeast"/>
          <w:jc w:val="center"/>
        </w:trPr>
        <w:tc>
          <w:tcPr>
            <w:tcW w:w="26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非职工自然人股</w:t>
            </w:r>
          </w:p>
        </w:tc>
        <w:tc>
          <w:tcPr>
            <w:tcW w:w="34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10</w:t>
            </w:r>
            <w:r>
              <w:rPr>
                <w:rFonts w:hint="eastAsia" w:ascii="仿宋_GB2312" w:hAnsi="仿宋_GB2312" w:eastAsia="仿宋_GB2312" w:cs="仿宋_GB2312"/>
                <w:color w:val="auto"/>
                <w:kern w:val="0"/>
                <w:sz w:val="28"/>
                <w:szCs w:val="28"/>
                <w:highlight w:val="none"/>
                <w:lang w:val="en-US" w:eastAsia="zh-CN"/>
              </w:rPr>
              <w:t>465.81</w:t>
            </w:r>
          </w:p>
        </w:tc>
        <w:tc>
          <w:tcPr>
            <w:tcW w:w="3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68.99</w:t>
            </w:r>
          </w:p>
        </w:tc>
      </w:tr>
      <w:tr>
        <w:tblPrEx>
          <w:tblLayout w:type="fixed"/>
          <w:tblCellMar>
            <w:top w:w="0" w:type="dxa"/>
            <w:left w:w="108" w:type="dxa"/>
            <w:bottom w:w="0" w:type="dxa"/>
            <w:right w:w="108" w:type="dxa"/>
          </w:tblCellMar>
        </w:tblPrEx>
        <w:trPr>
          <w:trHeight w:val="667" w:hRule="atLeast"/>
          <w:jc w:val="center"/>
        </w:trPr>
        <w:tc>
          <w:tcPr>
            <w:tcW w:w="26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职工自然人股</w:t>
            </w:r>
          </w:p>
        </w:tc>
        <w:tc>
          <w:tcPr>
            <w:tcW w:w="34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2563.09</w:t>
            </w:r>
          </w:p>
        </w:tc>
        <w:tc>
          <w:tcPr>
            <w:tcW w:w="3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16.90</w:t>
            </w:r>
            <w:r>
              <w:rPr>
                <w:rFonts w:hint="default" w:ascii="仿宋_GB2312" w:hAnsi="仿宋_GB2312" w:eastAsia="仿宋_GB2312" w:cs="仿宋_GB2312"/>
                <w:color w:val="auto"/>
                <w:kern w:val="0"/>
                <w:sz w:val="28"/>
                <w:szCs w:val="28"/>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3.最大十名股东名称及报告期内变动情况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单位：万股</w:t>
      </w:r>
    </w:p>
    <w:tbl>
      <w:tblPr>
        <w:tblStyle w:val="13"/>
        <w:tblW w:w="9117" w:type="dxa"/>
        <w:jc w:val="center"/>
        <w:tblInd w:w="0" w:type="dxa"/>
        <w:tblLayout w:type="fixed"/>
        <w:tblCellMar>
          <w:top w:w="0" w:type="dxa"/>
          <w:left w:w="108" w:type="dxa"/>
          <w:bottom w:w="0" w:type="dxa"/>
          <w:right w:w="108" w:type="dxa"/>
        </w:tblCellMar>
      </w:tblPr>
      <w:tblGrid>
        <w:gridCol w:w="2861"/>
        <w:gridCol w:w="1590"/>
        <w:gridCol w:w="1529"/>
        <w:gridCol w:w="1590"/>
        <w:gridCol w:w="1547"/>
      </w:tblGrid>
      <w:tr>
        <w:tblPrEx>
          <w:tblLayout w:type="fixed"/>
          <w:tblCellMar>
            <w:top w:w="0" w:type="dxa"/>
            <w:left w:w="108" w:type="dxa"/>
            <w:bottom w:w="0" w:type="dxa"/>
            <w:right w:w="108" w:type="dxa"/>
          </w:tblCellMar>
        </w:tblPrEx>
        <w:trPr>
          <w:trHeight w:val="454" w:hRule="atLeast"/>
          <w:jc w:val="center"/>
        </w:trPr>
        <w:tc>
          <w:tcPr>
            <w:tcW w:w="2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股东名称</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期初持股数额</w:t>
            </w:r>
          </w:p>
        </w:tc>
        <w:tc>
          <w:tcPr>
            <w:tcW w:w="15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本期增减变动</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期末持股数额</w:t>
            </w: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持股比例（%）</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江西于都农村商业银行股份有限公司</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1513.81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1513.81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9.98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江西兴国农村商业银行股份有限公司</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380.92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380.92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2.51 </w:t>
            </w:r>
          </w:p>
        </w:tc>
      </w:tr>
      <w:tr>
        <w:tblPrEx>
          <w:tblLayout w:type="fixed"/>
          <w:tblCellMar>
            <w:top w:w="0" w:type="dxa"/>
            <w:left w:w="108" w:type="dxa"/>
            <w:bottom w:w="0" w:type="dxa"/>
            <w:right w:w="108" w:type="dxa"/>
          </w:tblCellMar>
        </w:tblPrEx>
        <w:trPr>
          <w:trHeight w:val="454" w:hRule="atLeast"/>
          <w:jc w:val="center"/>
        </w:trPr>
        <w:tc>
          <w:tcPr>
            <w:tcW w:w="2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寻乌县房地产开发有限公司</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182.16 </w:t>
            </w:r>
          </w:p>
        </w:tc>
        <w:tc>
          <w:tcPr>
            <w:tcW w:w="15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182.16 </w:t>
            </w: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1.20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谢慧琳</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165.60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165.60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1.09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严稽林</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127.18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127.18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0.84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黄新</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126.60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126.60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0.83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钟开祥</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123.66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123.66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0.82 </w:t>
            </w:r>
          </w:p>
        </w:tc>
      </w:tr>
      <w:tr>
        <w:tblPrEx>
          <w:tblLayout w:type="fixed"/>
          <w:tblCellMar>
            <w:top w:w="0" w:type="dxa"/>
            <w:left w:w="108" w:type="dxa"/>
            <w:bottom w:w="0" w:type="dxa"/>
            <w:right w:w="108" w:type="dxa"/>
          </w:tblCellMar>
        </w:tblPrEx>
        <w:trPr>
          <w:trHeight w:val="454" w:hRule="atLeast"/>
          <w:jc w:val="center"/>
        </w:trPr>
        <w:tc>
          <w:tcPr>
            <w:tcW w:w="2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刘文洋</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105.81 </w:t>
            </w:r>
          </w:p>
        </w:tc>
        <w:tc>
          <w:tcPr>
            <w:tcW w:w="15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105.81 </w:t>
            </w: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0.70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李文艳</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104.35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104.35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0.69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刘宏英</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104.24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104.24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0.69 </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4.报告期末主要股东及其控股股东、实际控制人、关联方、一致行动人、最终受益人情况</w:t>
      </w:r>
    </w:p>
    <w:tbl>
      <w:tblPr>
        <w:tblStyle w:val="13"/>
        <w:tblW w:w="9058" w:type="dxa"/>
        <w:jc w:val="center"/>
        <w:tblInd w:w="0" w:type="dxa"/>
        <w:tblLayout w:type="fixed"/>
        <w:tblCellMar>
          <w:top w:w="0" w:type="dxa"/>
          <w:left w:w="108" w:type="dxa"/>
          <w:bottom w:w="0" w:type="dxa"/>
          <w:right w:w="108" w:type="dxa"/>
        </w:tblCellMar>
      </w:tblPr>
      <w:tblGrid>
        <w:gridCol w:w="3759"/>
        <w:gridCol w:w="1753"/>
        <w:gridCol w:w="3546"/>
      </w:tblGrid>
      <w:tr>
        <w:tblPrEx>
          <w:tblLayout w:type="fixed"/>
          <w:tblCellMar>
            <w:top w:w="0" w:type="dxa"/>
            <w:left w:w="108" w:type="dxa"/>
            <w:bottom w:w="0" w:type="dxa"/>
            <w:right w:w="108" w:type="dxa"/>
          </w:tblCellMar>
        </w:tblPrEx>
        <w:trPr>
          <w:trHeight w:val="657" w:hRule="atLeast"/>
          <w:jc w:val="center"/>
        </w:trPr>
        <w:tc>
          <w:tcPr>
            <w:tcW w:w="3759" w:type="dxa"/>
            <w:tcBorders>
              <w:top w:val="nil"/>
              <w:left w:val="nil"/>
              <w:bottom w:val="nil"/>
              <w:right w:val="nil"/>
            </w:tcBorders>
            <w:vAlign w:val="center"/>
          </w:tcPr>
          <w:p>
            <w:pPr>
              <w:keepNext w:val="0"/>
              <w:keepLines w:val="0"/>
              <w:pageBreakBefore w:val="0"/>
              <w:widowControl/>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p>
        </w:tc>
        <w:tc>
          <w:tcPr>
            <w:tcW w:w="1753" w:type="dxa"/>
            <w:tcBorders>
              <w:top w:val="nil"/>
              <w:left w:val="nil"/>
              <w:bottom w:val="nil"/>
              <w:right w:val="nil"/>
            </w:tcBorders>
            <w:vAlign w:val="center"/>
          </w:tcPr>
          <w:p>
            <w:pPr>
              <w:keepNext w:val="0"/>
              <w:keepLines w:val="0"/>
              <w:pageBreakBefore w:val="0"/>
              <w:widowControl/>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p>
        </w:tc>
        <w:tc>
          <w:tcPr>
            <w:tcW w:w="3546" w:type="dxa"/>
            <w:tcBorders>
              <w:top w:val="nil"/>
              <w:left w:val="nil"/>
              <w:bottom w:val="nil"/>
              <w:right w:val="nil"/>
            </w:tcBorders>
            <w:vAlign w:val="center"/>
          </w:tcPr>
          <w:p>
            <w:pPr>
              <w:keepNext w:val="0"/>
              <w:keepLines w:val="0"/>
              <w:pageBreakBefore w:val="0"/>
              <w:widowControl/>
              <w:kinsoku/>
              <w:overflowPunct/>
              <w:topLinePunct w:val="0"/>
              <w:bidi w:val="0"/>
              <w:spacing w:line="560" w:lineRule="exact"/>
              <w:ind w:left="0" w:leftChars="0" w:right="0" w:firstLine="640" w:firstLineChars="200"/>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单位：万股</w:t>
            </w:r>
          </w:p>
        </w:tc>
      </w:tr>
      <w:tr>
        <w:tblPrEx>
          <w:tblLayout w:type="fixed"/>
          <w:tblCellMar>
            <w:top w:w="0" w:type="dxa"/>
            <w:left w:w="108" w:type="dxa"/>
            <w:bottom w:w="0" w:type="dxa"/>
            <w:right w:w="108" w:type="dxa"/>
          </w:tblCellMar>
        </w:tblPrEx>
        <w:trPr>
          <w:trHeight w:val="1163"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主要股东</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持股份额</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实际控制人</w:t>
            </w:r>
          </w:p>
        </w:tc>
      </w:tr>
      <w:tr>
        <w:tblPrEx>
          <w:tblLayout w:type="fixed"/>
          <w:tblCellMar>
            <w:top w:w="0" w:type="dxa"/>
            <w:left w:w="108" w:type="dxa"/>
            <w:bottom w:w="0" w:type="dxa"/>
            <w:right w:w="108" w:type="dxa"/>
          </w:tblCellMar>
        </w:tblPrEx>
        <w:trPr>
          <w:trHeight w:val="1195" w:hRule="atLeast"/>
          <w:jc w:val="center"/>
        </w:trPr>
        <w:tc>
          <w:tcPr>
            <w:tcW w:w="37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江西于都农村商业银行股份有限公司</w:t>
            </w:r>
          </w:p>
        </w:tc>
        <w:tc>
          <w:tcPr>
            <w:tcW w:w="1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1513.81</w:t>
            </w:r>
          </w:p>
        </w:tc>
        <w:tc>
          <w:tcPr>
            <w:tcW w:w="35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江西于都农村商业银行股份有限公司</w:t>
            </w:r>
          </w:p>
        </w:tc>
      </w:tr>
      <w:tr>
        <w:tblPrEx>
          <w:tblLayout w:type="fixed"/>
          <w:tblCellMar>
            <w:top w:w="0" w:type="dxa"/>
            <w:left w:w="108" w:type="dxa"/>
            <w:bottom w:w="0" w:type="dxa"/>
            <w:right w:w="108" w:type="dxa"/>
          </w:tblCellMar>
        </w:tblPrEx>
        <w:trPr>
          <w:trHeight w:val="1195"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江西兴国农村商业银行股份有限公司</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380.92</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江西兴国农村商业银行股份有限公司</w:t>
            </w:r>
          </w:p>
        </w:tc>
      </w:tr>
      <w:tr>
        <w:tblPrEx>
          <w:tblLayout w:type="fixed"/>
          <w:tblCellMar>
            <w:top w:w="0" w:type="dxa"/>
            <w:left w:w="108" w:type="dxa"/>
            <w:bottom w:w="0" w:type="dxa"/>
            <w:right w:w="108" w:type="dxa"/>
          </w:tblCellMar>
        </w:tblPrEx>
        <w:trPr>
          <w:trHeight w:val="608"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曾海金</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1.00</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曾海金</w:t>
            </w:r>
          </w:p>
        </w:tc>
      </w:tr>
      <w:tr>
        <w:tblPrEx>
          <w:tblLayout w:type="fixed"/>
          <w:tblCellMar>
            <w:top w:w="0" w:type="dxa"/>
            <w:left w:w="108" w:type="dxa"/>
            <w:bottom w:w="0" w:type="dxa"/>
            <w:right w:w="108" w:type="dxa"/>
          </w:tblCellMar>
        </w:tblPrEx>
        <w:trPr>
          <w:trHeight w:val="608"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潘其森</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1.66</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潘其森</w:t>
            </w:r>
          </w:p>
        </w:tc>
      </w:tr>
      <w:tr>
        <w:tblPrEx>
          <w:tblLayout w:type="fixed"/>
          <w:tblCellMar>
            <w:top w:w="0" w:type="dxa"/>
            <w:left w:w="108" w:type="dxa"/>
            <w:bottom w:w="0" w:type="dxa"/>
            <w:right w:w="108" w:type="dxa"/>
          </w:tblCellMar>
        </w:tblPrEx>
        <w:trPr>
          <w:trHeight w:val="608"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严艳娟</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50.55</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严艳娟</w:t>
            </w:r>
          </w:p>
        </w:tc>
      </w:tr>
      <w:tr>
        <w:tblPrEx>
          <w:tblLayout w:type="fixed"/>
          <w:tblCellMar>
            <w:top w:w="0" w:type="dxa"/>
            <w:left w:w="108" w:type="dxa"/>
            <w:bottom w:w="0" w:type="dxa"/>
            <w:right w:w="108" w:type="dxa"/>
          </w:tblCellMar>
        </w:tblPrEx>
        <w:trPr>
          <w:trHeight w:val="608"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赖建平</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15.04</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赖建平</w:t>
            </w:r>
          </w:p>
        </w:tc>
      </w:tr>
      <w:tr>
        <w:tblPrEx>
          <w:tblLayout w:type="fixed"/>
          <w:tblCellMar>
            <w:top w:w="0" w:type="dxa"/>
            <w:left w:w="108" w:type="dxa"/>
            <w:bottom w:w="0" w:type="dxa"/>
            <w:right w:w="108" w:type="dxa"/>
          </w:tblCellMar>
        </w:tblPrEx>
        <w:trPr>
          <w:trHeight w:val="630"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周小薇</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13.23</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周小薇</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5.报告期内与主要股东及其控股股东、实际控制人、关联方、一致行动人、最终受益人关联交易情况</w:t>
      </w:r>
    </w:p>
    <w:p>
      <w:pPr>
        <w:pStyle w:val="4"/>
        <w:ind w:left="0" w:leftChars="0" w:firstLine="0" w:firstLineChars="0"/>
        <w:jc w:val="right"/>
        <w:rPr>
          <w:rFonts w:hint="eastAsia"/>
          <w:highlight w:val="none"/>
          <w:lang w:eastAsia="zh-CN"/>
        </w:rPr>
      </w:pPr>
      <w:r>
        <w:rPr>
          <w:rFonts w:hint="eastAsia" w:ascii="仿宋_GB2312" w:hAnsi="仿宋_GB2312" w:eastAsia="仿宋_GB2312" w:cs="仿宋_GB2312"/>
          <w:color w:val="auto"/>
          <w:kern w:val="0"/>
          <w:sz w:val="32"/>
          <w:szCs w:val="32"/>
          <w:highlight w:val="none"/>
        </w:rPr>
        <w:t>单位：万元</w:t>
      </w:r>
    </w:p>
    <w:tbl>
      <w:tblPr>
        <w:tblStyle w:val="13"/>
        <w:tblW w:w="9119" w:type="dxa"/>
        <w:jc w:val="center"/>
        <w:tblInd w:w="0" w:type="dxa"/>
        <w:tblLayout w:type="fixed"/>
        <w:tblCellMar>
          <w:top w:w="0" w:type="dxa"/>
          <w:left w:w="108" w:type="dxa"/>
          <w:bottom w:w="0" w:type="dxa"/>
          <w:right w:w="108" w:type="dxa"/>
        </w:tblCellMar>
      </w:tblPr>
      <w:tblGrid>
        <w:gridCol w:w="3190"/>
        <w:gridCol w:w="3907"/>
        <w:gridCol w:w="2022"/>
      </w:tblGrid>
      <w:tr>
        <w:tblPrEx>
          <w:tblLayout w:type="fixed"/>
          <w:tblCellMar>
            <w:top w:w="0" w:type="dxa"/>
            <w:left w:w="108" w:type="dxa"/>
            <w:bottom w:w="0" w:type="dxa"/>
            <w:right w:w="108" w:type="dxa"/>
          </w:tblCellMar>
        </w:tblPrEx>
        <w:trPr>
          <w:trHeight w:val="1556"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主要股东</w:t>
            </w:r>
          </w:p>
        </w:tc>
        <w:tc>
          <w:tcPr>
            <w:tcW w:w="3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对该主要股东所在集团内单个主体的最高授信余额</w:t>
            </w:r>
          </w:p>
        </w:tc>
        <w:tc>
          <w:tcPr>
            <w:tcW w:w="20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对该集团合计授信余额</w:t>
            </w:r>
          </w:p>
        </w:tc>
      </w:tr>
      <w:tr>
        <w:tblPrEx>
          <w:tblLayout w:type="fixed"/>
          <w:tblCellMar>
            <w:top w:w="0" w:type="dxa"/>
            <w:left w:w="108" w:type="dxa"/>
            <w:bottom w:w="0" w:type="dxa"/>
            <w:right w:w="108" w:type="dxa"/>
          </w:tblCellMar>
        </w:tblPrEx>
        <w:trPr>
          <w:trHeight w:val="1242" w:hRule="atLeast"/>
          <w:jc w:val="center"/>
        </w:trPr>
        <w:tc>
          <w:tcPr>
            <w:tcW w:w="31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江西于都农村商业银行股份有限公司</w:t>
            </w:r>
          </w:p>
        </w:tc>
        <w:tc>
          <w:tcPr>
            <w:tcW w:w="39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20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108" w:type="dxa"/>
            <w:bottom w:w="0" w:type="dxa"/>
            <w:right w:w="108" w:type="dxa"/>
          </w:tblCellMar>
        </w:tblPrEx>
        <w:trPr>
          <w:trHeight w:val="1242"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江西兴国农村商业银行股份有限公司</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108" w:type="dxa"/>
            <w:bottom w:w="0" w:type="dxa"/>
            <w:right w:w="108" w:type="dxa"/>
          </w:tblCellMar>
        </w:tblPrEx>
        <w:trPr>
          <w:trHeight w:val="627"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曾海金</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108" w:type="dxa"/>
            <w:bottom w:w="0" w:type="dxa"/>
            <w:right w:w="108" w:type="dxa"/>
          </w:tblCellMar>
        </w:tblPrEx>
        <w:trPr>
          <w:trHeight w:val="627"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潘其森</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124</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204</w:t>
            </w:r>
          </w:p>
        </w:tc>
      </w:tr>
      <w:tr>
        <w:tblPrEx>
          <w:tblLayout w:type="fixed"/>
          <w:tblCellMar>
            <w:top w:w="0" w:type="dxa"/>
            <w:left w:w="108" w:type="dxa"/>
            <w:bottom w:w="0" w:type="dxa"/>
            <w:right w:w="108" w:type="dxa"/>
          </w:tblCellMar>
        </w:tblPrEx>
        <w:trPr>
          <w:trHeight w:val="627"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严艳娟</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196</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198.66</w:t>
            </w:r>
          </w:p>
        </w:tc>
      </w:tr>
      <w:tr>
        <w:tblPrEx>
          <w:tblLayout w:type="fixed"/>
          <w:tblCellMar>
            <w:top w:w="0" w:type="dxa"/>
            <w:left w:w="108" w:type="dxa"/>
            <w:bottom w:w="0" w:type="dxa"/>
            <w:right w:w="108" w:type="dxa"/>
          </w:tblCellMar>
        </w:tblPrEx>
        <w:trPr>
          <w:trHeight w:val="627"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赖建平</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53</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54</w:t>
            </w:r>
          </w:p>
        </w:tc>
      </w:tr>
      <w:tr>
        <w:tblPrEx>
          <w:tblLayout w:type="fixed"/>
          <w:tblCellMar>
            <w:top w:w="0" w:type="dxa"/>
            <w:left w:w="108" w:type="dxa"/>
            <w:bottom w:w="0" w:type="dxa"/>
            <w:right w:w="108" w:type="dxa"/>
          </w:tblCellMar>
        </w:tblPrEx>
        <w:trPr>
          <w:trHeight w:val="627"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周小薇</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55</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55</w:t>
            </w:r>
          </w:p>
        </w:tc>
      </w:tr>
      <w:tr>
        <w:tblPrEx>
          <w:tblLayout w:type="fixed"/>
          <w:tblCellMar>
            <w:top w:w="0" w:type="dxa"/>
            <w:left w:w="108" w:type="dxa"/>
            <w:bottom w:w="0" w:type="dxa"/>
            <w:right w:w="108" w:type="dxa"/>
          </w:tblCellMar>
        </w:tblPrEx>
        <w:trPr>
          <w:trHeight w:val="639"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林艳阳</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43</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48</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6.股权出质情况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（1）股权出质基本情况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zh-CN" w:eastAsia="zh-CN"/>
        </w:rPr>
        <w:t>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zh-CN" w:eastAsia="zh-CN"/>
        </w:rPr>
        <w:t>年末股东总数</w:t>
      </w:r>
      <w:r>
        <w:rPr>
          <w:rFonts w:hint="eastAsia" w:ascii="仿宋_GB2312" w:hAnsi="仿宋_GB2312" w:eastAsia="仿宋_GB2312" w:cs="仿宋_GB2312"/>
          <w:b w:val="0"/>
          <w:bCs w:val="0"/>
          <w:color w:val="auto"/>
          <w:sz w:val="32"/>
          <w:szCs w:val="32"/>
          <w:highlight w:val="none"/>
          <w:lang w:val="en-US" w:eastAsia="zh-CN"/>
        </w:rPr>
        <w:t>991个，报告期出质股东户数15户，占本行股东总户数的1.51%，已出质股金金额771.09万元，占本行股本总额的5.08%；其中以股权质押反担保方式出质户数为0户、金额0万元，在其他农商银行出质15户、金额771.09万元，无在其他银行出质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（2）主要股东出质股权情况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单位：万元、%</w:t>
      </w:r>
    </w:p>
    <w:tbl>
      <w:tblPr>
        <w:tblStyle w:val="13"/>
        <w:tblW w:w="9117" w:type="dxa"/>
        <w:jc w:val="center"/>
        <w:tblInd w:w="0" w:type="dxa"/>
        <w:tblLayout w:type="fixed"/>
        <w:tblCellMar>
          <w:top w:w="0" w:type="dxa"/>
          <w:left w:w="0" w:type="dxa"/>
          <w:bottom w:w="0" w:type="dxa"/>
          <w:right w:w="0" w:type="dxa"/>
        </w:tblCellMar>
      </w:tblPr>
      <w:tblGrid>
        <w:gridCol w:w="4088"/>
        <w:gridCol w:w="1398"/>
        <w:gridCol w:w="1338"/>
        <w:gridCol w:w="2293"/>
      </w:tblGrid>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主要股东</w:t>
            </w:r>
          </w:p>
        </w:tc>
        <w:tc>
          <w:tcPr>
            <w:tcW w:w="13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持股份额</w:t>
            </w:r>
          </w:p>
        </w:tc>
        <w:tc>
          <w:tcPr>
            <w:tcW w:w="13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出质份额</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出质份额占持股份额比例</w:t>
            </w:r>
          </w:p>
        </w:tc>
      </w:tr>
      <w:tr>
        <w:tblPrEx>
          <w:tblLayout w:type="fixed"/>
          <w:tblCellMar>
            <w:top w:w="0" w:type="dxa"/>
            <w:left w:w="0" w:type="dxa"/>
            <w:bottom w:w="0" w:type="dxa"/>
            <w:right w:w="0" w:type="dxa"/>
          </w:tblCellMar>
        </w:tblPrEx>
        <w:trPr>
          <w:trHeight w:val="23" w:hRule="atLeast"/>
          <w:jc w:val="center"/>
        </w:trPr>
        <w:tc>
          <w:tcPr>
            <w:tcW w:w="408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江西于都农村商业银行股份有限公司</w:t>
            </w:r>
          </w:p>
        </w:tc>
        <w:tc>
          <w:tcPr>
            <w:tcW w:w="1398"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1513.81</w:t>
            </w:r>
          </w:p>
        </w:tc>
        <w:tc>
          <w:tcPr>
            <w:tcW w:w="1338"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江西兴国农村商业银行股份有限公司</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380.92 </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曾海金</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1.00</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潘其森</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1.66</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严艳娟</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50.55</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赖建平</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15.04</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周小薇</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13.23</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林艳阳</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2.10</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bl>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（3）其他情况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2022年度股东大会，对已出质股权的股东表决权</w:t>
      </w:r>
      <w:r>
        <w:rPr>
          <w:rFonts w:hint="eastAsia" w:ascii="仿宋_GB2312" w:hAnsi="仿宋_GB2312" w:eastAsia="仿宋_GB2312" w:cs="仿宋_GB2312"/>
          <w:color w:val="auto"/>
          <w:sz w:val="32"/>
          <w:szCs w:val="32"/>
          <w:highlight w:val="none"/>
        </w:rPr>
        <w:t>进行了限制</w:t>
      </w:r>
      <w:r>
        <w:rPr>
          <w:rFonts w:hint="eastAsia" w:ascii="仿宋_GB2312" w:hAnsi="仿宋_GB2312" w:eastAsia="仿宋_GB2312" w:cs="仿宋_GB2312"/>
          <w:color w:val="auto"/>
          <w:kern w:val="0"/>
          <w:sz w:val="32"/>
          <w:szCs w:val="32"/>
          <w:highlight w:val="none"/>
        </w:rPr>
        <w:t>；无涉及质押股权被拍卖股东。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val="0"/>
          <w:kern w:val="0"/>
          <w:sz w:val="32"/>
          <w:szCs w:val="32"/>
          <w:highlight w:val="none"/>
        </w:rPr>
      </w:pPr>
      <w:r>
        <w:rPr>
          <w:rFonts w:hint="eastAsia" w:ascii="楷体_GB2312" w:hAnsi="楷体_GB2312" w:eastAsia="楷体_GB2312" w:cs="楷体_GB2312"/>
          <w:b/>
          <w:bCs w:val="0"/>
          <w:kern w:val="0"/>
          <w:sz w:val="32"/>
          <w:szCs w:val="32"/>
          <w:highlight w:val="none"/>
          <w:lang w:eastAsia="zh-CN"/>
        </w:rPr>
        <w:t>（二）</w:t>
      </w:r>
      <w:r>
        <w:rPr>
          <w:rFonts w:hint="eastAsia" w:ascii="楷体_GB2312" w:hAnsi="楷体_GB2312" w:eastAsia="楷体_GB2312" w:cs="楷体_GB2312"/>
          <w:b/>
          <w:bCs w:val="0"/>
          <w:kern w:val="0"/>
          <w:sz w:val="32"/>
          <w:szCs w:val="32"/>
          <w:highlight w:val="none"/>
        </w:rPr>
        <w:t>资本充足</w:t>
      </w:r>
      <w:r>
        <w:rPr>
          <w:rFonts w:hint="eastAsia" w:ascii="楷体_GB2312" w:hAnsi="楷体_GB2312" w:eastAsia="楷体_GB2312" w:cs="楷体_GB2312"/>
          <w:b/>
          <w:bCs w:val="0"/>
          <w:kern w:val="0"/>
          <w:sz w:val="32"/>
          <w:szCs w:val="32"/>
          <w:highlight w:val="none"/>
          <w:lang w:eastAsia="zh-CN"/>
        </w:rPr>
        <w:t>率相关</w:t>
      </w:r>
      <w:r>
        <w:rPr>
          <w:rFonts w:hint="eastAsia" w:ascii="楷体_GB2312" w:hAnsi="楷体_GB2312" w:eastAsia="楷体_GB2312" w:cs="楷体_GB2312"/>
          <w:b/>
          <w:bCs w:val="0"/>
          <w:kern w:val="0"/>
          <w:sz w:val="32"/>
          <w:szCs w:val="32"/>
          <w:highlight w:val="none"/>
        </w:rPr>
        <w:t>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val="0"/>
          <w:kern w:val="0"/>
          <w:sz w:val="32"/>
          <w:szCs w:val="32"/>
          <w:highlight w:val="none"/>
          <w:lang w:val="en-US" w:eastAsia="zh-CN"/>
        </w:rPr>
        <w:t>1.</w:t>
      </w:r>
      <w:r>
        <w:rPr>
          <w:rFonts w:hint="eastAsia" w:ascii="楷体_GB2312" w:hAnsi="楷体_GB2312" w:eastAsia="楷体_GB2312" w:cs="楷体_GB2312"/>
          <w:b/>
          <w:bCs w:val="0"/>
          <w:kern w:val="0"/>
          <w:sz w:val="32"/>
          <w:szCs w:val="32"/>
          <w:highlight w:val="none"/>
        </w:rPr>
        <w:t>季度资本</w:t>
      </w:r>
      <w:r>
        <w:rPr>
          <w:rFonts w:hint="eastAsia" w:ascii="楷体_GB2312" w:hAnsi="楷体_GB2312" w:eastAsia="楷体_GB2312" w:cs="楷体_GB2312"/>
          <w:b/>
          <w:bCs w:val="0"/>
          <w:kern w:val="0"/>
          <w:sz w:val="32"/>
          <w:szCs w:val="32"/>
          <w:highlight w:val="none"/>
          <w:lang w:eastAsia="zh-CN"/>
        </w:rPr>
        <w:t>充足率</w:t>
      </w:r>
      <w:r>
        <w:rPr>
          <w:rFonts w:hint="eastAsia" w:ascii="楷体_GB2312" w:hAnsi="楷体_GB2312" w:eastAsia="楷体_GB2312" w:cs="楷体_GB2312"/>
          <w:b/>
          <w:bCs w:val="0"/>
          <w:kern w:val="0"/>
          <w:sz w:val="32"/>
          <w:szCs w:val="32"/>
          <w:highlight w:val="none"/>
        </w:rPr>
        <w:t>：</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年一季度：1</w:t>
      </w:r>
      <w:r>
        <w:rPr>
          <w:rFonts w:hint="eastAsia" w:ascii="仿宋_GB2312" w:hAnsi="仿宋_GB2312" w:eastAsia="仿宋_GB2312" w:cs="仿宋_GB2312"/>
          <w:color w:val="auto"/>
          <w:kern w:val="0"/>
          <w:sz w:val="32"/>
          <w:szCs w:val="32"/>
          <w:highlight w:val="none"/>
          <w:lang w:val="en-US" w:eastAsia="zh-CN"/>
        </w:rPr>
        <w:t>4.79</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年二季度：</w:t>
      </w:r>
      <w:r>
        <w:rPr>
          <w:rFonts w:hint="eastAsia" w:ascii="仿宋_GB2312" w:hAnsi="仿宋_GB2312" w:eastAsia="仿宋_GB2312" w:cs="仿宋_GB2312"/>
          <w:color w:val="auto"/>
          <w:kern w:val="0"/>
          <w:sz w:val="32"/>
          <w:szCs w:val="32"/>
          <w:highlight w:val="none"/>
          <w:lang w:val="en-US" w:eastAsia="zh-CN"/>
        </w:rPr>
        <w:t>14.86</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年三季度：</w:t>
      </w:r>
      <w:r>
        <w:rPr>
          <w:rFonts w:hint="eastAsia" w:ascii="仿宋_GB2312" w:hAnsi="仿宋_GB2312" w:eastAsia="仿宋_GB2312" w:cs="仿宋_GB2312"/>
          <w:color w:val="auto"/>
          <w:kern w:val="0"/>
          <w:sz w:val="32"/>
          <w:szCs w:val="32"/>
          <w:highlight w:val="none"/>
          <w:lang w:val="en-US" w:eastAsia="zh-CN"/>
        </w:rPr>
        <w:t>15.24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年四季度：</w:t>
      </w:r>
      <w:r>
        <w:rPr>
          <w:rFonts w:hint="eastAsia" w:ascii="仿宋_GB2312" w:hAnsi="仿宋_GB2312" w:eastAsia="仿宋_GB2312" w:cs="仿宋_GB2312"/>
          <w:color w:val="auto"/>
          <w:kern w:val="0"/>
          <w:sz w:val="32"/>
          <w:szCs w:val="32"/>
          <w:highlight w:val="none"/>
          <w:lang w:val="en-US" w:eastAsia="zh-CN"/>
        </w:rPr>
        <w:t>15.05</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val="0"/>
          <w:kern w:val="0"/>
          <w:sz w:val="32"/>
          <w:szCs w:val="32"/>
          <w:highlight w:val="none"/>
        </w:rPr>
      </w:pPr>
      <w:r>
        <w:rPr>
          <w:rFonts w:hint="eastAsia" w:ascii="楷体_GB2312" w:hAnsi="楷体_GB2312" w:eastAsia="楷体_GB2312" w:cs="楷体_GB2312"/>
          <w:b/>
          <w:bCs w:val="0"/>
          <w:kern w:val="0"/>
          <w:sz w:val="32"/>
          <w:szCs w:val="32"/>
          <w:highlight w:val="none"/>
          <w:lang w:val="en-US" w:eastAsia="zh-CN"/>
        </w:rPr>
        <w:t>2.</w:t>
      </w:r>
      <w:r>
        <w:rPr>
          <w:rFonts w:hint="eastAsia" w:ascii="楷体_GB2312" w:hAnsi="楷体_GB2312" w:eastAsia="楷体_GB2312" w:cs="楷体_GB2312"/>
          <w:b/>
          <w:bCs w:val="0"/>
          <w:kern w:val="0"/>
          <w:sz w:val="32"/>
          <w:szCs w:val="32"/>
          <w:highlight w:val="none"/>
        </w:rPr>
        <w:t>资本充足率的信息披露</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
          <w:bCs w:val="0"/>
          <w:kern w:val="0"/>
          <w:sz w:val="32"/>
          <w:szCs w:val="32"/>
          <w:highlight w:val="none"/>
          <w:lang w:val="en-US" w:eastAsia="zh-CN"/>
        </w:rPr>
        <w:t>（1）</w:t>
      </w:r>
      <w:r>
        <w:rPr>
          <w:rFonts w:hint="eastAsia" w:ascii="仿宋_GB2312" w:hAnsi="仿宋_GB2312" w:eastAsia="仿宋_GB2312" w:cs="仿宋_GB2312"/>
          <w:b/>
          <w:bCs w:val="0"/>
          <w:kern w:val="0"/>
          <w:sz w:val="32"/>
          <w:szCs w:val="32"/>
          <w:highlight w:val="none"/>
        </w:rPr>
        <w:t>风险管理体系：</w:t>
      </w:r>
      <w:r>
        <w:rPr>
          <w:rFonts w:hint="eastAsia" w:ascii="仿宋_GB2312" w:hAnsi="仿宋_GB2312" w:eastAsia="仿宋_GB2312" w:cs="仿宋_GB2312"/>
          <w:bCs/>
          <w:kern w:val="0"/>
          <w:sz w:val="32"/>
          <w:szCs w:val="32"/>
          <w:highlight w:val="none"/>
        </w:rPr>
        <w:t>信用风险、市场风险、操作风险、流动性风险及其它重要风险的管理目标、政策、流程以及组织架构和相关部门的职能。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
          <w:bCs w:val="0"/>
          <w:kern w:val="0"/>
          <w:sz w:val="32"/>
          <w:szCs w:val="32"/>
          <w:highlight w:val="none"/>
        </w:rPr>
        <w:t>信用风险：</w:t>
      </w:r>
      <w:r>
        <w:rPr>
          <w:rFonts w:hint="eastAsia" w:ascii="仿宋_GB2312" w:hAnsi="仿宋_GB2312" w:eastAsia="仿宋_GB2312" w:cs="仿宋_GB2312"/>
          <w:bCs/>
          <w:kern w:val="0"/>
          <w:sz w:val="32"/>
          <w:szCs w:val="32"/>
          <w:highlight w:val="none"/>
          <w:lang w:eastAsia="zh-CN"/>
        </w:rPr>
        <w:t>不良资产余额不超过本行资产余额的4%，不良贷款余额不超过本行贷款余额的5%，逾期90天以上贷款余额不超过本行不良贷款余额的100%，贷款损失准备余额不低于本行不良贷款余额的150%，房地产贷款余额不超过本行贷款余额的20%，对非同业单一客户的贷款余额不超过本行资本净额的10%，对非同业单一客户的风险暴露不超过一级资本净额的15%，对非同业关联客户的风险暴露不超过一级资本净额的20%；对同业单一客户或集团客户的风险暴露不超过一级资本净额的25%。</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
          <w:bCs w:val="0"/>
          <w:kern w:val="0"/>
          <w:sz w:val="32"/>
          <w:szCs w:val="32"/>
          <w:highlight w:val="none"/>
        </w:rPr>
        <w:t>市场风险：</w:t>
      </w:r>
      <w:r>
        <w:rPr>
          <w:rFonts w:hint="eastAsia" w:ascii="仿宋_GB2312" w:hAnsi="仿宋_GB2312" w:eastAsia="仿宋_GB2312" w:cs="仿宋_GB2312"/>
          <w:bCs/>
          <w:kern w:val="0"/>
          <w:sz w:val="32"/>
          <w:szCs w:val="32"/>
          <w:highlight w:val="none"/>
        </w:rPr>
        <w:t>银行账簿最大经济价值变动比例不超过15%。</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
          <w:bCs w:val="0"/>
          <w:kern w:val="0"/>
          <w:sz w:val="32"/>
          <w:szCs w:val="32"/>
          <w:highlight w:val="none"/>
        </w:rPr>
        <w:t>流动性风险：</w:t>
      </w:r>
      <w:r>
        <w:rPr>
          <w:rFonts w:hint="eastAsia" w:ascii="仿宋_GB2312" w:hAnsi="仿宋_GB2312" w:eastAsia="仿宋_GB2312" w:cs="仿宋_GB2312"/>
          <w:bCs/>
          <w:kern w:val="0"/>
          <w:sz w:val="32"/>
          <w:szCs w:val="32"/>
          <w:highlight w:val="none"/>
        </w:rPr>
        <w:t>流动性</w:t>
      </w:r>
      <w:r>
        <w:rPr>
          <w:rFonts w:hint="eastAsia" w:ascii="仿宋_GB2312" w:hAnsi="仿宋_GB2312" w:eastAsia="仿宋_GB2312" w:cs="仿宋_GB2312"/>
          <w:bCs/>
          <w:kern w:val="0"/>
          <w:sz w:val="32"/>
          <w:szCs w:val="32"/>
          <w:highlight w:val="none"/>
          <w:lang w:eastAsia="zh-CN"/>
        </w:rPr>
        <w:t>比例</w:t>
      </w:r>
      <w:r>
        <w:rPr>
          <w:rFonts w:hint="eastAsia" w:ascii="仿宋_GB2312" w:hAnsi="仿宋_GB2312" w:eastAsia="仿宋_GB2312" w:cs="仿宋_GB2312"/>
          <w:bCs/>
          <w:kern w:val="0"/>
          <w:sz w:val="32"/>
          <w:szCs w:val="32"/>
          <w:highlight w:val="none"/>
        </w:rPr>
        <w:t>不低于25% ；优质流动性资产充足率不低于100%。</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本行所有超限额情况都应依规定程序提前向风险管理部门申请，经批准后实施，本行应确保所有超限额情况均有书面记录。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val="0"/>
          <w:kern w:val="0"/>
          <w:sz w:val="32"/>
          <w:szCs w:val="32"/>
          <w:highlight w:val="none"/>
        </w:rPr>
      </w:pPr>
      <w:r>
        <w:rPr>
          <w:rFonts w:hint="eastAsia" w:ascii="仿宋_GB2312" w:hAnsi="仿宋_GB2312" w:eastAsia="仿宋_GB2312" w:cs="仿宋_GB2312"/>
          <w:b/>
          <w:bCs w:val="0"/>
          <w:kern w:val="0"/>
          <w:sz w:val="32"/>
          <w:szCs w:val="32"/>
          <w:highlight w:val="none"/>
          <w:lang w:val="en-US" w:eastAsia="zh-CN"/>
        </w:rPr>
        <w:t>（2）</w:t>
      </w:r>
      <w:r>
        <w:rPr>
          <w:rFonts w:hint="eastAsia" w:ascii="仿宋_GB2312" w:hAnsi="仿宋_GB2312" w:eastAsia="仿宋_GB2312" w:cs="仿宋_GB2312"/>
          <w:b/>
          <w:bCs w:val="0"/>
          <w:kern w:val="0"/>
          <w:sz w:val="32"/>
          <w:szCs w:val="32"/>
          <w:highlight w:val="none"/>
        </w:rPr>
        <w:t>信用风险、市场风险、操作风险的计量方法，风险计量体系的重大变更，以及相应的资本要求变化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本行风险计量方法，根据《商业银行资本管理办法（试行）》相关规定，信用风险采用权重法</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市场风险采用标准法</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操作风险采用基本指标法。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根据监管规定，股东特别是主要股东应当支持董事会制定合理的资本规划，使本行持续满足监管要求。本行资本充足率低于法定标准时，股东应当支持董事会提出的提高资本充足率的措施，通过增加核心一级资本等方式补充资本，使资本充足率在期限内达到监管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val="0"/>
          <w:kern w:val="0"/>
          <w:sz w:val="32"/>
          <w:szCs w:val="32"/>
          <w:highlight w:val="none"/>
        </w:rPr>
      </w:pPr>
      <w:r>
        <w:rPr>
          <w:rFonts w:hint="eastAsia" w:ascii="仿宋_GB2312" w:hAnsi="仿宋_GB2312" w:eastAsia="仿宋_GB2312" w:cs="仿宋_GB2312"/>
          <w:b/>
          <w:bCs w:val="0"/>
          <w:kern w:val="0"/>
          <w:sz w:val="32"/>
          <w:szCs w:val="32"/>
          <w:highlight w:val="none"/>
          <w:lang w:val="en-US" w:eastAsia="zh-CN"/>
        </w:rPr>
        <w:t>（3）</w:t>
      </w:r>
      <w:r>
        <w:rPr>
          <w:rFonts w:hint="eastAsia" w:ascii="仿宋_GB2312" w:hAnsi="仿宋_GB2312" w:eastAsia="仿宋_GB2312" w:cs="仿宋_GB2312"/>
          <w:b/>
          <w:bCs w:val="0"/>
          <w:kern w:val="0"/>
          <w:sz w:val="32"/>
          <w:szCs w:val="32"/>
          <w:highlight w:val="none"/>
        </w:rPr>
        <w:t>信用风险、市场风险、操作风险及其它重要风险暴露和评估的定性和定量信息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
          <w:bCs w:val="0"/>
          <w:kern w:val="0"/>
          <w:sz w:val="32"/>
          <w:szCs w:val="32"/>
          <w:highlight w:val="none"/>
        </w:rPr>
        <w:t>信用风险：</w:t>
      </w:r>
      <w:r>
        <w:rPr>
          <w:rFonts w:hint="eastAsia" w:ascii="仿宋_GB2312" w:hAnsi="仿宋_GB2312" w:eastAsia="仿宋_GB2312" w:cs="仿宋_GB2312"/>
          <w:bCs/>
          <w:kern w:val="0"/>
          <w:sz w:val="32"/>
          <w:szCs w:val="32"/>
          <w:highlight w:val="none"/>
        </w:rPr>
        <w:t>本行在单一与组合两个层面上对信用风险进行计量与评估。单一信用风险的计量与评估对象包括借款人或交易对象以及特定贷款或交易，组合信用风险的计量与评估对象包括本行各级机构及国家、地区、行业等。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
          <w:bCs w:val="0"/>
          <w:kern w:val="0"/>
          <w:sz w:val="32"/>
          <w:szCs w:val="32"/>
          <w:highlight w:val="none"/>
        </w:rPr>
        <w:t>市场风险：</w:t>
      </w:r>
      <w:r>
        <w:rPr>
          <w:rFonts w:hint="eastAsia" w:ascii="仿宋_GB2312" w:hAnsi="仿宋_GB2312" w:eastAsia="仿宋_GB2312" w:cs="仿宋_GB2312"/>
          <w:bCs/>
          <w:kern w:val="0"/>
          <w:sz w:val="32"/>
          <w:szCs w:val="32"/>
          <w:highlight w:val="none"/>
        </w:rPr>
        <w:t>本行选用适当的方法度量银行账户和交易账户中不同类别的市场风险，对银行账户中的可供出售类资产进行定期估值，逐步实现对交易账户的逐日评估。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
          <w:bCs w:val="0"/>
          <w:kern w:val="0"/>
          <w:sz w:val="32"/>
          <w:szCs w:val="32"/>
          <w:highlight w:val="none"/>
        </w:rPr>
        <w:t>操作风险：</w:t>
      </w:r>
      <w:r>
        <w:rPr>
          <w:rFonts w:hint="eastAsia" w:ascii="仿宋_GB2312" w:hAnsi="仿宋_GB2312" w:eastAsia="仿宋_GB2312" w:cs="仿宋_GB2312"/>
          <w:bCs/>
          <w:kern w:val="0"/>
          <w:sz w:val="32"/>
          <w:szCs w:val="32"/>
          <w:highlight w:val="none"/>
        </w:rPr>
        <w:t>本行采用自我评估和第三方独立评估等方式对操作风险的影响程度和控制能力进行持续评估。自我评估可由各级操作风险管理部门牵头负责，也可以由各级业务部门和支持保障部门自行发起组织。第三方独立评估主要由外部监管部门、外部审计部门、本行内部审计部门进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val="0"/>
          <w:kern w:val="0"/>
          <w:sz w:val="32"/>
          <w:szCs w:val="32"/>
          <w:highlight w:val="none"/>
        </w:rPr>
      </w:pPr>
      <w:r>
        <w:rPr>
          <w:rFonts w:hint="eastAsia" w:ascii="仿宋_GB2312" w:hAnsi="仿宋_GB2312" w:eastAsia="仿宋_GB2312" w:cs="仿宋_GB2312"/>
          <w:b/>
          <w:bCs w:val="0"/>
          <w:kern w:val="0"/>
          <w:sz w:val="32"/>
          <w:szCs w:val="32"/>
          <w:highlight w:val="none"/>
          <w:lang w:val="en-US" w:eastAsia="zh-CN"/>
        </w:rPr>
        <w:t>（4）</w:t>
      </w:r>
      <w:r>
        <w:rPr>
          <w:rFonts w:hint="eastAsia" w:ascii="仿宋_GB2312" w:hAnsi="仿宋_GB2312" w:eastAsia="仿宋_GB2312" w:cs="仿宋_GB2312"/>
          <w:b/>
          <w:bCs w:val="0"/>
          <w:kern w:val="0"/>
          <w:sz w:val="32"/>
          <w:szCs w:val="32"/>
          <w:highlight w:val="none"/>
        </w:rPr>
        <w:t>内部资本充足评估方法以及影响资本充足率的其它相关因素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本行按照有关监管部门关于商业银行资本充足率管理的要求，根据本行市场风险状况和资本实力，为本行所承担的市场风险提取充足的资本。</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val="0"/>
          <w:sz w:val="32"/>
          <w:szCs w:val="32"/>
          <w:highlight w:val="none"/>
        </w:rPr>
      </w:pPr>
      <w:r>
        <w:rPr>
          <w:rFonts w:hint="eastAsia" w:ascii="仿宋_GB2312" w:hAnsi="仿宋_GB2312" w:eastAsia="仿宋_GB2312" w:cs="仿宋_GB2312"/>
          <w:b/>
          <w:bCs w:val="0"/>
          <w:kern w:val="0"/>
          <w:sz w:val="32"/>
          <w:szCs w:val="32"/>
          <w:highlight w:val="none"/>
          <w:lang w:val="en-US" w:eastAsia="zh-CN"/>
        </w:rPr>
        <w:t>3.</w:t>
      </w:r>
      <w:r>
        <w:rPr>
          <w:rFonts w:hint="eastAsia" w:ascii="楷体_GB2312" w:hAnsi="楷体_GB2312" w:eastAsia="楷体_GB2312" w:cs="楷体_GB2312"/>
          <w:b/>
          <w:bCs w:val="0"/>
          <w:sz w:val="32"/>
          <w:szCs w:val="32"/>
          <w:highlight w:val="none"/>
        </w:rPr>
        <w:t>资</w:t>
      </w:r>
      <w:r>
        <w:rPr>
          <w:rFonts w:hint="eastAsia" w:ascii="楷体_GB2312" w:hAnsi="楷体_GB2312" w:eastAsia="楷体_GB2312" w:cs="楷体_GB2312"/>
          <w:b/>
          <w:bCs w:val="0"/>
          <w:sz w:val="32"/>
          <w:szCs w:val="32"/>
          <w:highlight w:val="none"/>
          <w:lang w:eastAsia="zh-CN"/>
        </w:rPr>
        <w:t>本、风险加权资产的构成及资本充足率</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val="0"/>
          <w:kern w:val="0"/>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rPr>
        <w:t>（1）资本的计算范围</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bCs w:val="0"/>
          <w:kern w:val="0"/>
          <w:sz w:val="32"/>
          <w:szCs w:val="32"/>
          <w:highlight w:val="none"/>
          <w:lang w:val="en-US" w:eastAsia="zh-CN"/>
        </w:rPr>
      </w:pPr>
      <w:r>
        <w:rPr>
          <w:rFonts w:hint="eastAsia" w:ascii="仿宋_GB2312" w:hAnsi="仿宋_GB2312" w:eastAsia="仿宋_GB2312" w:cs="仿宋_GB2312"/>
          <w:sz w:val="32"/>
          <w:szCs w:val="32"/>
          <w:highlight w:val="none"/>
        </w:rPr>
        <w:t>本行为农村中小金融机构，未设立分支机构，无需并表机构，资本充足率计算范围为寻乌农商银行，包括所有</w:t>
      </w:r>
      <w:r>
        <w:rPr>
          <w:rFonts w:hint="eastAsia" w:ascii="仿宋_GB2312" w:hAnsi="仿宋_GB2312" w:eastAsia="仿宋_GB2312" w:cs="仿宋_GB2312"/>
          <w:sz w:val="32"/>
          <w:szCs w:val="32"/>
          <w:highlight w:val="none"/>
          <w:lang w:eastAsia="zh-CN"/>
        </w:rPr>
        <w:t>辖内</w:t>
      </w:r>
      <w:r>
        <w:rPr>
          <w:rFonts w:hint="eastAsia" w:ascii="仿宋_GB2312" w:hAnsi="仿宋_GB2312" w:eastAsia="仿宋_GB2312" w:cs="仿宋_GB2312"/>
          <w:sz w:val="32"/>
          <w:szCs w:val="32"/>
          <w:highlight w:val="none"/>
        </w:rPr>
        <w:t>网点。</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rPr>
        <w:t>（2）</w:t>
      </w:r>
      <w:r>
        <w:rPr>
          <w:rFonts w:hint="eastAsia" w:ascii="仿宋_GB2312" w:hAnsi="仿宋_GB2312" w:eastAsia="仿宋_GB2312" w:cs="仿宋_GB2312"/>
          <w:b/>
          <w:bCs/>
          <w:sz w:val="32"/>
          <w:szCs w:val="32"/>
          <w:highlight w:val="none"/>
          <w:lang w:val="en-US" w:eastAsia="zh-CN"/>
        </w:rPr>
        <w:t>资本的构成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2023年，本行的资本由核心一级资本及二级资本构成，核心一级资本由实收资本、资本公积、盈余公积、一般风险准备、未分配利润及其他综合收益构成；资本扣除项为其他无形资产(不含土地使用权) 扣减与之相关的递延税负债后的净额及对未并表金融机构小额少数资本投资中的核心一级资本应扣除项；二级资本只有超额贷款损失准备。具体构成如下表：</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0"/>
          <w:szCs w:val="30"/>
          <w:highlight w:val="none"/>
          <w:lang w:val="en-US" w:eastAsia="zh-CN"/>
        </w:rPr>
        <w:t xml:space="preserve">                                     单位：万元 </w:t>
      </w:r>
    </w:p>
    <w:tbl>
      <w:tblPr>
        <w:tblStyle w:val="13"/>
        <w:tblW w:w="89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68"/>
        <w:gridCol w:w="1255"/>
        <w:gridCol w:w="1085"/>
        <w:gridCol w:w="1085"/>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项目</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2023年3月</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2023年6月</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2023年9月</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1.核心一级资本</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85169.81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85625.68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89943.12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91980.26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1.1 实收资本可计入部分</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15169.35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15169.35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15169.35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15169.35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1.2 资本公积可计入部分</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793.98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793.98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793.98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793.98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1.3 盈余公积</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13416.72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13416.72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13416.72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14569.61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1.4 一般风险准备</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21266.35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21266.35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21266.35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21266.35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1.5 未分配利润</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34039.51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34371.26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38621.47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39440.89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1.6 少数股东资本可计入部分</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1.7 其他综合收益</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483.9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608.02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675.25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740.08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2.核心一级资本监管扣除项目</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6894.593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6820.12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6359.49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6210.91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2.1 全额扣除项目合计</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317.24</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290.98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264.72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314.84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9"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2.1.1 其他无形资产(不含土地使用权) 扣减与之相关的递延税负债后的净额</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317.24</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290.98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264.72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314.84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2.2 门槛扣除项目合计</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6577.353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6529.14</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6094.77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5896.07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5"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2.2.1 对未并表金融机构小额少数资本投资中的核心一级资本</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15062.61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15062.61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15062.61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15062.61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2.2.1.1 其中应扣除金额</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6577.353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6529.14</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6094.77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5896.07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3.其他一级资本</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4.其他一级资本监管扣除项目</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5.二级资本</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6342.92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6353.35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6582.72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6863.62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5.1 超额贷款损失准备</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6342.92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6353.35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6582.72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6863.62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9"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5.1.1 超额贷款损失准备（采用权重法计算信用风险加权资产的银行）</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6342.92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6353.35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6582.72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6863.62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6.二级资本监管扣除项目</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7.资本净额</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highlight w:val="none"/>
                <w:u w:val="none"/>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highlight w:val="none"/>
                <w:u w:val="none"/>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highlight w:val="none"/>
                <w:u w:val="none"/>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7.1 核心一级资本净额</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78275.217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78805.56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83583.63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85769.35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7.2 一级资本净额</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78275.217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78805.56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83583.63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85769.35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7.3 总资本净额</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84618.137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85158.91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90166.35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92632.97</w:t>
            </w:r>
          </w:p>
        </w:tc>
      </w:tr>
    </w:tbl>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rPr>
        <w:t>（3）</w:t>
      </w:r>
      <w:r>
        <w:rPr>
          <w:rFonts w:hint="eastAsia" w:ascii="仿宋_GB2312" w:hAnsi="仿宋_GB2312" w:eastAsia="仿宋_GB2312" w:cs="仿宋_GB2312"/>
          <w:b/>
          <w:bCs/>
          <w:sz w:val="32"/>
          <w:szCs w:val="32"/>
          <w:highlight w:val="none"/>
        </w:rPr>
        <w:t>风险加权资产</w:t>
      </w:r>
      <w:r>
        <w:rPr>
          <w:rFonts w:hint="eastAsia" w:ascii="仿宋_GB2312" w:hAnsi="仿宋_GB2312" w:eastAsia="仿宋_GB2312" w:cs="仿宋_GB2312"/>
          <w:b/>
          <w:bCs/>
          <w:sz w:val="32"/>
          <w:szCs w:val="32"/>
          <w:highlight w:val="none"/>
          <w:lang w:val="en-US" w:eastAsia="zh-CN"/>
        </w:rPr>
        <w:t>的构成及资本充足率</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2023年，本行的风险加权资产由表内风险加权资产、表外风险加权资产及操作风险加权资产三部份构成。其中表内风险加权资产主要由存放中央银行款项、贷款、债券投资、购买同业存单、存放同业款项、长期股权投资、买入返售、应收利息、其他应收款项及固定资产净额等构成；表外风险加权资产均为风险权重75%的未使用的信用卡授信额度，无其它表外资产；操作风险加权资产为采用“基本指标法（以最近三年的总收入为基本指标）”计量的加权操作风险。</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0"/>
          <w:szCs w:val="30"/>
          <w:highlight w:val="none"/>
          <w:lang w:val="en-US" w:eastAsia="zh-CN"/>
        </w:rPr>
        <w:t>单位：万元  %</w:t>
      </w:r>
    </w:p>
    <w:tbl>
      <w:tblPr>
        <w:tblStyle w:val="13"/>
        <w:tblW w:w="891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
      <w:tblGrid>
        <w:gridCol w:w="4442"/>
        <w:gridCol w:w="1245"/>
        <w:gridCol w:w="1077"/>
        <w:gridCol w:w="1077"/>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53" w:hRule="atLeast"/>
          <w:jc w:val="center"/>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项目</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2023年3月</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2023年6月</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2023年9月</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53" w:hRule="atLeast"/>
          <w:jc w:val="center"/>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1.核心一级资本净额</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78275.22</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78805.56</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83583.63</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85769.35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53" w:hRule="atLeast"/>
          <w:jc w:val="center"/>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2.一级资本净额</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78275.22</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78805.56</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83583.63</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85769.35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53" w:hRule="atLeast"/>
          <w:jc w:val="center"/>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3.资本净额</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84618.14</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85158.91</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90166.35</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92632.97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53" w:hRule="atLeast"/>
          <w:jc w:val="center"/>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4.信用风险加权资产（4.1+4.2+4.3）</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513776.62</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514621.67</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533200.32</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555953.32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53" w:hRule="atLeast"/>
          <w:jc w:val="center"/>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  4.1表内风险加权资产</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511881.84</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512545.32</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531100.84</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553952.56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53" w:hRule="atLeast"/>
          <w:jc w:val="center"/>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  4.2表外风险加权资产</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1894.78</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2076.35</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2099.48</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2000.76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53" w:hRule="atLeast"/>
          <w:jc w:val="center"/>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5.市场风险加权资产</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53" w:hRule="atLeast"/>
          <w:jc w:val="center"/>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6.操作风险加权资产</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58538</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58538</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58538</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59435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53" w:hRule="atLeast"/>
          <w:jc w:val="center"/>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 6.1基本指标法</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58538</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58538</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58538</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59435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53" w:hRule="atLeast"/>
          <w:jc w:val="center"/>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7.校准前风险加权资产合计（4.+5.+6.）</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572314.62</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573159.67</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591738.32</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615388.32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646" w:hRule="atLeast"/>
          <w:jc w:val="center"/>
        </w:trPr>
        <w:tc>
          <w:tcPr>
            <w:tcW w:w="4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8.因应用资本底线及校准而导致的额外风险加权资产（资本计量高级方法银行适用）</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555" w:hRule="atLeast"/>
          <w:jc w:val="center"/>
        </w:trPr>
        <w:tc>
          <w:tcPr>
            <w:tcW w:w="4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9.应用资本底线及校准后的风险加权资产合计（7.+8.）</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572314.62</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573159.67</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591738.32</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615388.32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21" w:hRule="atLeast"/>
          <w:jc w:val="center"/>
        </w:trPr>
        <w:tc>
          <w:tcPr>
            <w:tcW w:w="4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10.核心一级资本充足率%（1./9.)</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13.68%</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13.75%</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14.13%</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21" w:hRule="atLeast"/>
          <w:jc w:val="center"/>
        </w:trPr>
        <w:tc>
          <w:tcPr>
            <w:tcW w:w="4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11.一级资本充足率%（2./9.)</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13.68%</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13.75%</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14.13%</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Ex>
        <w:trPr>
          <w:trHeight w:val="449" w:hRule="atLeast"/>
          <w:jc w:val="center"/>
        </w:trPr>
        <w:tc>
          <w:tcPr>
            <w:tcW w:w="4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12.资本充足率%（3./9.)</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14.79%</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14.86%</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15.24%</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15.05%</w:t>
            </w:r>
          </w:p>
        </w:tc>
      </w:tr>
    </w:tbl>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val="0"/>
          <w:sz w:val="32"/>
          <w:szCs w:val="32"/>
          <w:highlight w:val="none"/>
          <w:shd w:val="clear" w:color="auto" w:fill="FFFFFF"/>
          <w:lang w:eastAsia="zh-CN"/>
        </w:rPr>
      </w:pPr>
      <w:r>
        <w:rPr>
          <w:rFonts w:hint="eastAsia" w:ascii="仿宋_GB2312" w:hAnsi="仿宋_GB2312" w:eastAsia="仿宋_GB2312" w:cs="仿宋_GB2312"/>
          <w:b/>
          <w:bCs w:val="0"/>
          <w:kern w:val="0"/>
          <w:sz w:val="32"/>
          <w:szCs w:val="32"/>
          <w:highlight w:val="none"/>
          <w:lang w:val="en-US" w:eastAsia="zh-CN"/>
        </w:rPr>
        <w:t>4.</w:t>
      </w:r>
      <w:r>
        <w:rPr>
          <w:rFonts w:hint="eastAsia" w:ascii="仿宋_GB2312" w:hAnsi="仿宋_GB2312" w:eastAsia="仿宋_GB2312" w:cs="仿宋_GB2312"/>
          <w:b/>
          <w:bCs w:val="0"/>
          <w:sz w:val="32"/>
          <w:szCs w:val="32"/>
          <w:highlight w:val="none"/>
          <w:shd w:val="clear" w:color="auto" w:fill="FFFFFF"/>
        </w:rPr>
        <w:t>逾期及不良贷款总额、贷款损失准备、</w:t>
      </w:r>
      <w:r>
        <w:rPr>
          <w:rFonts w:hint="eastAsia" w:ascii="仿宋_GB2312" w:hAnsi="仿宋_GB2312" w:eastAsia="仿宋_GB2312" w:cs="仿宋_GB2312"/>
          <w:b/>
          <w:bCs w:val="0"/>
          <w:sz w:val="32"/>
          <w:szCs w:val="32"/>
          <w:highlight w:val="none"/>
          <w:shd w:val="clear" w:color="auto" w:fill="FFFFFF"/>
          <w:lang w:eastAsia="zh-CN"/>
        </w:rPr>
        <w:t>集中度风险、流动性风险</w:t>
      </w:r>
      <w:r>
        <w:rPr>
          <w:rFonts w:hint="eastAsia" w:ascii="仿宋_GB2312" w:hAnsi="仿宋_GB2312" w:eastAsia="仿宋_GB2312" w:cs="仿宋_GB2312"/>
          <w:b/>
          <w:bCs w:val="0"/>
          <w:sz w:val="32"/>
          <w:szCs w:val="32"/>
          <w:highlight w:val="none"/>
          <w:shd w:val="clear" w:color="auto" w:fill="FFFFFF"/>
        </w:rPr>
        <w:t>、</w:t>
      </w:r>
      <w:r>
        <w:rPr>
          <w:rFonts w:hint="eastAsia" w:ascii="仿宋_GB2312" w:hAnsi="仿宋_GB2312" w:eastAsia="仿宋_GB2312" w:cs="仿宋_GB2312"/>
          <w:b/>
          <w:bCs w:val="0"/>
          <w:sz w:val="32"/>
          <w:szCs w:val="32"/>
          <w:highlight w:val="none"/>
          <w:shd w:val="clear" w:color="auto" w:fill="FFFFFF"/>
          <w:lang w:eastAsia="zh-CN"/>
        </w:rPr>
        <w:t>市场</w:t>
      </w:r>
      <w:r>
        <w:rPr>
          <w:rFonts w:hint="eastAsia" w:ascii="仿宋_GB2312" w:hAnsi="仿宋_GB2312" w:eastAsia="仿宋_GB2312" w:cs="仿宋_GB2312"/>
          <w:b/>
          <w:bCs w:val="0"/>
          <w:sz w:val="32"/>
          <w:szCs w:val="32"/>
          <w:highlight w:val="none"/>
          <w:shd w:val="clear" w:color="auto" w:fill="FFFFFF"/>
        </w:rPr>
        <w:t>风险等相关重要</w:t>
      </w:r>
      <w:r>
        <w:rPr>
          <w:rFonts w:hint="eastAsia" w:ascii="仿宋_GB2312" w:hAnsi="仿宋_GB2312" w:eastAsia="仿宋_GB2312" w:cs="仿宋_GB2312"/>
          <w:b/>
          <w:bCs w:val="0"/>
          <w:sz w:val="32"/>
          <w:szCs w:val="32"/>
          <w:highlight w:val="none"/>
          <w:shd w:val="clear" w:color="auto" w:fill="FFFFFF"/>
          <w:lang w:eastAsia="zh-CN"/>
        </w:rPr>
        <w:t>信息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仿宋_GB2312" w:hAnsi="仿宋_GB2312" w:eastAsia="仿宋_GB2312" w:cs="仿宋_GB2312"/>
          <w:b/>
          <w:bCs w:val="0"/>
          <w:sz w:val="32"/>
          <w:szCs w:val="32"/>
          <w:highlight w:val="none"/>
          <w:shd w:val="clear" w:color="auto" w:fill="FFFFFF"/>
          <w:lang w:val="en-US" w:eastAsia="zh-CN"/>
        </w:rPr>
      </w:pPr>
      <w:r>
        <w:rPr>
          <w:rFonts w:hint="eastAsia" w:ascii="仿宋_GB2312" w:hAnsi="仿宋_GB2312" w:eastAsia="仿宋_GB2312" w:cs="仿宋_GB2312"/>
          <w:b/>
          <w:bCs w:val="0"/>
          <w:kern w:val="0"/>
          <w:sz w:val="32"/>
          <w:szCs w:val="32"/>
          <w:highlight w:val="none"/>
          <w:lang w:val="en-US" w:eastAsia="zh-CN"/>
        </w:rPr>
        <w:t>（1）</w:t>
      </w:r>
      <w:r>
        <w:rPr>
          <w:rFonts w:hint="eastAsia" w:ascii="仿宋_GB2312" w:hAnsi="仿宋_GB2312" w:eastAsia="仿宋_GB2312" w:cs="仿宋_GB2312"/>
          <w:b/>
          <w:bCs w:val="0"/>
          <w:sz w:val="32"/>
          <w:szCs w:val="32"/>
          <w:highlight w:val="none"/>
          <w:shd w:val="clear" w:color="auto" w:fill="FFFFFF"/>
        </w:rPr>
        <w:t>逾期及不良贷款总额、贷款损失准备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highlight w:val="none"/>
          <w:shd w:val="clear" w:color="auto" w:fill="FFFFFF"/>
          <w:lang w:val="en-US" w:eastAsia="zh-CN"/>
        </w:rPr>
      </w:pPr>
      <w:r>
        <w:rPr>
          <w:rFonts w:hint="eastAsia" w:ascii="仿宋_GB2312" w:hAnsi="仿宋_GB2312" w:eastAsia="仿宋_GB2312" w:cs="仿宋_GB2312"/>
          <w:b w:val="0"/>
          <w:bCs/>
          <w:sz w:val="32"/>
          <w:szCs w:val="32"/>
          <w:highlight w:val="none"/>
          <w:shd w:val="clear" w:color="auto" w:fill="FFFFFF"/>
          <w:lang w:val="en-US" w:eastAsia="zh-CN"/>
        </w:rPr>
        <w:t>2023年度，本行不良贷款率、拔备覆盖率、逾期90天以上贷款与不良贷款比例均达目标要求，具体如下：</w:t>
      </w:r>
    </w:p>
    <w:tbl>
      <w:tblPr>
        <w:tblStyle w:val="13"/>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4493"/>
        <w:gridCol w:w="1259"/>
        <w:gridCol w:w="1089"/>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w:t>
            </w:r>
            <w:r>
              <w:rPr>
                <w:rStyle w:val="18"/>
                <w:rFonts w:eastAsia="宋体"/>
                <w:highlight w:val="none"/>
                <w:lang w:val="en-US" w:eastAsia="zh-CN" w:bidi="ar"/>
              </w:rPr>
              <w:t xml:space="preserve">                  </w:t>
            </w:r>
            <w:r>
              <w:rPr>
                <w:rFonts w:hint="eastAsia" w:ascii="宋体" w:hAnsi="宋体" w:eastAsia="宋体" w:cs="宋体"/>
                <w:i w:val="0"/>
                <w:color w:val="000000"/>
                <w:kern w:val="0"/>
                <w:sz w:val="20"/>
                <w:szCs w:val="20"/>
                <w:highlight w:val="none"/>
                <w:u w:val="none"/>
                <w:lang w:val="en-US" w:eastAsia="zh-CN" w:bidi="ar"/>
              </w:rPr>
              <w:t>目</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2023年3月</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2023年6月</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2023年9月</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1.各项贷款</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679743.53</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687035.97</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697582.93</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700910.32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1.1正常贷款</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666656.52</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674021.5</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685287.79</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687722.09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1.1.1正常类</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657865.67</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663379.64</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676654.42</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678297.03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1.1.2关注类</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8790.85</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10641.86</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8633.37</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9425.06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1.2不良贷款</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13087.01</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13014.47</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12295.14</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13188.23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1.2.1次级类</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5268.45</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3977.94</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3924.34</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3255.29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1.2.2可疑类</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6814.39</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8301.52</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5812.91</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5528.83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1.2.3损失类</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1004.17</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735.01</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2557.89</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4404.11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2.逾期贷款</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18514.1</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19415.75</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17538.87</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19852.41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2.1逾期90天以上贷款</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11412.87</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11066.3</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11156.63</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11869.77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3.贷款损失准备余额</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44493.83</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44603.44</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41724.94</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43893.64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4.不良贷款率</w:t>
            </w:r>
          </w:p>
        </w:tc>
        <w:tc>
          <w:tcPr>
            <w:tcW w:w="125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1.93%</w:t>
            </w:r>
          </w:p>
        </w:tc>
        <w:tc>
          <w:tcPr>
            <w:tcW w:w="108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1.89%</w:t>
            </w:r>
          </w:p>
        </w:tc>
        <w:tc>
          <w:tcPr>
            <w:tcW w:w="108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1.76%</w:t>
            </w:r>
          </w:p>
        </w:tc>
        <w:tc>
          <w:tcPr>
            <w:tcW w:w="108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79" w:hRule="atLeast"/>
          <w:jc w:val="center"/>
        </w:trPr>
        <w:tc>
          <w:tcPr>
            <w:tcW w:w="4493"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5.逾期90天以上贷款与不良贷款比例</w:t>
            </w:r>
          </w:p>
        </w:tc>
        <w:tc>
          <w:tcPr>
            <w:tcW w:w="125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87.21%</w:t>
            </w:r>
          </w:p>
        </w:tc>
        <w:tc>
          <w:tcPr>
            <w:tcW w:w="108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85.03%</w:t>
            </w:r>
          </w:p>
        </w:tc>
        <w:tc>
          <w:tcPr>
            <w:tcW w:w="108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90.74%</w:t>
            </w:r>
          </w:p>
        </w:tc>
        <w:tc>
          <w:tcPr>
            <w:tcW w:w="108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1" w:hRule="atLeast"/>
          <w:jc w:val="center"/>
        </w:trPr>
        <w:tc>
          <w:tcPr>
            <w:tcW w:w="4493"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6.拔备覆盖率</w:t>
            </w:r>
          </w:p>
        </w:tc>
        <w:tc>
          <w:tcPr>
            <w:tcW w:w="125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339.98%</w:t>
            </w:r>
          </w:p>
        </w:tc>
        <w:tc>
          <w:tcPr>
            <w:tcW w:w="108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342.72%</w:t>
            </w:r>
          </w:p>
        </w:tc>
        <w:tc>
          <w:tcPr>
            <w:tcW w:w="108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339.36%</w:t>
            </w:r>
          </w:p>
        </w:tc>
        <w:tc>
          <w:tcPr>
            <w:tcW w:w="1089"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332.82%</w:t>
            </w: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仿宋_GB2312" w:hAnsi="仿宋_GB2312" w:eastAsia="仿宋_GB2312" w:cs="仿宋_GB2312"/>
          <w:b/>
          <w:bCs w:val="0"/>
          <w:kern w:val="0"/>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rPr>
        <w:t>（2）集中度指标状况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highlight w:val="none"/>
          <w:shd w:val="clear" w:color="auto" w:fill="FFFFFF"/>
          <w:lang w:val="en-US" w:eastAsia="zh-CN"/>
        </w:rPr>
      </w:pPr>
      <w:r>
        <w:rPr>
          <w:rFonts w:hint="eastAsia" w:ascii="仿宋_GB2312" w:hAnsi="仿宋_GB2312" w:eastAsia="仿宋_GB2312" w:cs="仿宋_GB2312"/>
          <w:b w:val="0"/>
          <w:bCs/>
          <w:sz w:val="32"/>
          <w:szCs w:val="32"/>
          <w:highlight w:val="none"/>
          <w:shd w:val="clear" w:color="auto" w:fill="FFFFFF"/>
          <w:lang w:val="en-US" w:eastAsia="zh-CN"/>
        </w:rPr>
        <w:t>2023年度，本行对非同业单一客户的贷款余额未超过本行资本净额的10%，对非同业单一客户的风险暴露未超过一级资本净额的15%，对非同业关联客户的风险暴露未超过一级资本净额的20%；对同业单一客户或集团客户的风险暴露未超过一级资本净额的25%。具体如下：</w:t>
      </w:r>
    </w:p>
    <w:p>
      <w:pPr>
        <w:pStyle w:val="4"/>
        <w:rPr>
          <w:rFonts w:hint="eastAsia"/>
          <w:highlight w:val="none"/>
          <w:lang w:eastAsia="zh-CN"/>
        </w:rPr>
      </w:pPr>
    </w:p>
    <w:tbl>
      <w:tblPr>
        <w:tblStyle w:val="13"/>
        <w:tblW w:w="8951" w:type="dxa"/>
        <w:jc w:val="center"/>
        <w:tblInd w:w="0" w:type="dxa"/>
        <w:tblLayout w:type="fixed"/>
        <w:tblCellMar>
          <w:top w:w="0" w:type="dxa"/>
          <w:left w:w="0" w:type="dxa"/>
          <w:bottom w:w="0" w:type="dxa"/>
          <w:right w:w="0" w:type="dxa"/>
        </w:tblCellMar>
      </w:tblPr>
      <w:tblGrid>
        <w:gridCol w:w="510"/>
        <w:gridCol w:w="3626"/>
        <w:gridCol w:w="1215"/>
        <w:gridCol w:w="1140"/>
        <w:gridCol w:w="1245"/>
        <w:gridCol w:w="1215"/>
      </w:tblGrid>
      <w:tr>
        <w:tblPrEx>
          <w:tblLayout w:type="fixed"/>
          <w:tblCellMar>
            <w:top w:w="0" w:type="dxa"/>
            <w:left w:w="0" w:type="dxa"/>
            <w:bottom w:w="0" w:type="dxa"/>
            <w:right w:w="0" w:type="dxa"/>
          </w:tblCellMar>
        </w:tblPrEx>
        <w:trPr>
          <w:trHeight w:val="402" w:hRule="atLeast"/>
          <w:jc w:val="center"/>
        </w:trPr>
        <w:tc>
          <w:tcPr>
            <w:tcW w:w="41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highlight w:val="none"/>
                <w:u w:val="none"/>
              </w:rPr>
            </w:pPr>
            <w:r>
              <w:rPr>
                <w:rFonts w:hint="eastAsia" w:ascii="宋体" w:hAnsi="宋体" w:eastAsia="宋体" w:cs="宋体"/>
                <w:b/>
                <w:bCs/>
                <w:i w:val="0"/>
                <w:color w:val="000000"/>
                <w:kern w:val="0"/>
                <w:sz w:val="20"/>
                <w:szCs w:val="20"/>
                <w:highlight w:val="none"/>
                <w:u w:val="none"/>
                <w:lang w:val="en-US" w:eastAsia="zh-CN" w:bidi="ar"/>
              </w:rPr>
              <w:t>项</w:t>
            </w:r>
            <w:r>
              <w:rPr>
                <w:rStyle w:val="15"/>
                <w:rFonts w:eastAsia="宋体"/>
                <w:b/>
                <w:bCs/>
                <w:highlight w:val="none"/>
                <w:lang w:val="en-US" w:eastAsia="zh-CN" w:bidi="ar"/>
              </w:rPr>
              <w:t xml:space="preserve">  </w:t>
            </w:r>
            <w:r>
              <w:rPr>
                <w:rStyle w:val="16"/>
                <w:b/>
                <w:bCs/>
                <w:highlight w:val="none"/>
                <w:lang w:val="en-US" w:eastAsia="zh-CN" w:bidi="ar"/>
              </w:rPr>
              <w:t>目</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3</w:t>
            </w:r>
            <w:r>
              <w:rPr>
                <w:rFonts w:hint="default" w:ascii="Times New Roman" w:hAnsi="Times New Roman" w:eastAsia="宋体" w:cs="Times New Roman"/>
                <w:b/>
                <w:bCs/>
                <w:i w:val="0"/>
                <w:color w:val="000000"/>
                <w:kern w:val="0"/>
                <w:sz w:val="20"/>
                <w:szCs w:val="20"/>
                <w:highlight w:val="none"/>
                <w:u w:val="none"/>
                <w:lang w:val="en-US" w:eastAsia="zh-CN" w:bidi="ar"/>
              </w:rPr>
              <w:t>年3月</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3</w:t>
            </w:r>
            <w:r>
              <w:rPr>
                <w:rFonts w:hint="default" w:ascii="Times New Roman" w:hAnsi="Times New Roman" w:eastAsia="宋体" w:cs="Times New Roman"/>
                <w:b/>
                <w:bCs/>
                <w:i w:val="0"/>
                <w:color w:val="000000"/>
                <w:kern w:val="0"/>
                <w:sz w:val="20"/>
                <w:szCs w:val="20"/>
                <w:highlight w:val="none"/>
                <w:u w:val="none"/>
                <w:lang w:val="en-US" w:eastAsia="zh-CN" w:bidi="ar"/>
              </w:rPr>
              <w:t>年6月</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3</w:t>
            </w:r>
            <w:r>
              <w:rPr>
                <w:rFonts w:hint="default" w:ascii="Times New Roman" w:hAnsi="Times New Roman" w:eastAsia="宋体" w:cs="Times New Roman"/>
                <w:b/>
                <w:bCs/>
                <w:i w:val="0"/>
                <w:color w:val="000000"/>
                <w:kern w:val="0"/>
                <w:sz w:val="20"/>
                <w:szCs w:val="20"/>
                <w:highlight w:val="none"/>
                <w:u w:val="none"/>
                <w:lang w:val="en-US" w:eastAsia="zh-CN" w:bidi="ar"/>
              </w:rPr>
              <w:t>年9月</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3</w:t>
            </w:r>
            <w:r>
              <w:rPr>
                <w:rFonts w:hint="default" w:ascii="Times New Roman" w:hAnsi="Times New Roman" w:eastAsia="宋体" w:cs="Times New Roman"/>
                <w:b/>
                <w:bCs/>
                <w:i w:val="0"/>
                <w:color w:val="000000"/>
                <w:kern w:val="0"/>
                <w:sz w:val="20"/>
                <w:szCs w:val="20"/>
                <w:highlight w:val="none"/>
                <w:u w:val="none"/>
                <w:lang w:val="en-US" w:eastAsia="zh-CN" w:bidi="ar"/>
              </w:rPr>
              <w:t>年12月</w:t>
            </w:r>
          </w:p>
        </w:tc>
      </w:tr>
      <w:tr>
        <w:tblPrEx>
          <w:tblLayout w:type="fixed"/>
          <w:tblCellMar>
            <w:top w:w="0" w:type="dxa"/>
            <w:left w:w="0" w:type="dxa"/>
            <w:bottom w:w="0" w:type="dxa"/>
            <w:right w:w="0" w:type="dxa"/>
          </w:tblCellMar>
        </w:tblPrEx>
        <w:trPr>
          <w:trHeight w:val="560" w:hRule="atLeast"/>
          <w:jc w:val="center"/>
        </w:trPr>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3626" w:type="dxa"/>
            <w:tcBorders>
              <w:top w:val="nil"/>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1.最大单家非同业单一客户风险暴露与一级净资本净额的比率</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3.83</w:t>
            </w:r>
            <w:r>
              <w:rPr>
                <w:rFonts w:hint="eastAsia" w:ascii="宋体" w:hAnsi="宋体" w:eastAsia="宋体" w:cs="宋体"/>
                <w:i w:val="0"/>
                <w:color w:val="000000"/>
                <w:kern w:val="0"/>
                <w:sz w:val="18"/>
                <w:szCs w:val="18"/>
                <w:highlight w:val="none"/>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4.17</w:t>
            </w:r>
            <w:r>
              <w:rPr>
                <w:rFonts w:hint="eastAsia" w:ascii="宋体" w:hAnsi="宋体" w:eastAsia="宋体" w:cs="宋体"/>
                <w:i w:val="0"/>
                <w:color w:val="000000"/>
                <w:kern w:val="0"/>
                <w:sz w:val="18"/>
                <w:szCs w:val="18"/>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5.66</w:t>
            </w:r>
            <w:r>
              <w:rPr>
                <w:rFonts w:hint="eastAsia" w:ascii="宋体" w:hAnsi="宋体" w:eastAsia="宋体" w:cs="宋体"/>
                <w:i w:val="0"/>
                <w:color w:val="000000"/>
                <w:kern w:val="0"/>
                <w:sz w:val="18"/>
                <w:szCs w:val="18"/>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11.7</w:t>
            </w:r>
            <w:r>
              <w:rPr>
                <w:rFonts w:hint="eastAsia" w:ascii="宋体" w:hAnsi="宋体" w:eastAsia="宋体" w:cs="宋体"/>
                <w:i w:val="0"/>
                <w:color w:val="000000"/>
                <w:kern w:val="0"/>
                <w:sz w:val="18"/>
                <w:szCs w:val="18"/>
                <w:highlight w:val="none"/>
                <w:u w:val="none"/>
                <w:lang w:val="en-US" w:eastAsia="zh-CN" w:bidi="ar"/>
              </w:rPr>
              <w:t>%</w:t>
            </w:r>
          </w:p>
        </w:tc>
      </w:tr>
      <w:tr>
        <w:tblPrEx>
          <w:tblLayout w:type="fixed"/>
          <w:tblCellMar>
            <w:top w:w="0" w:type="dxa"/>
            <w:left w:w="0" w:type="dxa"/>
            <w:bottom w:w="0" w:type="dxa"/>
            <w:right w:w="0" w:type="dxa"/>
          </w:tblCellMar>
        </w:tblPrEx>
        <w:trPr>
          <w:trHeight w:val="56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36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2.最大单家非同业单一客户贷款余额与资本净额的比率</w:t>
            </w:r>
          </w:p>
        </w:tc>
        <w:tc>
          <w:tcPr>
            <w:tcW w:w="121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3.9</w:t>
            </w:r>
            <w:r>
              <w:rPr>
                <w:rFonts w:hint="eastAsia" w:ascii="宋体" w:hAnsi="宋体" w:eastAsia="宋体" w:cs="宋体"/>
                <w:i w:val="0"/>
                <w:color w:val="000000"/>
                <w:kern w:val="0"/>
                <w:sz w:val="18"/>
                <w:szCs w:val="18"/>
                <w:highlight w:val="none"/>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4.11</w:t>
            </w:r>
            <w:r>
              <w:rPr>
                <w:rFonts w:hint="eastAsia" w:ascii="宋体" w:hAnsi="宋体" w:eastAsia="宋体" w:cs="宋体"/>
                <w:i w:val="0"/>
                <w:color w:val="000000"/>
                <w:kern w:val="0"/>
                <w:sz w:val="18"/>
                <w:szCs w:val="18"/>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3.88</w:t>
            </w:r>
            <w:r>
              <w:rPr>
                <w:rFonts w:hint="eastAsia" w:ascii="宋体" w:hAnsi="宋体" w:eastAsia="宋体" w:cs="宋体"/>
                <w:i w:val="0"/>
                <w:color w:val="000000"/>
                <w:kern w:val="0"/>
                <w:sz w:val="18"/>
                <w:szCs w:val="18"/>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3.45</w:t>
            </w:r>
            <w:r>
              <w:rPr>
                <w:rFonts w:hint="eastAsia" w:ascii="宋体" w:hAnsi="宋体" w:eastAsia="宋体" w:cs="宋体"/>
                <w:i w:val="0"/>
                <w:color w:val="000000"/>
                <w:kern w:val="0"/>
                <w:sz w:val="18"/>
                <w:szCs w:val="18"/>
                <w:highlight w:val="none"/>
                <w:u w:val="none"/>
                <w:lang w:val="en-US" w:eastAsia="zh-CN" w:bidi="ar"/>
              </w:rPr>
              <w:t>%</w:t>
            </w:r>
          </w:p>
        </w:tc>
      </w:tr>
      <w:tr>
        <w:tblPrEx>
          <w:tblLayout w:type="fixed"/>
          <w:tblCellMar>
            <w:top w:w="0" w:type="dxa"/>
            <w:left w:w="0" w:type="dxa"/>
            <w:bottom w:w="0" w:type="dxa"/>
            <w:right w:w="0" w:type="dxa"/>
          </w:tblCellMar>
        </w:tblPrEx>
        <w:trPr>
          <w:trHeight w:val="560" w:hRule="atLeast"/>
          <w:jc w:val="center"/>
        </w:trPr>
        <w:tc>
          <w:tcPr>
            <w:tcW w:w="5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3626"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3.最大单家非同业集团或经济依存客户风险暴露与一级资本净额的比率</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4.86</w:t>
            </w:r>
            <w:r>
              <w:rPr>
                <w:rFonts w:hint="eastAsia" w:ascii="宋体" w:hAnsi="宋体" w:eastAsia="宋体" w:cs="宋体"/>
                <w:i w:val="0"/>
                <w:color w:val="000000"/>
                <w:kern w:val="0"/>
                <w:sz w:val="18"/>
                <w:szCs w:val="18"/>
                <w:highlight w:val="none"/>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5.01</w:t>
            </w:r>
            <w:r>
              <w:rPr>
                <w:rFonts w:hint="eastAsia" w:ascii="宋体" w:hAnsi="宋体" w:eastAsia="宋体" w:cs="宋体"/>
                <w:i w:val="0"/>
                <w:color w:val="000000"/>
                <w:kern w:val="0"/>
                <w:sz w:val="18"/>
                <w:szCs w:val="18"/>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4.38</w:t>
            </w:r>
            <w:r>
              <w:rPr>
                <w:rFonts w:hint="eastAsia" w:ascii="宋体" w:hAnsi="宋体" w:eastAsia="宋体" w:cs="宋体"/>
                <w:i w:val="0"/>
                <w:color w:val="000000"/>
                <w:kern w:val="0"/>
                <w:sz w:val="18"/>
                <w:szCs w:val="18"/>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4.17</w:t>
            </w:r>
            <w:r>
              <w:rPr>
                <w:rFonts w:hint="eastAsia" w:ascii="宋体" w:hAnsi="宋体" w:eastAsia="宋体" w:cs="宋体"/>
                <w:i w:val="0"/>
                <w:color w:val="000000"/>
                <w:kern w:val="0"/>
                <w:sz w:val="18"/>
                <w:szCs w:val="18"/>
                <w:highlight w:val="none"/>
                <w:u w:val="none"/>
                <w:lang w:val="en-US" w:eastAsia="zh-CN" w:bidi="ar"/>
              </w:rPr>
              <w:t>%</w:t>
            </w:r>
          </w:p>
        </w:tc>
      </w:tr>
      <w:tr>
        <w:tblPrEx>
          <w:tblLayout w:type="fixed"/>
          <w:tblCellMar>
            <w:top w:w="0" w:type="dxa"/>
            <w:left w:w="0" w:type="dxa"/>
            <w:bottom w:w="0" w:type="dxa"/>
            <w:right w:w="0" w:type="dxa"/>
          </w:tblCellMar>
        </w:tblPrEx>
        <w:trPr>
          <w:trHeight w:val="560"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3626"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4.最大单家同业单一客户风险暴露与一级资本净额的比率</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18.76</w:t>
            </w:r>
            <w:r>
              <w:rPr>
                <w:rFonts w:hint="eastAsia" w:ascii="宋体" w:hAnsi="宋体" w:eastAsia="宋体" w:cs="宋体"/>
                <w:i w:val="0"/>
                <w:color w:val="000000"/>
                <w:kern w:val="0"/>
                <w:sz w:val="18"/>
                <w:szCs w:val="18"/>
                <w:highlight w:val="none"/>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12.43</w:t>
            </w:r>
            <w:r>
              <w:rPr>
                <w:rFonts w:hint="eastAsia" w:ascii="宋体" w:hAnsi="宋体" w:eastAsia="宋体" w:cs="宋体"/>
                <w:i w:val="0"/>
                <w:color w:val="000000"/>
                <w:kern w:val="0"/>
                <w:sz w:val="18"/>
                <w:szCs w:val="18"/>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16.79</w:t>
            </w:r>
            <w:r>
              <w:rPr>
                <w:rFonts w:hint="eastAsia" w:ascii="宋体" w:hAnsi="宋体" w:eastAsia="宋体" w:cs="宋体"/>
                <w:i w:val="0"/>
                <w:color w:val="000000"/>
                <w:kern w:val="0"/>
                <w:sz w:val="18"/>
                <w:szCs w:val="18"/>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12.83</w:t>
            </w:r>
            <w:r>
              <w:rPr>
                <w:rFonts w:hint="eastAsia" w:ascii="宋体" w:hAnsi="宋体" w:eastAsia="宋体" w:cs="宋体"/>
                <w:i w:val="0"/>
                <w:color w:val="000000"/>
                <w:kern w:val="0"/>
                <w:sz w:val="18"/>
                <w:szCs w:val="18"/>
                <w:highlight w:val="none"/>
                <w:u w:val="none"/>
                <w:lang w:val="en-US" w:eastAsia="zh-CN" w:bidi="ar"/>
              </w:rPr>
              <w:t>%</w:t>
            </w:r>
          </w:p>
        </w:tc>
      </w:tr>
      <w:tr>
        <w:tblPrEx>
          <w:tblLayout w:type="fixed"/>
          <w:tblCellMar>
            <w:top w:w="0" w:type="dxa"/>
            <w:left w:w="0" w:type="dxa"/>
            <w:bottom w:w="0" w:type="dxa"/>
            <w:right w:w="0" w:type="dxa"/>
          </w:tblCellMar>
        </w:tblPrEx>
        <w:trPr>
          <w:trHeight w:val="560"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3626"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5.最大单家同业集团客户风险暴露与一级资本净额的比率</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5.72</w:t>
            </w:r>
            <w:r>
              <w:rPr>
                <w:rFonts w:hint="eastAsia" w:ascii="宋体" w:hAnsi="宋体" w:eastAsia="宋体" w:cs="宋体"/>
                <w:i w:val="0"/>
                <w:color w:val="000000"/>
                <w:kern w:val="0"/>
                <w:sz w:val="18"/>
                <w:szCs w:val="18"/>
                <w:highlight w:val="none"/>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r>
    </w:tbl>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val="0"/>
          <w:sz w:val="32"/>
          <w:szCs w:val="32"/>
          <w:highlight w:val="none"/>
          <w:shd w:val="clear" w:color="auto" w:fill="FFFFFF"/>
          <w:lang w:val="en-US" w:eastAsia="zh-CN"/>
        </w:rPr>
      </w:pPr>
      <w:r>
        <w:rPr>
          <w:rFonts w:hint="eastAsia" w:ascii="仿宋_GB2312" w:hAnsi="仿宋_GB2312" w:eastAsia="仿宋_GB2312" w:cs="仿宋_GB2312"/>
          <w:b/>
          <w:bCs w:val="0"/>
          <w:kern w:val="0"/>
          <w:sz w:val="32"/>
          <w:szCs w:val="32"/>
          <w:highlight w:val="none"/>
          <w:lang w:val="en-US" w:eastAsia="zh-CN"/>
        </w:rPr>
        <w:t>（3）</w:t>
      </w:r>
      <w:r>
        <w:rPr>
          <w:rFonts w:hint="eastAsia" w:ascii="仿宋_GB2312" w:hAnsi="仿宋_GB2312" w:eastAsia="仿宋_GB2312" w:cs="仿宋_GB2312"/>
          <w:b/>
          <w:bCs w:val="0"/>
          <w:sz w:val="32"/>
          <w:szCs w:val="32"/>
          <w:highlight w:val="none"/>
          <w:shd w:val="clear" w:color="auto" w:fill="FFFFFF"/>
          <w:lang w:eastAsia="zh-CN"/>
        </w:rPr>
        <w:t>流动性风险、</w:t>
      </w:r>
      <w:r>
        <w:rPr>
          <w:rFonts w:hint="eastAsia" w:ascii="仿宋_GB2312" w:hAnsi="仿宋_GB2312" w:eastAsia="仿宋_GB2312" w:cs="仿宋_GB2312"/>
          <w:b/>
          <w:bCs w:val="0"/>
          <w:kern w:val="0"/>
          <w:sz w:val="32"/>
          <w:szCs w:val="32"/>
          <w:highlight w:val="none"/>
        </w:rPr>
        <w:t>市场风险</w:t>
      </w:r>
      <w:r>
        <w:rPr>
          <w:rFonts w:hint="eastAsia" w:ascii="仿宋_GB2312" w:hAnsi="仿宋_GB2312" w:eastAsia="仿宋_GB2312" w:cs="仿宋_GB2312"/>
          <w:b/>
          <w:bCs w:val="0"/>
          <w:kern w:val="0"/>
          <w:sz w:val="32"/>
          <w:szCs w:val="32"/>
          <w:highlight w:val="none"/>
          <w:lang w:eastAsia="zh-CN"/>
        </w:rPr>
        <w:t>状况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highlight w:val="none"/>
          <w:lang w:eastAsia="zh-CN"/>
        </w:rPr>
      </w:pPr>
      <w:r>
        <w:rPr>
          <w:rFonts w:hint="eastAsia" w:ascii="仿宋_GB2312" w:hAnsi="仿宋_GB2312" w:eastAsia="仿宋_GB2312" w:cs="仿宋_GB2312"/>
          <w:b w:val="0"/>
          <w:bCs/>
          <w:sz w:val="32"/>
          <w:szCs w:val="32"/>
          <w:highlight w:val="none"/>
          <w:shd w:val="clear" w:color="auto" w:fill="FFFFFF"/>
          <w:lang w:val="en-US" w:eastAsia="zh-CN"/>
        </w:rPr>
        <w:t>2023年度，本行流动性比例均未低于25% ；优质流动性资产充足率均未低于100%；银行账簿最大经济价值变动比例均未超过15%，具体如下：</w:t>
      </w:r>
    </w:p>
    <w:tbl>
      <w:tblPr>
        <w:tblStyle w:val="13"/>
        <w:tblW w:w="8928" w:type="dxa"/>
        <w:jc w:val="center"/>
        <w:tblInd w:w="0" w:type="dxa"/>
        <w:tblLayout w:type="fixed"/>
        <w:tblCellMar>
          <w:top w:w="0" w:type="dxa"/>
          <w:left w:w="0" w:type="dxa"/>
          <w:bottom w:w="0" w:type="dxa"/>
          <w:right w:w="0" w:type="dxa"/>
        </w:tblCellMar>
      </w:tblPr>
      <w:tblGrid>
        <w:gridCol w:w="585"/>
        <w:gridCol w:w="3303"/>
        <w:gridCol w:w="1260"/>
        <w:gridCol w:w="1260"/>
        <w:gridCol w:w="1260"/>
        <w:gridCol w:w="1260"/>
      </w:tblGrid>
      <w:tr>
        <w:tblPrEx>
          <w:tblLayout w:type="fixed"/>
          <w:tblCellMar>
            <w:top w:w="0" w:type="dxa"/>
            <w:left w:w="0" w:type="dxa"/>
            <w:bottom w:w="0" w:type="dxa"/>
            <w:right w:w="0" w:type="dxa"/>
          </w:tblCellMar>
        </w:tblPrEx>
        <w:trPr>
          <w:trHeight w:val="402" w:hRule="atLeast"/>
          <w:jc w:val="center"/>
        </w:trPr>
        <w:tc>
          <w:tcPr>
            <w:tcW w:w="38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highlight w:val="none"/>
                <w:u w:val="none"/>
              </w:rPr>
            </w:pPr>
            <w:r>
              <w:rPr>
                <w:rFonts w:hint="eastAsia" w:ascii="宋体" w:hAnsi="宋体" w:eastAsia="宋体" w:cs="宋体"/>
                <w:b/>
                <w:bCs/>
                <w:i w:val="0"/>
                <w:color w:val="000000"/>
                <w:kern w:val="0"/>
                <w:sz w:val="20"/>
                <w:szCs w:val="20"/>
                <w:highlight w:val="none"/>
                <w:u w:val="none"/>
                <w:lang w:val="en-US" w:eastAsia="zh-CN" w:bidi="ar"/>
              </w:rPr>
              <w:t>项</w:t>
            </w:r>
            <w:r>
              <w:rPr>
                <w:rFonts w:hint="default" w:ascii="Times New Roman" w:hAnsi="Times New Roman" w:eastAsia="宋体" w:cs="Times New Roman"/>
                <w:b/>
                <w:bCs/>
                <w:i w:val="0"/>
                <w:color w:val="000000"/>
                <w:kern w:val="0"/>
                <w:sz w:val="20"/>
                <w:szCs w:val="20"/>
                <w:highlight w:val="none"/>
                <w:u w:val="none"/>
                <w:lang w:val="en-US" w:eastAsia="zh-CN" w:bidi="ar"/>
              </w:rPr>
              <w:t xml:space="preserve"> </w:t>
            </w:r>
            <w:r>
              <w:rPr>
                <w:rFonts w:hint="eastAsia" w:ascii="宋体" w:hAnsi="宋体" w:eastAsia="宋体" w:cs="宋体"/>
                <w:b/>
                <w:bCs/>
                <w:i w:val="0"/>
                <w:color w:val="000000"/>
                <w:kern w:val="0"/>
                <w:sz w:val="20"/>
                <w:szCs w:val="20"/>
                <w:highlight w:val="none"/>
                <w:u w:val="none"/>
                <w:lang w:val="en-US" w:eastAsia="zh-CN" w:bidi="ar"/>
              </w:rPr>
              <w:t>目</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3</w:t>
            </w:r>
            <w:r>
              <w:rPr>
                <w:rFonts w:hint="default" w:ascii="Times New Roman" w:hAnsi="Times New Roman" w:eastAsia="宋体" w:cs="Times New Roman"/>
                <w:b/>
                <w:bCs/>
                <w:i w:val="0"/>
                <w:color w:val="000000"/>
                <w:kern w:val="0"/>
                <w:sz w:val="20"/>
                <w:szCs w:val="20"/>
                <w:highlight w:val="none"/>
                <w:u w:val="none"/>
                <w:lang w:val="en-US" w:eastAsia="zh-CN" w:bidi="ar"/>
              </w:rPr>
              <w:t>年3月</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3</w:t>
            </w:r>
            <w:r>
              <w:rPr>
                <w:rFonts w:hint="default" w:ascii="Times New Roman" w:hAnsi="Times New Roman" w:eastAsia="宋体" w:cs="Times New Roman"/>
                <w:b/>
                <w:bCs/>
                <w:i w:val="0"/>
                <w:color w:val="000000"/>
                <w:kern w:val="0"/>
                <w:sz w:val="20"/>
                <w:szCs w:val="20"/>
                <w:highlight w:val="none"/>
                <w:u w:val="none"/>
                <w:lang w:val="en-US" w:eastAsia="zh-CN" w:bidi="ar"/>
              </w:rPr>
              <w:t>年6月</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3</w:t>
            </w:r>
            <w:r>
              <w:rPr>
                <w:rFonts w:hint="default" w:ascii="Times New Roman" w:hAnsi="Times New Roman" w:eastAsia="宋体" w:cs="Times New Roman"/>
                <w:b/>
                <w:bCs/>
                <w:i w:val="0"/>
                <w:color w:val="000000"/>
                <w:kern w:val="0"/>
                <w:sz w:val="20"/>
                <w:szCs w:val="20"/>
                <w:highlight w:val="none"/>
                <w:u w:val="none"/>
                <w:lang w:val="en-US" w:eastAsia="zh-CN" w:bidi="ar"/>
              </w:rPr>
              <w:t>年9月</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Fonts w:hint="eastAsia" w:cs="Times New Roman"/>
                <w:b/>
                <w:bCs/>
                <w:i w:val="0"/>
                <w:color w:val="000000"/>
                <w:kern w:val="0"/>
                <w:sz w:val="20"/>
                <w:szCs w:val="20"/>
                <w:highlight w:val="none"/>
                <w:u w:val="none"/>
                <w:lang w:val="en-US" w:eastAsia="zh-CN" w:bidi="ar"/>
              </w:rPr>
              <w:t>3</w:t>
            </w:r>
            <w:r>
              <w:rPr>
                <w:rFonts w:hint="default" w:ascii="Times New Roman" w:hAnsi="Times New Roman" w:eastAsia="宋体" w:cs="Times New Roman"/>
                <w:b/>
                <w:bCs/>
                <w:i w:val="0"/>
                <w:color w:val="000000"/>
                <w:kern w:val="0"/>
                <w:sz w:val="20"/>
                <w:szCs w:val="20"/>
                <w:highlight w:val="none"/>
                <w:u w:val="none"/>
                <w:lang w:val="en-US" w:eastAsia="zh-CN" w:bidi="ar"/>
              </w:rPr>
              <w:t>年12月</w:t>
            </w:r>
          </w:p>
        </w:tc>
      </w:tr>
      <w:tr>
        <w:tblPrEx>
          <w:tblLayout w:type="fixed"/>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3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1.流动性比例</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42.73</w:t>
            </w:r>
            <w:r>
              <w:rPr>
                <w:rFonts w:ascii="宋体" w:hAnsi="宋体" w:eastAsia="宋体" w:cs="宋体"/>
                <w:i w:val="0"/>
                <w:color w:val="000000"/>
                <w:kern w:val="0"/>
                <w:sz w:val="18"/>
                <w:szCs w:val="18"/>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42.55</w:t>
            </w:r>
            <w:r>
              <w:rPr>
                <w:rFonts w:ascii="宋体" w:hAnsi="宋体" w:eastAsia="宋体" w:cs="宋体"/>
                <w:i w:val="0"/>
                <w:color w:val="000000"/>
                <w:kern w:val="0"/>
                <w:sz w:val="20"/>
                <w:szCs w:val="20"/>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43.62</w:t>
            </w:r>
            <w:r>
              <w:rPr>
                <w:rFonts w:ascii="宋体" w:hAnsi="宋体" w:eastAsia="宋体" w:cs="宋体"/>
                <w:i w:val="0"/>
                <w:color w:val="000000"/>
                <w:kern w:val="0"/>
                <w:sz w:val="20"/>
                <w:szCs w:val="20"/>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45.97</w:t>
            </w:r>
            <w:r>
              <w:rPr>
                <w:rFonts w:ascii="宋体" w:hAnsi="宋体" w:eastAsia="宋体" w:cs="宋体"/>
                <w:i w:val="0"/>
                <w:color w:val="000000"/>
                <w:kern w:val="0"/>
                <w:sz w:val="20"/>
                <w:szCs w:val="20"/>
                <w:highlight w:val="none"/>
                <w:u w:val="none"/>
                <w:lang w:val="en-US" w:eastAsia="zh-CN" w:bidi="ar"/>
              </w:rPr>
              <w:t>%</w:t>
            </w:r>
          </w:p>
        </w:tc>
      </w:tr>
      <w:tr>
        <w:tblPrEx>
          <w:tblLayout w:type="fixed"/>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3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2.优质流动性资产充足率</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266.82</w:t>
            </w:r>
            <w:r>
              <w:rPr>
                <w:rFonts w:ascii="宋体" w:hAnsi="宋体" w:eastAsia="宋体" w:cs="宋体"/>
                <w:i w:val="0"/>
                <w:color w:val="000000"/>
                <w:kern w:val="0"/>
                <w:sz w:val="18"/>
                <w:szCs w:val="18"/>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172.73</w:t>
            </w:r>
            <w:r>
              <w:rPr>
                <w:rFonts w:ascii="宋体" w:hAnsi="宋体" w:eastAsia="宋体" w:cs="宋体"/>
                <w:i w:val="0"/>
                <w:color w:val="000000"/>
                <w:kern w:val="0"/>
                <w:sz w:val="20"/>
                <w:szCs w:val="20"/>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146.49</w:t>
            </w:r>
            <w:r>
              <w:rPr>
                <w:rFonts w:ascii="宋体" w:hAnsi="宋体" w:eastAsia="宋体" w:cs="宋体"/>
                <w:i w:val="0"/>
                <w:color w:val="000000"/>
                <w:kern w:val="0"/>
                <w:sz w:val="20"/>
                <w:szCs w:val="20"/>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184.54</w:t>
            </w:r>
            <w:r>
              <w:rPr>
                <w:rFonts w:ascii="宋体" w:hAnsi="宋体" w:eastAsia="宋体" w:cs="宋体"/>
                <w:i w:val="0"/>
                <w:color w:val="000000"/>
                <w:kern w:val="0"/>
                <w:sz w:val="20"/>
                <w:szCs w:val="20"/>
                <w:highlight w:val="none"/>
                <w:u w:val="none"/>
                <w:lang w:val="en-US" w:eastAsia="zh-CN" w:bidi="ar"/>
              </w:rPr>
              <w:t>%</w:t>
            </w:r>
          </w:p>
        </w:tc>
      </w:tr>
      <w:tr>
        <w:tblPrEx>
          <w:tblLayout w:type="fixed"/>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3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3.银行账簿最大经济价值变动比例</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13.44</w:t>
            </w:r>
            <w:r>
              <w:rPr>
                <w:rFonts w:ascii="宋体" w:hAnsi="宋体" w:eastAsia="宋体" w:cs="宋体"/>
                <w:i w:val="0"/>
                <w:color w:val="000000"/>
                <w:kern w:val="0"/>
                <w:sz w:val="18"/>
                <w:szCs w:val="18"/>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highlight w:val="none"/>
                <w:u w:val="none"/>
              </w:rPr>
            </w:pPr>
            <w:r>
              <w:rPr>
                <w:rFonts w:ascii="宋体" w:hAnsi="宋体" w:eastAsia="宋体" w:cs="宋体"/>
                <w:i w:val="0"/>
                <w:color w:val="000000"/>
                <w:kern w:val="0"/>
                <w:sz w:val="20"/>
                <w:szCs w:val="20"/>
                <w:highlight w:val="none"/>
                <w:u w:val="none"/>
                <w:lang w:val="en-US" w:eastAsia="zh-CN" w:bidi="ar"/>
              </w:rPr>
              <w:t>14.</w:t>
            </w:r>
            <w:r>
              <w:rPr>
                <w:rFonts w:hint="eastAsia" w:ascii="宋体" w:hAnsi="宋体" w:cs="宋体"/>
                <w:i w:val="0"/>
                <w:color w:val="000000"/>
                <w:kern w:val="0"/>
                <w:sz w:val="20"/>
                <w:szCs w:val="20"/>
                <w:highlight w:val="none"/>
                <w:u w:val="none"/>
                <w:lang w:val="en-US" w:eastAsia="zh-CN" w:bidi="ar"/>
              </w:rPr>
              <w:t>38</w:t>
            </w:r>
            <w:r>
              <w:rPr>
                <w:rFonts w:ascii="宋体" w:hAnsi="宋体" w:eastAsia="宋体" w:cs="宋体"/>
                <w:i w:val="0"/>
                <w:color w:val="000000"/>
                <w:kern w:val="0"/>
                <w:sz w:val="20"/>
                <w:szCs w:val="20"/>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highlight w:val="none"/>
                <w:u w:val="none"/>
              </w:rPr>
            </w:pPr>
            <w:r>
              <w:rPr>
                <w:rFonts w:ascii="宋体" w:hAnsi="宋体" w:eastAsia="宋体" w:cs="宋体"/>
                <w:i w:val="0"/>
                <w:color w:val="000000"/>
                <w:kern w:val="0"/>
                <w:sz w:val="20"/>
                <w:szCs w:val="20"/>
                <w:highlight w:val="none"/>
                <w:u w:val="none"/>
                <w:lang w:val="en-US" w:eastAsia="zh-CN" w:bidi="ar"/>
              </w:rPr>
              <w:t>14.</w:t>
            </w:r>
            <w:r>
              <w:rPr>
                <w:rFonts w:hint="eastAsia" w:ascii="宋体" w:hAnsi="宋体" w:cs="宋体"/>
                <w:i w:val="0"/>
                <w:color w:val="000000"/>
                <w:kern w:val="0"/>
                <w:sz w:val="20"/>
                <w:szCs w:val="20"/>
                <w:highlight w:val="none"/>
                <w:u w:val="none"/>
                <w:lang w:val="en-US" w:eastAsia="zh-CN" w:bidi="ar"/>
              </w:rPr>
              <w:t>49</w:t>
            </w:r>
            <w:r>
              <w:rPr>
                <w:rFonts w:ascii="宋体" w:hAnsi="宋体" w:eastAsia="宋体" w:cs="宋体"/>
                <w:i w:val="0"/>
                <w:color w:val="000000"/>
                <w:kern w:val="0"/>
                <w:sz w:val="20"/>
                <w:szCs w:val="20"/>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highlight w:val="none"/>
                <w:u w:val="none"/>
              </w:rPr>
            </w:pPr>
            <w:r>
              <w:rPr>
                <w:rFonts w:ascii="宋体" w:hAnsi="宋体" w:eastAsia="宋体" w:cs="宋体"/>
                <w:i w:val="0"/>
                <w:color w:val="000000"/>
                <w:kern w:val="0"/>
                <w:sz w:val="20"/>
                <w:szCs w:val="20"/>
                <w:highlight w:val="none"/>
                <w:u w:val="none"/>
                <w:lang w:val="en-US" w:eastAsia="zh-CN" w:bidi="ar"/>
              </w:rPr>
              <w:t>14.</w:t>
            </w:r>
            <w:r>
              <w:rPr>
                <w:rFonts w:hint="eastAsia" w:ascii="宋体" w:hAnsi="宋体" w:cs="宋体"/>
                <w:i w:val="0"/>
                <w:color w:val="000000"/>
                <w:kern w:val="0"/>
                <w:sz w:val="20"/>
                <w:szCs w:val="20"/>
                <w:highlight w:val="none"/>
                <w:u w:val="none"/>
                <w:lang w:val="en-US" w:eastAsia="zh-CN" w:bidi="ar"/>
              </w:rPr>
              <w:t>27</w:t>
            </w:r>
            <w:r>
              <w:rPr>
                <w:rFonts w:ascii="宋体" w:hAnsi="宋体" w:eastAsia="宋体" w:cs="宋体"/>
                <w:i w:val="0"/>
                <w:color w:val="000000"/>
                <w:kern w:val="0"/>
                <w:sz w:val="20"/>
                <w:szCs w:val="20"/>
                <w:highlight w:val="none"/>
                <w:u w:val="none"/>
                <w:lang w:val="en-US" w:eastAsia="zh-CN" w:bidi="ar"/>
              </w:rPr>
              <w:t>%</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eastAsia="楷体_GB2312"/>
          <w:b/>
          <w:sz w:val="32"/>
          <w:szCs w:val="32"/>
          <w:highlight w:val="none"/>
          <w:lang w:eastAsia="zh-CN"/>
        </w:rPr>
      </w:pPr>
      <w:r>
        <w:rPr>
          <w:rFonts w:hint="eastAsia" w:ascii="楷体_GB2312" w:eastAsia="楷体_GB2312"/>
          <w:b/>
          <w:sz w:val="32"/>
          <w:szCs w:val="32"/>
          <w:highlight w:val="none"/>
          <w:lang w:eastAsia="zh-CN"/>
        </w:rPr>
        <w:t>（三）薪酬情况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eastAsia="zh-CN"/>
        </w:rPr>
      </w:pPr>
      <w:r>
        <w:rPr>
          <w:rFonts w:hint="eastAsia" w:ascii="仿宋_GB2312" w:hAnsi="仿宋" w:eastAsia="仿宋_GB2312"/>
          <w:b/>
          <w:bCs/>
          <w:color w:val="auto"/>
          <w:spacing w:val="0"/>
          <w:sz w:val="32"/>
          <w:szCs w:val="32"/>
          <w:highlight w:val="none"/>
          <w:lang w:val="en-US" w:eastAsia="zh-CN"/>
        </w:rPr>
        <w:t>1.</w:t>
      </w:r>
      <w:r>
        <w:rPr>
          <w:rFonts w:hint="eastAsia" w:ascii="仿宋_GB2312" w:hAnsi="仿宋" w:eastAsia="仿宋_GB2312"/>
          <w:b/>
          <w:bCs/>
          <w:color w:val="auto"/>
          <w:spacing w:val="0"/>
          <w:sz w:val="32"/>
          <w:szCs w:val="32"/>
          <w:highlight w:val="none"/>
        </w:rPr>
        <w:t>薪酬</w:t>
      </w:r>
      <w:r>
        <w:rPr>
          <w:rFonts w:hint="eastAsia" w:ascii="仿宋_GB2312" w:hAnsi="仿宋" w:eastAsia="仿宋_GB2312"/>
          <w:b/>
          <w:bCs/>
          <w:color w:val="auto"/>
          <w:spacing w:val="0"/>
          <w:sz w:val="32"/>
          <w:szCs w:val="32"/>
          <w:highlight w:val="none"/>
          <w:lang w:eastAsia="zh-CN"/>
        </w:rPr>
        <w:t>管理框架及决策程序</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hAnsi="仿宋" w:eastAsia="仿宋_GB2312"/>
          <w:color w:val="auto"/>
          <w:spacing w:val="0"/>
          <w:sz w:val="32"/>
          <w:szCs w:val="32"/>
          <w:highlight w:val="none"/>
        </w:rPr>
        <w:t>成立绩效考核领导小组（简称绩效考核小组），由董事长任组长，行长任常务副组长，其他领导班子任副组长，成员为各部室负责人。领导小组下设办公室于人力资源部。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2.年度薪酬总量、受益人及薪酬结构分布</w:t>
      </w:r>
    </w:p>
    <w:p>
      <w:pPr>
        <w:pStyle w:val="4"/>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报告期内，本行薪酬总量为4017万元。分布结构为：基本薪酬 1603万元；绩效薪酬2393万元，奖金21万元。</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3.薪酬与业绩衡量、风险调整的标准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本行薪酬制定坚持“合规管理、风险可控”的原则，统筹业务发展与风险防控，做到稳健经营、合规引领，建立兼顾效益与风险，当期成果与可持续发展的绩效考核指标体系，全面客观地实施绩效考核。坚持“全额挂钩、考核到人”的原则。除员工的基本薪酬以外，绩效薪酬同工同酬，全额与业绩挂钩，将绩效薪酬考核的目标、内容、方法、标准等直接落实到每一个员工，直接将绩效薪酬计发到员工个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4.薪酬延期支付和非现金薪酬情况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鉴于经营风险，特别是贷款风险的滞后性，本行按照短期利益与长期目标相结合的原则，对主要高级管理人员绩效薪酬延期支付比例为</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rPr>
        <w:t>%，其他高级管理人员和关键岗位人员比例为40%，绩效薪酬延期支付期限均为三年。202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年度本行计提延期支付薪酬金额</w:t>
      </w:r>
      <w:r>
        <w:rPr>
          <w:rFonts w:hint="eastAsia" w:ascii="仿宋_GB2312" w:eastAsia="仿宋_GB2312"/>
          <w:sz w:val="32"/>
          <w:szCs w:val="32"/>
          <w:highlight w:val="none"/>
          <w:lang w:val="en-US" w:eastAsia="zh-CN"/>
        </w:rPr>
        <w:t>242.1</w:t>
      </w:r>
      <w:r>
        <w:rPr>
          <w:rFonts w:hint="eastAsia" w:ascii="仿宋_GB2312" w:eastAsia="仿宋_GB2312"/>
          <w:sz w:val="32"/>
          <w:szCs w:val="32"/>
          <w:highlight w:val="none"/>
        </w:rPr>
        <w:t>万元，支付延期支付薪酬金额</w:t>
      </w:r>
      <w:r>
        <w:rPr>
          <w:rFonts w:hint="eastAsia" w:ascii="仿宋_GB2312" w:eastAsia="仿宋_GB2312"/>
          <w:sz w:val="32"/>
          <w:szCs w:val="32"/>
          <w:highlight w:val="none"/>
          <w:lang w:val="en-US" w:eastAsia="zh-CN"/>
        </w:rPr>
        <w:t>183.12</w:t>
      </w:r>
      <w:r>
        <w:rPr>
          <w:rFonts w:hint="eastAsia" w:ascii="仿宋_GB2312" w:eastAsia="仿宋_GB2312"/>
          <w:sz w:val="32"/>
          <w:szCs w:val="32"/>
          <w:highlight w:val="none"/>
        </w:rPr>
        <w:t>万元（包含近三年延期支付分期兑现）。</w:t>
      </w:r>
      <w:r>
        <w:rPr>
          <w:rFonts w:hint="eastAsia" w:ascii="仿宋_GB2312" w:eastAsia="仿宋_GB2312"/>
          <w:sz w:val="32"/>
          <w:szCs w:val="32"/>
          <w:highlight w:val="none"/>
          <w:lang w:eastAsia="zh-CN"/>
        </w:rPr>
        <w:t>报告期内，本行未执行非现金薪酬。</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5.董事会、高级管理层和对银行风险有重要影响岗位员工薪酬情况</w:t>
      </w:r>
    </w:p>
    <w:p>
      <w:pPr>
        <w:pStyle w:val="4"/>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2023年度，</w:t>
      </w:r>
      <w:r>
        <w:rPr>
          <w:rFonts w:hint="eastAsia" w:ascii="仿宋_GB2312" w:eastAsia="仿宋_GB2312" w:cs="Times New Roman"/>
          <w:kern w:val="2"/>
          <w:sz w:val="32"/>
          <w:szCs w:val="32"/>
          <w:highlight w:val="none"/>
          <w:lang w:val="en-US" w:eastAsia="zh-CN" w:bidi="ar-SA"/>
        </w:rPr>
        <w:t>本行董事会、高级管理层等关键管理人员薪酬按照省联社核定标准计发，本行绩效薪酬分配倾向于对风险有重要影响岗位和一线创造效益的员工。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6.年度薪酬方案制定、备案及经济、风险和社会责任指标完成考核情况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年度，本行严格遵照《商业银行稳健薪酬监管指引》《关于建立完善银行保险机构绩效薪酬追索扣回机制指导意见》等相关规定，</w:t>
      </w:r>
      <w:r>
        <w:rPr>
          <w:rFonts w:hint="eastAsia" w:ascii="仿宋_GB2312" w:eastAsia="仿宋_GB2312"/>
          <w:sz w:val="32"/>
          <w:szCs w:val="32"/>
          <w:highlight w:val="none"/>
          <w:lang w:eastAsia="zh-CN"/>
        </w:rPr>
        <w:t>制定了《寻乌农商银行2023年绩效考核方案》，</w:t>
      </w:r>
      <w:r>
        <w:rPr>
          <w:rFonts w:hint="eastAsia" w:ascii="仿宋_GB2312" w:eastAsia="仿宋_GB2312"/>
          <w:sz w:val="32"/>
          <w:szCs w:val="32"/>
          <w:highlight w:val="none"/>
        </w:rPr>
        <w:t>绩效考核内容覆盖合规经营、风险管理、经营效益、转型发展和社会责任五大类指标。</w:t>
      </w:r>
      <w:r>
        <w:rPr>
          <w:rFonts w:hint="eastAsia" w:ascii="仿宋_GB2312" w:eastAsia="仿宋_GB2312"/>
          <w:sz w:val="32"/>
          <w:szCs w:val="32"/>
          <w:highlight w:val="none"/>
          <w:lang w:eastAsia="zh-CN"/>
        </w:rPr>
        <w:t>其中</w:t>
      </w:r>
      <w:r>
        <w:rPr>
          <w:rFonts w:hint="eastAsia" w:ascii="仿宋_GB2312" w:hAnsi="仿宋_GB2312" w:eastAsia="仿宋_GB2312" w:cs="仿宋_GB2312"/>
          <w:b w:val="0"/>
          <w:bCs w:val="0"/>
          <w:kern w:val="2"/>
          <w:sz w:val="32"/>
          <w:szCs w:val="32"/>
          <w:highlight w:val="none"/>
          <w:lang w:val="en-US" w:eastAsia="zh-CN" w:bidi="ar"/>
        </w:rPr>
        <w:t>合规经营类指标和风险管理类指标权重合计45%，明显高于其他类指标。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7.超出原定薪酬方案的例外情况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
        </w:rPr>
        <w:t>报告期内，本行无超出原定薪酬方案的例外情况。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lang w:val="en-US" w:eastAsia="zh-CN"/>
        </w:rPr>
        <w:t>8.其他</w:t>
      </w:r>
      <w:r>
        <w:rPr>
          <w:rFonts w:hint="eastAsia" w:ascii="仿宋_GB2312" w:hAnsi="Times New Roman" w:eastAsia="仿宋_GB2312" w:cs="Times New Roman"/>
          <w:b/>
          <w:bCs/>
          <w:sz w:val="32"/>
          <w:szCs w:val="32"/>
          <w:highlight w:val="none"/>
        </w:rPr>
        <w:t>重要事项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1</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报告期内，无重大诉讼、仲裁事项。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报告期内，未发生重大案件、重大差错等情况。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报告期内本行各项业务合同履行情况正常，无重大合同纠纷发生。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报告期内，本行董事、监事、高管人员未受到监管部门和司法部门处罚。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5</w:t>
      </w:r>
      <w:r>
        <w:rPr>
          <w:rFonts w:hint="eastAsia" w:ascii="仿宋_GB2312" w:eastAsia="仿宋_GB2312" w:cs="Times New Roman"/>
          <w:sz w:val="32"/>
          <w:szCs w:val="32"/>
          <w:highlight w:val="none"/>
          <w:lang w:eastAsia="zh-CN"/>
        </w:rPr>
        <w:t>）</w:t>
      </w:r>
      <w:r>
        <w:rPr>
          <w:rFonts w:ascii="仿宋_GB2312" w:eastAsia="仿宋_GB2312"/>
          <w:sz w:val="32"/>
          <w:szCs w:val="32"/>
          <w:highlight w:val="none"/>
        </w:rPr>
        <w:t>报告期内，因工作调整</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曾海金</w:t>
      </w:r>
      <w:r>
        <w:rPr>
          <w:rFonts w:hint="eastAsia" w:ascii="仿宋_GB2312" w:eastAsia="仿宋_GB2312"/>
          <w:sz w:val="32"/>
          <w:szCs w:val="32"/>
          <w:highlight w:val="none"/>
          <w:lang w:eastAsia="zh-CN"/>
        </w:rPr>
        <w:t>担任寻乌农商银行</w:t>
      </w:r>
      <w:r>
        <w:rPr>
          <w:rFonts w:hint="eastAsia" w:ascii="仿宋_GB2312" w:eastAsia="仿宋_GB2312"/>
          <w:sz w:val="32"/>
          <w:szCs w:val="32"/>
          <w:highlight w:val="none"/>
          <w:lang w:val="en-US" w:eastAsia="zh-CN"/>
        </w:rPr>
        <w:t>董事长</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谢珍祥、吴春燕担任寻乌农商银行第二届董事会独立董事，李建、严稽林、陈志凌、潘其煌不再担任寻乌农商银行董事会成员；严艳娟担任寻乌农商银行第二届监事会职工监事，曾令达、刘海珊担任寻乌农商银行第二届监事会外部监事，陈志凌担任寻乌农商银行第二届监事会监事，郭建丽、邱畅华、范东升、邝美</w:t>
      </w:r>
      <w:r>
        <w:rPr>
          <w:rFonts w:hint="eastAsia" w:ascii="仿宋_GB2312" w:hAnsi="Times New Roman" w:eastAsia="仿宋_GB2312" w:cs="Times New Roman"/>
          <w:sz w:val="32"/>
          <w:szCs w:val="32"/>
          <w:highlight w:val="none"/>
          <w:lang w:val="en-US" w:eastAsia="zh-CN"/>
        </w:rPr>
        <w:t>珍不再担任寻乌农商银行监事会成员。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6</w:t>
      </w:r>
      <w:r>
        <w:rPr>
          <w:rFonts w:hint="eastAsia" w:ascii="仿宋_GB2312" w:hAnsi="Times New Roman" w:eastAsia="仿宋_GB2312" w:cs="Times New Roman"/>
          <w:sz w:val="32"/>
          <w:szCs w:val="32"/>
          <w:highlight w:val="none"/>
          <w:lang w:eastAsia="zh-CN"/>
        </w:rPr>
        <w:t>）报告期内，长兴支行终止营业，其业务并入营业部。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rPr>
        <w:t>除上述事项外，截至202</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年12月31日，本行无需要披露的其他重要事项。</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2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Arial Black">
    <w:panose1 w:val="020B0A04020102020204"/>
    <w:charset w:val="00"/>
    <w:family w:val="auto"/>
    <w:pitch w:val="default"/>
    <w:sig w:usb0="00000287" w:usb1="00000000" w:usb2="00000000" w:usb3="00000000" w:csb0="2000009F" w:csb1="DFD70000"/>
  </w:font>
  <w:font w:name="楷体_gb2312">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10FCC"/>
    <w:multiLevelType w:val="singleLevel"/>
    <w:tmpl w:val="66710FCC"/>
    <w:lvl w:ilvl="0" w:tentative="0">
      <w:start w:val="5"/>
      <w:numFmt w:val="decimal"/>
      <w:suff w:val="nothing"/>
      <w:lvlText w:val="%1."/>
      <w:lvlJc w:val="left"/>
    </w:lvl>
  </w:abstractNum>
  <w:abstractNum w:abstractNumId="1">
    <w:nsid w:val="667110F5"/>
    <w:multiLevelType w:val="singleLevel"/>
    <w:tmpl w:val="667110F5"/>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ZjA5YTE3NGRmNTE2NTVjZmE1Mjg0MzNiNDg5MTMifQ=="/>
  </w:docVars>
  <w:rsids>
    <w:rsidRoot w:val="21187439"/>
    <w:rsid w:val="00A7213D"/>
    <w:rsid w:val="00CF7B33"/>
    <w:rsid w:val="01D7278C"/>
    <w:rsid w:val="034A3C76"/>
    <w:rsid w:val="03C2759E"/>
    <w:rsid w:val="04E37CBE"/>
    <w:rsid w:val="04E6781C"/>
    <w:rsid w:val="04F15178"/>
    <w:rsid w:val="0537073D"/>
    <w:rsid w:val="05526554"/>
    <w:rsid w:val="084560A8"/>
    <w:rsid w:val="085751F0"/>
    <w:rsid w:val="0918763F"/>
    <w:rsid w:val="095C5BE8"/>
    <w:rsid w:val="0D933D59"/>
    <w:rsid w:val="0E311E61"/>
    <w:rsid w:val="102F78F5"/>
    <w:rsid w:val="10781E41"/>
    <w:rsid w:val="11C112BE"/>
    <w:rsid w:val="12B16E4A"/>
    <w:rsid w:val="13F32E07"/>
    <w:rsid w:val="144B736C"/>
    <w:rsid w:val="14AA216D"/>
    <w:rsid w:val="14D92E5B"/>
    <w:rsid w:val="161B184E"/>
    <w:rsid w:val="18A3607E"/>
    <w:rsid w:val="18F10BBF"/>
    <w:rsid w:val="18F55FDC"/>
    <w:rsid w:val="19445ABB"/>
    <w:rsid w:val="19794D37"/>
    <w:rsid w:val="1B1C34C7"/>
    <w:rsid w:val="1C7D1E5D"/>
    <w:rsid w:val="1C81418F"/>
    <w:rsid w:val="1CB7261F"/>
    <w:rsid w:val="1CF446B2"/>
    <w:rsid w:val="1E0B7E49"/>
    <w:rsid w:val="21187439"/>
    <w:rsid w:val="227028F7"/>
    <w:rsid w:val="22A15BF1"/>
    <w:rsid w:val="239671C7"/>
    <w:rsid w:val="24DD67FD"/>
    <w:rsid w:val="25C33197"/>
    <w:rsid w:val="25D24016"/>
    <w:rsid w:val="26354C2D"/>
    <w:rsid w:val="27C16861"/>
    <w:rsid w:val="27D46E2A"/>
    <w:rsid w:val="280B262F"/>
    <w:rsid w:val="2B8874C5"/>
    <w:rsid w:val="2C471F68"/>
    <w:rsid w:val="2D47253A"/>
    <w:rsid w:val="306E533B"/>
    <w:rsid w:val="316164CC"/>
    <w:rsid w:val="327754EF"/>
    <w:rsid w:val="32A55811"/>
    <w:rsid w:val="36F249C1"/>
    <w:rsid w:val="36FF1B7F"/>
    <w:rsid w:val="37703889"/>
    <w:rsid w:val="37C76943"/>
    <w:rsid w:val="38AF3DA3"/>
    <w:rsid w:val="3BCA1D38"/>
    <w:rsid w:val="3BDA6C7F"/>
    <w:rsid w:val="3BE031AB"/>
    <w:rsid w:val="3CBC7B2B"/>
    <w:rsid w:val="3E9D2937"/>
    <w:rsid w:val="3EB96BF2"/>
    <w:rsid w:val="3F2D2BB2"/>
    <w:rsid w:val="41A75912"/>
    <w:rsid w:val="41DB6B4F"/>
    <w:rsid w:val="428C0CBE"/>
    <w:rsid w:val="43D97E26"/>
    <w:rsid w:val="45FD2200"/>
    <w:rsid w:val="476A1E43"/>
    <w:rsid w:val="47A75E14"/>
    <w:rsid w:val="47CA40E5"/>
    <w:rsid w:val="47E92A25"/>
    <w:rsid w:val="48776FC8"/>
    <w:rsid w:val="49B25D61"/>
    <w:rsid w:val="4C911C26"/>
    <w:rsid w:val="4CCA0D79"/>
    <w:rsid w:val="4D3A6F3B"/>
    <w:rsid w:val="4D7B27DE"/>
    <w:rsid w:val="5021370E"/>
    <w:rsid w:val="503301CE"/>
    <w:rsid w:val="50D52CA9"/>
    <w:rsid w:val="51194D68"/>
    <w:rsid w:val="516602C6"/>
    <w:rsid w:val="5248401B"/>
    <w:rsid w:val="52B669EE"/>
    <w:rsid w:val="545D46C8"/>
    <w:rsid w:val="548E33C1"/>
    <w:rsid w:val="54C043A2"/>
    <w:rsid w:val="54DD74B7"/>
    <w:rsid w:val="55404E30"/>
    <w:rsid w:val="55775D97"/>
    <w:rsid w:val="55D929FB"/>
    <w:rsid w:val="567674C5"/>
    <w:rsid w:val="56A67674"/>
    <w:rsid w:val="5746213C"/>
    <w:rsid w:val="5781547F"/>
    <w:rsid w:val="57AC55A6"/>
    <w:rsid w:val="58016FE6"/>
    <w:rsid w:val="5A6776D7"/>
    <w:rsid w:val="5A997268"/>
    <w:rsid w:val="5B473750"/>
    <w:rsid w:val="5B583BEB"/>
    <w:rsid w:val="5C064E9E"/>
    <w:rsid w:val="5CFF019C"/>
    <w:rsid w:val="5EE16154"/>
    <w:rsid w:val="5EF00AD7"/>
    <w:rsid w:val="5F06135B"/>
    <w:rsid w:val="5FF32431"/>
    <w:rsid w:val="60B50190"/>
    <w:rsid w:val="61397AE4"/>
    <w:rsid w:val="62C57906"/>
    <w:rsid w:val="643C2349"/>
    <w:rsid w:val="64930778"/>
    <w:rsid w:val="65262B40"/>
    <w:rsid w:val="65C63010"/>
    <w:rsid w:val="66B64B70"/>
    <w:rsid w:val="67256946"/>
    <w:rsid w:val="69E330DC"/>
    <w:rsid w:val="6A0E4722"/>
    <w:rsid w:val="6B127BE8"/>
    <w:rsid w:val="6B180AB1"/>
    <w:rsid w:val="6C0B1BBC"/>
    <w:rsid w:val="6D694BAA"/>
    <w:rsid w:val="71AF3B81"/>
    <w:rsid w:val="724A54B2"/>
    <w:rsid w:val="74AE3461"/>
    <w:rsid w:val="75A04CCE"/>
    <w:rsid w:val="7765313E"/>
    <w:rsid w:val="79A35BD5"/>
    <w:rsid w:val="79EF4034"/>
    <w:rsid w:val="7C4631E8"/>
    <w:rsid w:val="7C6110C3"/>
    <w:rsid w:val="7CBA15B9"/>
    <w:rsid w:val="7CEC5AE4"/>
    <w:rsid w:val="7D6D425E"/>
    <w:rsid w:val="7EA01CCB"/>
    <w:rsid w:val="7EEB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9"/>
    <w:pPr>
      <w:autoSpaceDE w:val="0"/>
      <w:autoSpaceDN w:val="0"/>
      <w:ind w:left="20"/>
      <w:jc w:val="left"/>
      <w:outlineLvl w:val="3"/>
    </w:pPr>
    <w:rPr>
      <w:rFonts w:ascii="宋体" w:hAnsi="宋体" w:eastAsia="宋体" w:cs="宋体"/>
      <w:b/>
      <w:bCs/>
      <w:kern w:val="0"/>
      <w:sz w:val="22"/>
      <w:lang w:val="zh-TW" w:eastAsia="zh-TW"/>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4">
    <w:name w:val="Normal Indent"/>
    <w:basedOn w:val="1"/>
    <w:next w:val="1"/>
    <w:qFormat/>
    <w:uiPriority w:val="0"/>
    <w:pPr>
      <w:ind w:firstLine="420" w:firstLineChars="200"/>
    </w:pPr>
    <w:rPr>
      <w:rFonts w:eastAsia="宋体"/>
      <w:sz w:val="21"/>
      <w:szCs w:val="24"/>
    </w:rPr>
  </w:style>
  <w:style w:type="paragraph" w:styleId="5">
    <w:name w:val="annotation text"/>
    <w:basedOn w:val="1"/>
    <w:qFormat/>
    <w:uiPriority w:val="0"/>
    <w:pPr>
      <w:jc w:val="left"/>
    </w:pPr>
  </w:style>
  <w:style w:type="paragraph" w:styleId="6">
    <w:name w:val="Body Text Indent"/>
    <w:basedOn w:val="1"/>
    <w:next w:val="4"/>
    <w:qFormat/>
    <w:uiPriority w:val="0"/>
    <w:pPr>
      <w:ind w:firstLine="615"/>
    </w:pPr>
    <w:rPr>
      <w:rFonts w:ascii="仿宋_GB2312" w:eastAsia="仿宋_GB2312"/>
      <w:sz w:val="30"/>
      <w:szCs w:val="30"/>
    </w:rPr>
  </w:style>
  <w:style w:type="paragraph" w:styleId="7">
    <w:name w:val="Plain Text"/>
    <w:basedOn w:val="1"/>
    <w:qFormat/>
    <w:uiPriority w:val="0"/>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font31"/>
    <w:basedOn w:val="11"/>
    <w:qFormat/>
    <w:uiPriority w:val="0"/>
    <w:rPr>
      <w:rFonts w:hint="default" w:ascii="Times New Roman" w:hAnsi="Times New Roman" w:cs="Times New Roman"/>
      <w:color w:val="000000"/>
      <w:sz w:val="20"/>
      <w:szCs w:val="20"/>
      <w:u w:val="none"/>
    </w:rPr>
  </w:style>
  <w:style w:type="character" w:customStyle="1" w:styleId="16">
    <w:name w:val="font51"/>
    <w:basedOn w:val="11"/>
    <w:qFormat/>
    <w:uiPriority w:val="0"/>
    <w:rPr>
      <w:rFonts w:hint="eastAsia" w:ascii="宋体" w:hAnsi="宋体" w:eastAsia="宋体" w:cs="宋体"/>
      <w:color w:val="000000"/>
      <w:sz w:val="20"/>
      <w:szCs w:val="20"/>
      <w:u w:val="none"/>
    </w:rPr>
  </w:style>
  <w:style w:type="character" w:customStyle="1" w:styleId="17">
    <w:name w:val="font11"/>
    <w:basedOn w:val="11"/>
    <w:qFormat/>
    <w:uiPriority w:val="0"/>
    <w:rPr>
      <w:rFonts w:hint="eastAsia" w:ascii="宋体" w:hAnsi="宋体" w:eastAsia="宋体" w:cs="宋体"/>
      <w:color w:val="000000"/>
      <w:sz w:val="18"/>
      <w:szCs w:val="18"/>
      <w:u w:val="none"/>
    </w:rPr>
  </w:style>
  <w:style w:type="character" w:customStyle="1" w:styleId="18">
    <w:name w:val="font2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27675</Words>
  <Characters>33383</Characters>
  <Lines>0</Lines>
  <Paragraphs>0</Paragraphs>
  <TotalTime>2</TotalTime>
  <ScaleCrop>false</ScaleCrop>
  <LinksUpToDate>false</LinksUpToDate>
  <CharactersWithSpaces>33797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2023-05-23T01:40:00Z</dcterms:created>
  <dc:creator>寻乌农商银行</dc:creator>
  <cp:lastModifiedBy>匿名用户</cp:lastModifiedBy>
  <cp:lastPrinted>2024-05-20T02:59:00Z</cp:lastPrinted>
  <dcterms:modified xsi:type="dcterms:W3CDTF">2024-07-10T04:31:58Z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87B2176F988F4D81A3F0FF32A6E0E531</vt:lpwstr>
  </property>
</Properties>
</file>