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6.0.0 -->
  <w:body>
    <w:p>
      <w:pPr>
        <w:pStyle w:val="dazhangjie"/>
        <w:rPr>
          <w:rFonts w:cs="Times New Roman"/>
          <w:b/>
          <w:bCs/>
        </w:rPr>
      </w:pPr>
      <w:r>
        <w:pict>
          <v:shapetype id="_x0000_t202" coordsize="21600,21600" o:spt="202" path="m,l,21600r21600,l21600,xe">
            <v:stroke joinstyle="miter"/>
            <v:path gradientshapeok="t" o:connecttype="rect"/>
          </v:shapetype>
          <v:shape id="configXml" o:spid="_x0000_s1025" type="#_x0000_t202" style="height:0;margin-left:0;margin-top:0;mso-height-relative:page;mso-width-relative:page;position:absolute;width:0;z-index:251658240" coordsize="21600,21600">
            <v:stroke joinstyle="miter"/>
            <v:textbox>
              <w:txbxContent>
                <w:p>
                  <w:r>
                    <w:t xml:space="preserve">&lt;?xml version="1.0" encoding="UTF-8"?&gt; &lt;officereport&gt; &lt;options&gt;&lt;![CDATA[this-reportid=EANA$2$5$1$2c3027766c124e86894962c1a5169db5$ec3de5212b3547f4bba9a1394cc0cfd1.doc;name=B50656;decimallen=2;caption=定期报告(温州-新余-湖州);groupnum=false;viewtype=0;displaylayout=0;id=2c3027766c124e86894962c1a5169db5]]&gt;&lt;/options&gt; &lt;/officereport&gt; </w:t>
                  </w:r>
                </w:p>
              </w:txbxContent>
            </v:textbox>
          </v:shape>
        </w:pict>
      </w:r>
    </w:p>
    <w:p>
      <w:pPr>
        <w:pStyle w:val="dazhangjie"/>
        <w:rPr>
          <w:rFonts w:cs="Times New Roman"/>
          <w:b/>
          <w:bCs/>
        </w:rPr>
      </w:pPr>
    </w:p>
    <w:p>
      <w:pPr>
        <w:pStyle w:val="dazhangjie"/>
        <w:spacing w:before="240" w:after="120"/>
        <w:rPr>
          <w:rFonts w:ascii="黑体" w:eastAsia="黑体" w:hAnsi="黑体" w:cs="Times New Roman"/>
          <w:b/>
          <w:bCs/>
          <w:sz w:val="36"/>
          <w:szCs w:val="36"/>
        </w:rPr>
      </w:pPr>
      <w:r>
        <w:rPr>
          <w:rFonts w:ascii="黑体" w:eastAsia="黑体" w:hAnsi="黑体" w:cs="Times New Roman" w:hint="eastAsia"/>
          <w:b/>
          <w:bCs/>
          <w:sz w:val="36"/>
          <w:szCs w:val="36"/>
        </w:rPr>
        <w:t>新余农商银行百福理财禧盈门1个月定开1号</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2025年第1季度报告</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2025年03月31日</w:t>
      </w: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r>
        <w:rPr>
          <w:rFonts w:cs="Times New Roman"/>
          <w:b/>
          <w:bCs/>
        </w:rPr>
        <w:t>理财产品管理人:</w:t>
      </w:r>
      <w:r>
        <w:rPr>
          <w:rFonts w:hint="eastAsia"/>
          <w:b/>
          <w:bCs/>
        </w:rPr>
        <w:t xml:space="preserve"> </w:t>
      </w:r>
      <w:r>
        <w:rPr>
          <w:rFonts w:cs="Times New Roman" w:hint="eastAsia"/>
          <w:b/>
          <w:bCs/>
        </w:rPr>
        <w:t>新余农村商业银行股份有限公司</w:t>
      </w:r>
    </w:p>
    <w:p>
      <w:pPr>
        <w:pStyle w:val="dazhangjie"/>
        <w:spacing w:before="240" w:after="120"/>
        <w:rPr>
          <w:rFonts w:cs="Times New Roman"/>
          <w:b/>
          <w:bCs/>
        </w:rPr>
      </w:pPr>
      <w:r>
        <w:rPr>
          <w:rFonts w:cs="Times New Roman"/>
          <w:b/>
          <w:bCs/>
        </w:rPr>
        <w:t>理财产品托管人:</w:t>
      </w:r>
      <w:r>
        <w:rPr>
          <w:rFonts w:hint="eastAsia"/>
          <w:b/>
          <w:bCs/>
        </w:rPr>
        <w:t xml:space="preserve"> </w:t>
      </w:r>
      <w:r>
        <w:rPr>
          <w:rFonts w:cs="Times New Roman" w:hint="eastAsia"/>
          <w:b/>
          <w:bCs/>
        </w:rPr>
        <w:t>兴业银行股份有限公司</w:t>
      </w:r>
    </w:p>
    <w:p>
      <w:pPr>
        <w:jc w:val="center"/>
        <w:rPr>
          <w:b/>
          <w:bCs/>
        </w:rPr>
      </w:pPr>
      <w:r>
        <w:rPr>
          <w:b/>
          <w:bCs/>
        </w:rPr>
        <w:t xml:space="preserve">报告送出日期: </w:t>
      </w:r>
      <w:r>
        <w:rPr>
          <w:rFonts w:hint="eastAsia"/>
          <w:b/>
          <w:bCs/>
        </w:rPr>
        <w:t>2025年04月18日</w:t>
      </w:r>
    </w:p>
    <w:p>
      <w:pPr>
        <w:pStyle w:val="dazhangjie"/>
        <w:spacing w:before="240" w:after="120"/>
        <w:rPr>
          <w:rFonts w:cs="Times New Roman"/>
          <w:b/>
          <w:bCs/>
        </w:rPr>
      </w:pPr>
    </w:p>
    <w:p>
      <w:pPr>
        <w:pStyle w:val="dazhangjie"/>
        <w:spacing w:before="240" w:after="120"/>
        <w:rPr>
          <w:rFonts w:cs="Times New Roman"/>
          <w:b/>
          <w:color w:val="000000"/>
        </w:rPr>
        <w:sectPr>
          <w:headerReference w:type="default" r:id="rId4"/>
          <w:footerReference w:type="even" r:id="rId5"/>
          <w:footerReference w:type="default" r:id="rId6"/>
          <w:pgSz w:w="11926" w:h="16867"/>
          <w:pgMar w:top="1418" w:right="1418" w:bottom="853" w:left="1418" w:header="851" w:footer="992" w:gutter="0"/>
          <w:pgNumType w:fmt="decimal"/>
          <w:cols w:num="1" w:space="720"/>
          <w:titlePg/>
          <w:docGrid w:linePitch="312" w:charSpace="0"/>
        </w:sectPr>
      </w:pPr>
    </w:p>
    <w:p>
      <w:pPr>
        <w:pStyle w:val="dazhangjie"/>
        <w:spacing w:before="240" w:after="120"/>
        <w:rPr>
          <w:rFonts w:cs="Times New Roman"/>
        </w:rPr>
      </w:pPr>
      <w:r>
        <w:rPr>
          <w:rFonts w:cs="Times New Roman"/>
          <w:b/>
          <w:color w:val="000000"/>
        </w:rPr>
        <w:t>§1  理财产品产品概况</w:t>
      </w:r>
    </w:p>
    <w:tbl>
      <w:tblPr>
        <w:tblStyle w:val="TableNormal"/>
        <w:tblW w:w="9071" w:type="dxa"/>
        <w:tblInd w:w="108" w:type="dxa"/>
        <w:tblCellMar>
          <w:top w:w="0" w:type="dxa"/>
          <w:left w:w="108" w:type="dxa"/>
          <w:bottom w:w="0" w:type="dxa"/>
          <w:right w:w="108" w:type="dxa"/>
        </w:tblCellMar>
      </w:tblPr>
      <w:tblGrid>
        <w:gridCol w:w="4212"/>
        <w:gridCol w:w="4859"/>
      </w:tblGrid>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理财产品简称</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新余农商银行百福理财禧盈门1个月定开1号</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理财产品登记编码</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C1117922000006</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理财产品运作方式</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开放式净值型</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理财产品合同生效日</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2022年4月11日</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报告期末理财产品份额总额</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190,269,909.13</w:t>
            </w:r>
            <w:r>
              <w:rPr>
                <w:rFonts w:cs="Times New Roman" w:hint="eastAsia"/>
                <w:bCs/>
              </w:rPr>
              <w:t>份</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业绩比较基准</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§2  主要财务指标和理财产品净值表现</w:t>
      </w:r>
    </w:p>
    <w:p>
      <w:pPr>
        <w:widowControl/>
        <w:jc w:val="left"/>
        <w:rPr>
          <w:rFonts w:ascii="宋体" w:hAnsi="宋体"/>
          <w:kern w:val="0"/>
          <w:sz w:val="24"/>
          <w:szCs w:val="24"/>
        </w:rPr>
      </w:pPr>
    </w:p>
    <w:p>
      <w:pPr>
        <w:pStyle w:val="zhangjiep2"/>
        <w:rPr>
          <w:rFonts w:cs="Times New Roman"/>
          <w:b/>
          <w:bCs/>
        </w:rPr>
      </w:pPr>
      <w:r>
        <w:rPr>
          <w:rFonts w:cs="Times New Roman"/>
          <w:b/>
          <w:bCs/>
        </w:rPr>
        <w:t xml:space="preserve">2.1 </w:t>
      </w:r>
      <w:r>
        <w:rPr>
          <w:rFonts w:cs="Times New Roman"/>
          <w:b/>
        </w:rPr>
        <w:t>主要财务指标</w:t>
      </w:r>
    </w:p>
    <w:tbl>
      <w:tblPr>
        <w:tblStyle w:val="TableNormal"/>
        <w:tblW w:w="9045" w:type="dxa"/>
        <w:tblInd w:w="108" w:type="dxa"/>
        <w:tblCellMar>
          <w:top w:w="0" w:type="dxa"/>
          <w:left w:w="108" w:type="dxa"/>
          <w:bottom w:w="0" w:type="dxa"/>
          <w:right w:w="108" w:type="dxa"/>
        </w:tblCellMar>
      </w:tblPr>
      <w:tblGrid>
        <w:gridCol w:w="3616"/>
        <w:gridCol w:w="5429"/>
      </w:tblGrid>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rPr>
                <w:rFonts w:cs="Times New Roman"/>
              </w:rPr>
            </w:pPr>
            <w:r>
              <w:rPr>
                <w:rFonts w:cs="Times New Roman"/>
              </w:rPr>
              <w:t>主要财务指标</w:t>
            </w:r>
          </w:p>
        </w:tc>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jc w:val="right"/>
              <w:rPr>
                <w:rFonts w:cs="Times New Roman"/>
              </w:rPr>
            </w:pPr>
            <w:r>
              <w:rPr>
                <w:rFonts w:cs="Times New Roman" w:hint="eastAsia"/>
              </w:rPr>
              <w:t>报告期（</w:t>
            </w:r>
            <w:r>
              <w:rPr>
                <w:rFonts w:cs="Times New Roman"/>
              </w:rPr>
              <w:t>2025年1月1日</w:t>
            </w:r>
            <w:r>
              <w:rPr>
                <w:rFonts w:cs="Times New Roman"/>
              </w:rPr>
              <w:t>-</w:t>
            </w:r>
            <w:r>
              <w:rPr>
                <w:rFonts w:cs="Times New Roman"/>
              </w:rPr>
              <w:t>2025年03月31日</w:t>
            </w:r>
            <w:r>
              <w:rPr>
                <w:rFonts w:cs="Times New Roman" w:hint="eastAsia"/>
              </w:rPr>
              <w:t>）</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left"/>
              <w:wordWrap w:val="0"/>
              <w:ind w:left="0"/>
              <w:rPr>
                <w:rFonts w:cs="Times New Roman"/>
              </w:rPr>
            </w:pPr>
            <w:r>
              <w:rPr>
                <w:rFonts w:cs="Times New Roman"/>
              </w:rPr>
              <w:t>期末理财产品资产净值</w:t>
            </w:r>
          </w:p>
        </w:tc>
        <w:tc>
          <w:tcPr>
            <w:tcW w:w="0" w:type="auto"/>
            <w:tcBorders>
              <w:top w:val="single" w:sz="8" w:space="0" w:color="000000"/>
              <w:left w:val="single" w:sz="8" w:space="0" w:color="000000"/>
              <w:bottom w:val="single" w:sz="6" w:space="0" w:color="000000"/>
              <w:right w:val="single" w:sz="8" w:space="0" w:color="000000"/>
            </w:tcBorders>
          </w:tcPr>
          <w:p>
            <w:pPr>
              <w:pStyle w:val="biaogeright"/>
              <w:wordWrap w:val="0"/>
              <w:rPr>
                <w:rFonts w:cs="Times New Roman"/>
              </w:rPr>
            </w:pPr>
            <w:r>
              <w:rPr>
                <w:rFonts w:cs="Times New Roman"/>
              </w:rPr>
              <w:t>207,717,893.20</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1.09170</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期末理财产品累计份额净值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1.09170</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§3  投资组合报告</w:t>
      </w:r>
    </w:p>
    <w:p>
      <w:pPr>
        <w:widowControl/>
        <w:jc w:val="left"/>
        <w:rPr>
          <w:rFonts w:ascii="宋体" w:hAnsi="宋体"/>
          <w:kern w:val="0"/>
          <w:sz w:val="24"/>
          <w:szCs w:val="24"/>
        </w:rPr>
      </w:pPr>
    </w:p>
    <w:p>
      <w:pPr>
        <w:pStyle w:val="zhangjiep"/>
        <w:rPr>
          <w:rFonts w:cs="Times New Roman"/>
          <w:b/>
          <w:bCs/>
        </w:rPr>
      </w:pPr>
      <w:r>
        <w:rPr>
          <w:rFonts w:cs="Times New Roman"/>
          <w:b/>
          <w:bCs/>
        </w:rPr>
        <w:t>3.1 报告期末理财产品资产组合情况</w:t>
      </w:r>
    </w:p>
    <w:tbl>
      <w:tblPr>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60"/>
        <w:gridCol w:w="4305"/>
        <w:gridCol w:w="3615"/>
      </w:tblGrid>
      <w:tr>
        <w:tblPrEx>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资产分类</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占总资产的比例（%）</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固定收益类资产占比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99.53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权益类资产占比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金融衍生类资产占比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银行存款及存出保证金</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0.47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其他资产</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bl>
    <w:p>
      <w:pPr>
        <w:pStyle w:val="zhangjiep"/>
        <w:rPr>
          <w:rFonts w:cs="Times New Roman"/>
        </w:rPr>
      </w:pPr>
    </w:p>
    <w:p>
      <w:pPr>
        <w:pStyle w:val="zhangjiep"/>
        <w:rPr>
          <w:rFonts w:cs="Times New Roman"/>
        </w:rPr>
      </w:pPr>
    </w:p>
    <w:p>
      <w:pPr>
        <w:pStyle w:val="zhangjiep"/>
        <w:rPr>
          <w:rFonts w:cs="Times New Roman"/>
        </w:rPr>
      </w:pPr>
    </w:p>
    <w:p>
      <w:pPr>
        <w:pStyle w:val="zhangjiep"/>
        <w:rPr>
          <w:rFonts w:cs="Times New Roman"/>
        </w:rPr>
      </w:pPr>
    </w:p>
    <w:p>
      <w:pPr>
        <w:rPr>
          <w:rFonts w:ascii="宋体" w:hAnsi="宋体"/>
          <w:vanish/>
        </w:rPr>
      </w:pPr>
    </w:p>
    <w:p>
      <w:pPr>
        <w:pStyle w:val="zhangjiep"/>
        <w:rPr>
          <w:rFonts w:cs="Times New Roman"/>
          <w:b/>
          <w:bCs/>
        </w:rPr>
      </w:pPr>
      <w:r>
        <w:rPr>
          <w:rFonts w:cs="Times New Roman"/>
          <w:b/>
          <w:bCs/>
        </w:rPr>
        <w:t>3.2 报告期末按公允价值占理财产品资产净值比例大小排序的前十项资产投资明细</w:t>
      </w:r>
    </w:p>
    <w:tbl>
      <w:tblPr>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
        <w:gridCol w:w="2175"/>
        <w:gridCol w:w="1980"/>
        <w:gridCol w:w="1935"/>
        <w:gridCol w:w="2385"/>
      </w:tblGrid>
      <w:tr>
        <w:tblPrEx>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资产类别</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金额（元）</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占理财产品净值比例(%)</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23长江03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20,673,441.92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9.95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22华股02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20,466,777.26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9.85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22海通04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20,418,365.48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9.83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24温州交通SCP001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20,252,738.90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9.75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24农发21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20,188,150.14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9.72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6</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21舟山交投MTN002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10,607,012.60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5.11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23芜湖宜居MTN001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10,350,241.10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4.98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22绍兴滨海MTN002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10,346,768.08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4.98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21工商银行二级01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10,252,279.04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4.94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10</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22中泰F1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10,248,716.71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4.93 </w:t>
            </w:r>
          </w:p>
        </w:tc>
      </w:tr>
    </w:tbl>
    <w:p>
      <w:pPr>
        <w:adjustRightInd w:val="0"/>
        <w:snapToGrid w:val="0"/>
        <w:spacing w:line="360" w:lineRule="exact"/>
        <w:rPr>
          <w:rFonts w:ascii="宋体" w:hAnsi="宋体"/>
          <w:b/>
          <w:sz w:val="24"/>
        </w:rPr>
      </w:pPr>
    </w:p>
    <w:p>
      <w:pPr>
        <w:adjustRightInd w:val="0"/>
        <w:snapToGrid w:val="0"/>
        <w:spacing w:line="360" w:lineRule="exact"/>
        <w:rPr>
          <w:rFonts w:ascii="宋体" w:hAnsi="宋体"/>
          <w:b/>
          <w:sz w:val="24"/>
        </w:rPr>
      </w:pPr>
    </w:p>
    <w:p>
      <w:pPr>
        <w:pStyle w:val="zhangjiep"/>
        <w:rPr>
          <w:rFonts w:cs="Times New Roman"/>
          <w:b/>
          <w:bCs/>
        </w:rPr>
      </w:pPr>
      <w:r>
        <w:rPr>
          <w:rFonts w:cs="Times New Roman"/>
          <w:b/>
          <w:bCs/>
        </w:rPr>
        <w:t>3.3 报告期末本理财产品投资流动性风险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为防范无法支付到期赎回款而产生的流动性风险，本产品管理人将合理安排所投资产期限，产品到期前完成所投资组合中相关资产变现，尽可能降低产品流动性风险，有效保障产品持有人利益</w:t>
      </w:r>
      <w:r>
        <w:rPr>
          <w:rFonts w:ascii="宋体" w:hAnsi="宋体" w:hint="eastAsia"/>
          <w:kern w:val="0"/>
          <w:sz w:val="24"/>
          <w:szCs w:val="24"/>
        </w:rPr>
        <w:t>。</w:t>
      </w:r>
    </w:p>
    <w:p>
      <w:pPr>
        <w:pStyle w:val="zhangjiep"/>
        <w:ind w:left="0"/>
        <w:rPr>
          <w:b/>
          <w:bCs/>
        </w:rPr>
      </w:pPr>
    </w:p>
    <w:p>
      <w:pPr>
        <w:widowControl/>
        <w:jc w:val="left"/>
        <w:rPr>
          <w:rFonts w:ascii="宋体" w:hAnsi="宋体"/>
          <w:kern w:val="0"/>
          <w:sz w:val="24"/>
          <w:szCs w:val="24"/>
        </w:rPr>
      </w:pPr>
    </w:p>
    <w:p>
      <w:pPr>
        <w:pStyle w:val="dazhangjie"/>
        <w:rPr>
          <w:rFonts w:cs="Times New Roman"/>
        </w:rPr>
      </w:pPr>
      <w:r>
        <w:rPr>
          <w:rFonts w:cs="Times New Roman" w:hint="eastAsia"/>
          <w:b/>
          <w:color w:val="000000"/>
        </w:rPr>
        <w:t xml:space="preserve"> </w:t>
      </w:r>
      <w:r>
        <w:rPr>
          <w:rFonts w:cs="Times New Roman"/>
          <w:b/>
          <w:color w:val="000000"/>
        </w:rPr>
        <w:t>§</w:t>
      </w:r>
      <w:r>
        <w:rPr>
          <w:rFonts w:cs="Times New Roman" w:hint="eastAsia"/>
          <w:b/>
          <w:color w:val="000000"/>
        </w:rPr>
        <w:t>4</w:t>
      </w:r>
      <w:r>
        <w:rPr>
          <w:rFonts w:cs="Times New Roman"/>
          <w:b/>
          <w:color w:val="000000"/>
        </w:rPr>
        <w:t xml:space="preserve">  备查文件目录</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.1 备查文件目录</w:t>
      </w:r>
    </w:p>
    <w:p>
      <w:pPr>
        <w:pStyle w:val="biaogeleft"/>
        <w:rPr>
          <w:rFonts w:cs="Times New Roman"/>
        </w:rPr>
      </w:pPr>
      <w:r>
        <w:rPr>
          <w:rFonts w:cs="Times New Roman"/>
        </w:rPr>
        <w:t>《</w:t>
      </w:r>
      <w:r>
        <w:rPr>
          <w:rFonts w:hint="eastAsia"/>
        </w:rPr>
        <w:t>新余农商银行百福理财禧盈门1个月定开1号</w:t>
      </w:r>
      <w:r>
        <w:t>2025年第1季度报告</w:t>
      </w:r>
      <w:r>
        <w:rPr>
          <w:rFonts w:cs="Times New Roman"/>
        </w:rPr>
        <w:t>》正文</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.2 存放地点</w:t>
      </w:r>
    </w:p>
    <w:p>
      <w:pPr>
        <w:widowControl/>
        <w:jc w:val="left"/>
        <w:rPr>
          <w:rFonts w:ascii="宋体" w:cs="宋体"/>
          <w:kern w:val="0"/>
          <w:sz w:val="24"/>
          <w:szCs w:val="24"/>
        </w:rPr>
      </w:pPr>
      <w:r>
        <w:rPr>
          <w:rFonts w:ascii="宋体" w:hAnsi="宋体" w:cs="宋体" w:hint="eastAsia"/>
          <w:kern w:val="0"/>
          <w:sz w:val="24"/>
          <w:szCs w:val="24"/>
        </w:rPr>
        <w:t>江西省新余市渝水区仰天岗东大道259号</w:t>
      </w:r>
    </w:p>
    <w:p>
      <w:pPr>
        <w:widowControl/>
        <w:jc w:val="left"/>
        <w:rPr>
          <w:rFonts w:ascii="宋体" w:hAnsi="宋体"/>
          <w:kern w:val="0"/>
          <w:sz w:val="24"/>
          <w:szCs w:val="24"/>
        </w:rPr>
      </w:pPr>
    </w:p>
    <w:p>
      <w:pPr>
        <w:pStyle w:val="zhangjiep"/>
        <w:rPr>
          <w:rFonts w:cs="Times New Roman"/>
          <w:b/>
          <w:bCs/>
        </w:rPr>
      </w:pPr>
      <w:r>
        <w:rPr>
          <w:rFonts w:cs="Times New Roman" w:hint="eastAsia"/>
          <w:b/>
          <w:bCs/>
        </w:rPr>
        <w:t>4</w:t>
      </w:r>
      <w:r>
        <w:rPr>
          <w:rFonts w:cs="Times New Roman"/>
          <w:b/>
          <w:bCs/>
        </w:rPr>
        <w:t>.3 查阅方式</w:t>
      </w:r>
    </w:p>
    <w:p>
      <w:pPr>
        <w:pStyle w:val="biaogeleft"/>
        <w:rPr>
          <w:rFonts w:cs="Times New Roman"/>
        </w:rPr>
      </w:pPr>
      <w:r>
        <w:t>www.xynhh.com</w:t>
      </w: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jc w:val="right"/>
        <w:rPr>
          <w:rFonts w:ascii="宋体" w:hAnsi="宋体"/>
          <w:b/>
          <w:bCs/>
        </w:rPr>
      </w:pPr>
      <w:r>
        <w:rPr>
          <w:rFonts w:ascii="宋体" w:hAnsi="宋体" w:hint="eastAsia"/>
          <w:b/>
          <w:bCs/>
        </w:rPr>
        <w:t>新余农村商业银行股份有限公司</w:t>
      </w:r>
    </w:p>
    <w:p>
      <w:pPr>
        <w:ind w:right="633"/>
        <w:jc w:val="right"/>
        <w:rPr>
          <w:rFonts w:ascii="宋体" w:hAnsi="宋体"/>
          <w:b/>
          <w:bCs/>
        </w:rPr>
      </w:pPr>
      <w:r>
        <w:rPr>
          <w:rFonts w:ascii="宋体" w:hAnsi="宋体"/>
          <w:b/>
          <w:bCs/>
        </w:rPr>
        <w:t>2025年04月18日</w:t>
      </w:r>
    </w:p>
    <w:p>
      <w:pPr>
        <w:jc w:val="right"/>
        <w:rPr>
          <w:rFonts w:ascii="宋体" w:hAnsi="宋体"/>
          <w:b/>
          <w:bCs/>
        </w:rPr>
      </w:pPr>
    </w:p>
    <w:p>
      <w:pPr>
        <w:jc w:val="right"/>
      </w:pPr>
    </w:p>
    <w:p/>
    <w:p>
      <w:bookmarkStart w:id="0" w:name="_GoBack"/>
      <w:bookmarkEnd w:id="0"/>
    </w:p>
    <w:sectPr>
      <w:footerReference w:type="default" r:id="rId7"/>
      <w:footerReference w:type="first" r:id="rId8"/>
      <w:pgSz w:w="11926" w:h="16867"/>
      <w:pgMar w:top="1418" w:right="1418" w:bottom="853" w:left="1418" w:header="851" w:footer="992" w:gutter="0"/>
      <w:pgNumType w:fmt="decimal" w:start="2"/>
      <w:cols w:num="1" w:space="72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sz w:val="18"/>
      </w:rPr>
      <w:pict>
        <v:shapetype id="_x0000_t202" coordsize="21600,21600" o:spt="202" path="m,l,21600r21600,l21600,xe">
          <v:stroke joinstyle="miter"/>
          <v:path gradientshapeok="t" o:connecttype="rect"/>
        </v:shapetype>
        <v:shape id="_x0000_s2051" o:spid="_x0000_s2050"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2</w:t>
                </w:r>
                <w:r>
                  <w:fldChar w:fldCharType="end"/>
                </w:r>
                <w:r>
                  <w:t xml:space="preserve"> 页</w:t>
                </w:r>
                <w:r>
                  <w:rPr>
                    <w:rFonts w:hint="eastAsia"/>
                    <w:lang w:eastAsia="zh-CN"/>
                  </w:rPr>
                  <w:t>，</w:t>
                </w:r>
                <w:r>
                  <w:t xml:space="preserve">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52"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p>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semiHidden="0" w:qFormat="1"/>
    <w:lsdException w:name="line number"/>
    <w:lsdException w:name="page number" w:semiHidden="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semiHidden="0"/>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semiHidden="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link w:val="2Char"/>
    <w:qFormat/>
    <w:pPr>
      <w:keepNext/>
      <w:keepLines/>
      <w:spacing w:before="260" w:after="260" w:line="413"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Char4"/>
    <w:uiPriority w:val="99"/>
    <w:unhideWhenUsed/>
    <w:rPr>
      <w:rFonts w:ascii="宋体"/>
      <w:sz w:val="18"/>
      <w:szCs w:val="18"/>
    </w:rPr>
  </w:style>
  <w:style w:type="paragraph" w:styleId="CommentText">
    <w:name w:val="annotation text"/>
    <w:basedOn w:val="Normal"/>
    <w:link w:val="Char1"/>
    <w:uiPriority w:val="99"/>
    <w:unhideWhenUsed/>
    <w:qFormat/>
    <w:pPr>
      <w:jc w:val="left"/>
    </w:pPr>
  </w:style>
  <w:style w:type="paragraph" w:styleId="BalloonText">
    <w:name w:val="Balloon Text"/>
    <w:basedOn w:val="Normal"/>
    <w:link w:val="Char3"/>
    <w:uiPriority w:val="99"/>
    <w:unhideWhenUsed/>
    <w:qFormat/>
    <w:rPr>
      <w:kern w:val="0"/>
      <w:sz w:val="18"/>
      <w:szCs w:val="18"/>
    </w:rPr>
  </w:style>
  <w:style w:type="paragraph" w:styleId="Footer">
    <w:name w:val="footer"/>
    <w:basedOn w:val="Normal"/>
    <w:link w:val="Char0"/>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Header">
    <w:name w:val="header"/>
    <w:basedOn w:val="Normal"/>
    <w:link w:val="Char2"/>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CommentSubject">
    <w:name w:val="annotation subject"/>
    <w:basedOn w:val="CommentText"/>
    <w:next w:val="CommentText"/>
    <w:link w:val="Char"/>
    <w:uiPriority w:val="99"/>
    <w:unhideWhenUsed/>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unhideWhenUsed/>
    <w:qFormat/>
  </w:style>
  <w:style w:type="character" w:styleId="CommentReference">
    <w:name w:val="annotation reference"/>
    <w:uiPriority w:val="99"/>
    <w:unhideWhenUsed/>
    <w:qFormat/>
    <w:rPr>
      <w:sz w:val="21"/>
      <w:szCs w:val="21"/>
    </w:rPr>
  </w:style>
  <w:style w:type="character" w:customStyle="1" w:styleId="Char">
    <w:name w:val="批注主题 Char"/>
    <w:link w:val="CommentSubject"/>
    <w:uiPriority w:val="99"/>
    <w:semiHidden/>
    <w:qFormat/>
    <w:rPr>
      <w:b/>
      <w:bCs/>
      <w:kern w:val="2"/>
      <w:sz w:val="21"/>
      <w:szCs w:val="22"/>
    </w:rPr>
  </w:style>
  <w:style w:type="character" w:customStyle="1" w:styleId="Char0">
    <w:name w:val="页脚 Char"/>
    <w:link w:val="Footer"/>
    <w:uiPriority w:val="99"/>
    <w:qFormat/>
    <w:locked/>
    <w:rPr>
      <w:rFonts w:ascii="Times New Roman" w:hAnsi="Times New Roman" w:cs="Times New Roman" w:hint="default"/>
      <w:sz w:val="18"/>
      <w:szCs w:val="18"/>
    </w:rPr>
  </w:style>
  <w:style w:type="character" w:customStyle="1" w:styleId="Char1">
    <w:name w:val="批注文字 Char"/>
    <w:link w:val="CommentText"/>
    <w:uiPriority w:val="99"/>
    <w:rPr>
      <w:kern w:val="2"/>
      <w:sz w:val="21"/>
      <w:szCs w:val="22"/>
    </w:rPr>
  </w:style>
  <w:style w:type="character" w:customStyle="1" w:styleId="Char2">
    <w:name w:val="页眉 Char"/>
    <w:link w:val="Header"/>
    <w:uiPriority w:val="99"/>
    <w:locked/>
    <w:rPr>
      <w:rFonts w:ascii="Times New Roman" w:hAnsi="Times New Roman" w:cs="Times New Roman" w:hint="default"/>
      <w:sz w:val="18"/>
      <w:szCs w:val="18"/>
    </w:rPr>
  </w:style>
  <w:style w:type="character" w:customStyle="1" w:styleId="2Char">
    <w:name w:val="标题 2 Char"/>
    <w:link w:val="Heading2"/>
    <w:qFormat/>
    <w:rPr>
      <w:rFonts w:ascii="Arial" w:eastAsia="黑体" w:hAnsi="Arial"/>
      <w:b/>
      <w:kern w:val="2"/>
      <w:sz w:val="32"/>
    </w:rPr>
  </w:style>
  <w:style w:type="character" w:customStyle="1" w:styleId="Char3">
    <w:name w:val="批注框文本 Char"/>
    <w:link w:val="BalloonText"/>
    <w:uiPriority w:val="99"/>
    <w:semiHidden/>
    <w:qFormat/>
    <w:rPr>
      <w:sz w:val="18"/>
      <w:szCs w:val="18"/>
    </w:rPr>
  </w:style>
  <w:style w:type="character" w:customStyle="1" w:styleId="Char4">
    <w:name w:val="文档结构图 Char"/>
    <w:link w:val="DocumentMap"/>
    <w:uiPriority w:val="99"/>
    <w:semiHidden/>
    <w:qFormat/>
    <w:rPr>
      <w:rFonts w:ascii="宋体"/>
      <w:kern w:val="2"/>
      <w:sz w:val="18"/>
      <w:szCs w:val="18"/>
    </w:rPr>
  </w:style>
  <w:style w:type="paragraph" w:customStyle="1" w:styleId="neirong">
    <w:name w:val="neirong"/>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msonormalfy">
    <w:name w:val="msonormalfy"/>
    <w:qFormat/>
    <w:pPr>
      <w:widowControl w:val="0"/>
      <w:jc w:val="center"/>
    </w:pPr>
    <w:rPr>
      <w:rFonts w:ascii="Calibri" w:eastAsia="宋体" w:hAnsi="Calibri" w:cs="Times New Roman"/>
      <w:kern w:val="2"/>
      <w:sz w:val="33"/>
      <w:szCs w:val="22"/>
      <w:lang w:val="en-US" w:eastAsia="zh-CN" w:bidi="ar-SA"/>
    </w:rPr>
  </w:style>
  <w:style w:type="paragraph" w:customStyle="1" w:styleId="zhangjiep">
    <w:name w:val="zhangjie_p"/>
    <w:basedOn w:val="Normal"/>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center">
    <w:name w:val="biaoge_center"/>
    <w:basedOn w:val="Normal"/>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zhongyaotishi">
    <w:name w:val="zhongyaotishi"/>
    <w:basedOn w:val="Normal"/>
    <w:qFormat/>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msonormalnone">
    <w:name w:val="msonormal_none"/>
    <w:qFormat/>
    <w:pPr>
      <w:widowControl w:val="0"/>
    </w:pPr>
    <w:rPr>
      <w:rFonts w:ascii="Calibri" w:eastAsia="宋体" w:hAnsi="Calibri" w:cs="Times New Roman"/>
      <w:kern w:val="2"/>
      <w:sz w:val="21"/>
      <w:szCs w:val="22"/>
      <w:lang w:val="en-US" w:eastAsia="zh-CN" w:bidi="ar-SA"/>
    </w:rPr>
  </w:style>
  <w:style w:type="paragraph" w:customStyle="1" w:styleId="show">
    <w:name w:val="show"/>
    <w:basedOn w:val="Normal"/>
    <w:qFormat/>
    <w:pPr>
      <w:widowControl/>
      <w:spacing w:before="100" w:beforeAutospacing="1" w:after="100" w:afterAutospacing="1"/>
      <w:jc w:val="left"/>
    </w:pPr>
    <w:rPr>
      <w:rFonts w:ascii="宋体" w:hAnsi="宋体" w:cs="宋体"/>
      <w:kern w:val="0"/>
      <w:sz w:val="24"/>
      <w:szCs w:val="24"/>
    </w:rPr>
  </w:style>
  <w:style w:type="paragraph" w:customStyle="1" w:styleId="biaogeright">
    <w:name w:val="biaoge_right"/>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2">
    <w:name w:val="zhangjie_p2"/>
    <w:basedOn w:val="Normal"/>
    <w:qFormat/>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Normal"/>
    <w:qFormat/>
    <w:pPr>
      <w:widowControl/>
      <w:spacing w:before="100" w:beforeAutospacing="1" w:after="100" w:afterAutospacing="1"/>
      <w:jc w:val="left"/>
    </w:pPr>
    <w:rPr>
      <w:rFonts w:ascii="宋体" w:hAnsi="宋体" w:cs="宋体"/>
      <w:vanish/>
      <w:kern w:val="0"/>
      <w:sz w:val="24"/>
      <w:szCs w:val="24"/>
    </w:rPr>
  </w:style>
  <w:style w:type="paragraph" w:customStyle="1" w:styleId="biaogeright1">
    <w:name w:val="biaoge_right1"/>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
    <w:name w:val="biaoge_left"/>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Normal"/>
    <w:qFormat/>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388</Characters>
  <Application>Microsoft Office Word</Application>
  <DocSecurity>0</DocSecurity>
  <Lines>3</Lines>
  <Paragraphs>2</Paragraphs>
  <ScaleCrop>false</ScaleCrop>
  <Company>Organization</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luyingying</dc:creator>
  <cp:lastModifiedBy>poc01</cp:lastModifiedBy>
  <cp:revision>2</cp:revision>
  <cp:lastPrinted>2113-01-01T00:00:00Z</cp:lastPrinted>
  <dcterms:created xsi:type="dcterms:W3CDTF">2022-10-17T08:07:00Z</dcterms:created>
  <dcterms:modified xsi:type="dcterms:W3CDTF">2024-09-04T11:10:06Z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070F595DCFAB4B9FB53FDE573DA6EF4F</vt:lpwstr>
  </property>
  <property fmtid="{D5CDD505-2E9C-101B-9397-08002B2CF9AE}" pid="3" name="KSOProductBuildVer">
    <vt:lpwstr>2052-11.8.2.12085</vt:lpwstr>
  </property>
</Properties>
</file>