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rPr>
          <w:rFonts w:ascii="方正小标宋简体" w:hAnsi="方正小标宋简体" w:eastAsia="方正小标宋简体" w:cs="方正小标宋简体"/>
          <w:bCs/>
          <w:color w:val="auto"/>
          <w:spacing w:val="-4"/>
          <w:sz w:val="30"/>
          <w:szCs w:val="30"/>
          <w:highlight w:val="none"/>
        </w:rPr>
      </w:pPr>
      <w:bookmarkStart w:id="0" w:name="_GoBack"/>
    </w:p>
    <w:p>
      <w:pPr>
        <w:spacing w:line="700" w:lineRule="exact"/>
        <w:jc w:val="center"/>
        <w:rPr>
          <w:rFonts w:hint="eastAsia" w:ascii="方正小标宋简体" w:hAnsi="方正小标宋简体" w:eastAsia="方正小标宋简体" w:cs="方正小标宋简体"/>
          <w:bCs/>
          <w:color w:val="auto"/>
          <w:spacing w:val="-4"/>
          <w:sz w:val="30"/>
          <w:szCs w:val="30"/>
          <w:highlight w:val="none"/>
        </w:rPr>
      </w:pPr>
    </w:p>
    <w:p>
      <w:pPr>
        <w:spacing w:line="700" w:lineRule="exact"/>
        <w:jc w:val="center"/>
        <w:rPr>
          <w:rFonts w:ascii="方正小标宋简体" w:hAnsi="方正小标宋简体" w:eastAsia="方正小标宋简体" w:cs="方正小标宋简体"/>
          <w:bCs/>
          <w:color w:val="auto"/>
          <w:spacing w:val="-4"/>
          <w:sz w:val="44"/>
          <w:szCs w:val="44"/>
          <w:highlight w:val="none"/>
        </w:rPr>
      </w:pPr>
      <w:r>
        <w:rPr>
          <w:rFonts w:hint="eastAsia" w:ascii="方正小标宋简体" w:hAnsi="方正小标宋简体" w:eastAsia="方正小标宋简体" w:cs="方正小标宋简体"/>
          <w:bCs/>
          <w:color w:val="auto"/>
          <w:spacing w:val="-4"/>
          <w:sz w:val="44"/>
          <w:szCs w:val="44"/>
          <w:highlight w:val="none"/>
        </w:rPr>
        <w:t>宜丰农商银行2021年社会责任报告</w:t>
      </w:r>
    </w:p>
    <w:p>
      <w:pPr>
        <w:spacing w:line="560" w:lineRule="exact"/>
        <w:ind w:firstLine="600" w:firstLineChars="200"/>
        <w:rPr>
          <w:rFonts w:ascii="仿宋" w:hAnsi="仿宋" w:eastAsia="仿宋"/>
          <w:color w:val="auto"/>
          <w:sz w:val="30"/>
          <w:szCs w:val="30"/>
          <w:highlight w:val="none"/>
        </w:rPr>
      </w:pPr>
      <w:r>
        <w:rPr>
          <w:rFonts w:hint="eastAsia" w:ascii="仿宋_GB2312" w:hAnsi="仿宋_GB2312" w:eastAsia="仿宋_GB2312" w:cs="仿宋_GB2312"/>
          <w:snapToGrid w:val="0"/>
          <w:color w:val="auto"/>
          <w:kern w:val="32"/>
          <w:sz w:val="30"/>
          <w:szCs w:val="30"/>
          <w:highlight w:val="none"/>
        </w:rPr>
        <w:drawing>
          <wp:anchor distT="0" distB="0" distL="114300" distR="114300" simplePos="0" relativeHeight="251666432" behindDoc="1" locked="0" layoutInCell="1" allowOverlap="1">
            <wp:simplePos x="0" y="0"/>
            <wp:positionH relativeFrom="column">
              <wp:posOffset>-275590</wp:posOffset>
            </wp:positionH>
            <wp:positionV relativeFrom="paragraph">
              <wp:posOffset>260350</wp:posOffset>
            </wp:positionV>
            <wp:extent cx="6140450" cy="6659880"/>
            <wp:effectExtent l="0" t="0" r="12700" b="7620"/>
            <wp:wrapTight wrapText="bothSides">
              <wp:wrapPolygon>
                <wp:start x="0" y="0"/>
                <wp:lineTo x="0" y="21600"/>
                <wp:lineTo x="21600" y="21600"/>
                <wp:lineTo x="21600" y="0"/>
                <wp:lineTo x="0" y="0"/>
              </wp:wrapPolygon>
            </wp:wrapTight>
            <wp:docPr id="2" name="图片 2" descr="1、座落于的新昌公园旁的宜丰农商银行业务大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座落于的新昌公园旁的宜丰农商银行业务大楼"/>
                    <pic:cNvPicPr>
                      <a:picLocks noChangeAspect="1"/>
                    </pic:cNvPicPr>
                  </pic:nvPicPr>
                  <pic:blipFill>
                    <a:blip r:embed="rId6"/>
                    <a:srcRect l="3387" t="-459" r="9235"/>
                    <a:stretch>
                      <a:fillRect/>
                    </a:stretch>
                  </pic:blipFill>
                  <pic:spPr>
                    <a:xfrm>
                      <a:off x="0" y="0"/>
                      <a:ext cx="6140450" cy="6659880"/>
                    </a:xfrm>
                    <a:prstGeom prst="rect">
                      <a:avLst/>
                    </a:prstGeom>
                    <a:noFill/>
                    <a:ln w="9525">
                      <a:noFill/>
                    </a:ln>
                  </pic:spPr>
                </pic:pic>
              </a:graphicData>
            </a:graphic>
          </wp:anchor>
        </w:drawing>
      </w:r>
    </w:p>
    <w:p>
      <w:pPr>
        <w:spacing w:line="520" w:lineRule="exact"/>
        <w:ind w:firstLine="600" w:firstLineChars="200"/>
        <w:rPr>
          <w:rFonts w:ascii="仿宋_GB2312" w:hAnsi="仿宋_GB2312" w:eastAsia="仿宋_GB2312" w:cs="仿宋_GB2312"/>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b/>
          <w:bCs/>
          <w:snapToGrid w:val="0"/>
          <w:color w:val="auto"/>
          <w:kern w:val="32"/>
          <w:sz w:val="44"/>
          <w:szCs w:val="44"/>
          <w:highlight w:val="none"/>
        </w:rPr>
      </w:pPr>
      <w:r>
        <w:rPr>
          <w:rFonts w:hint="eastAsia" w:ascii="方正小标宋简体" w:hAnsi="方正小标宋简体" w:eastAsia="方正小标宋简体" w:cs="方正小标宋简体"/>
          <w:b/>
          <w:bCs/>
          <w:snapToGrid w:val="0"/>
          <w:color w:val="auto"/>
          <w:kern w:val="32"/>
          <w:sz w:val="44"/>
          <w:szCs w:val="44"/>
          <w:highlight w:val="none"/>
        </w:rPr>
        <w:t>目录</w:t>
      </w: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董事长致辞.............</w:t>
      </w:r>
      <w:r>
        <w:rPr>
          <w:rFonts w:ascii="仿宋_GB2312" w:hAnsi="仿宋_GB2312" w:eastAsia="仿宋_GB2312" w:cs="仿宋_GB2312"/>
          <w:color w:val="auto"/>
          <w:sz w:val="30"/>
          <w:szCs w:val="30"/>
          <w:highlight w:val="none"/>
        </w:rPr>
        <w:t>....</w:t>
      </w:r>
      <w:r>
        <w:rPr>
          <w:rFonts w:hint="eastAsia" w:ascii="仿宋_GB2312" w:hAnsi="仿宋_GB2312" w:eastAsia="仿宋_GB2312" w:cs="仿宋_GB2312"/>
          <w:color w:val="auto"/>
          <w:sz w:val="30"/>
          <w:szCs w:val="30"/>
          <w:highlight w:val="none"/>
          <w:lang w:val="en-US" w:eastAsia="zh-CN"/>
        </w:rPr>
        <w:t>..................</w:t>
      </w:r>
      <w:r>
        <w:rPr>
          <w:rFonts w:hint="eastAsia" w:ascii="仿宋_GB2312" w:hAnsi="仿宋_GB2312" w:eastAsia="仿宋_GB2312" w:cs="仿宋_GB2312"/>
          <w:color w:val="auto"/>
          <w:sz w:val="30"/>
          <w:szCs w:val="30"/>
          <w:highlight w:val="none"/>
        </w:rPr>
        <w:t>.....</w:t>
      </w:r>
      <w:r>
        <w:rPr>
          <w:rFonts w:ascii="仿宋_GB2312" w:hAnsi="仿宋_GB2312" w:eastAsia="仿宋_GB2312" w:cs="仿宋_GB2312"/>
          <w:color w:val="auto"/>
          <w:sz w:val="30"/>
          <w:szCs w:val="30"/>
          <w:highlight w:val="none"/>
        </w:rPr>
        <w:t>3</w:t>
      </w:r>
    </w:p>
    <w:p>
      <w:pPr>
        <w:spacing w:line="520" w:lineRule="exact"/>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发展概况......</w:t>
      </w:r>
      <w:r>
        <w:rPr>
          <w:rFonts w:ascii="仿宋_GB2312" w:hAnsi="仿宋_GB2312" w:eastAsia="仿宋_GB2312" w:cs="仿宋_GB2312"/>
          <w:color w:val="auto"/>
          <w:sz w:val="30"/>
          <w:szCs w:val="30"/>
          <w:highlight w:val="none"/>
        </w:rPr>
        <w:t>..................</w:t>
      </w:r>
      <w:r>
        <w:rPr>
          <w:rFonts w:hint="eastAsia" w:ascii="仿宋_GB2312" w:hAnsi="仿宋_GB2312" w:eastAsia="仿宋_GB2312" w:cs="仿宋_GB2312"/>
          <w:color w:val="auto"/>
          <w:sz w:val="30"/>
          <w:szCs w:val="30"/>
          <w:highlight w:val="none"/>
        </w:rPr>
        <w:t>..................</w:t>
      </w:r>
      <w:r>
        <w:rPr>
          <w:rFonts w:ascii="仿宋_GB2312" w:hAnsi="仿宋_GB2312" w:eastAsia="仿宋_GB2312" w:cs="仿宋_GB2312"/>
          <w:color w:val="auto"/>
          <w:sz w:val="30"/>
          <w:szCs w:val="30"/>
          <w:highlight w:val="none"/>
        </w:rPr>
        <w:t>5</w:t>
      </w:r>
    </w:p>
    <w:p>
      <w:pPr>
        <w:spacing w:line="520" w:lineRule="exact"/>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企业文化.......</w:t>
      </w:r>
      <w:r>
        <w:rPr>
          <w:rFonts w:ascii="仿宋_GB2312" w:hAnsi="仿宋_GB2312" w:eastAsia="仿宋_GB2312" w:cs="仿宋_GB2312"/>
          <w:color w:val="auto"/>
          <w:sz w:val="30"/>
          <w:szCs w:val="30"/>
          <w:highlight w:val="none"/>
        </w:rPr>
        <w:t>..........</w:t>
      </w:r>
      <w:r>
        <w:rPr>
          <w:rFonts w:hint="eastAsia" w:ascii="仿宋_GB2312" w:hAnsi="仿宋_GB2312" w:eastAsia="仿宋_GB2312" w:cs="仿宋_GB2312"/>
          <w:color w:val="auto"/>
          <w:sz w:val="30"/>
          <w:szCs w:val="30"/>
          <w:highlight w:val="none"/>
        </w:rPr>
        <w:t>............</w:t>
      </w:r>
      <w:r>
        <w:rPr>
          <w:rFonts w:hint="eastAsia" w:ascii="仿宋_GB2312" w:hAnsi="仿宋_GB2312" w:eastAsia="仿宋_GB2312" w:cs="仿宋_GB2312"/>
          <w:color w:val="auto"/>
          <w:sz w:val="30"/>
          <w:szCs w:val="30"/>
          <w:highlight w:val="none"/>
          <w:lang w:val="en-US" w:eastAsia="zh-CN"/>
        </w:rPr>
        <w:t>.........</w:t>
      </w:r>
      <w:r>
        <w:rPr>
          <w:rFonts w:hint="eastAsia" w:ascii="仿宋_GB2312" w:hAnsi="仿宋_GB2312" w:eastAsia="仿宋_GB2312" w:cs="仿宋_GB2312"/>
          <w:color w:val="auto"/>
          <w:sz w:val="30"/>
          <w:szCs w:val="30"/>
          <w:highlight w:val="none"/>
        </w:rPr>
        <w:t>....</w:t>
      </w:r>
      <w:r>
        <w:rPr>
          <w:rFonts w:ascii="仿宋_GB2312" w:hAnsi="仿宋_GB2312" w:eastAsia="仿宋_GB2312" w:cs="仿宋_GB2312"/>
          <w:color w:val="auto"/>
          <w:sz w:val="30"/>
          <w:szCs w:val="30"/>
          <w:highlight w:val="none"/>
        </w:rPr>
        <w:t>6</w:t>
      </w:r>
    </w:p>
    <w:p>
      <w:pPr>
        <w:spacing w:line="520" w:lineRule="exact"/>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责任荣誉..........</w:t>
      </w:r>
      <w:r>
        <w:rPr>
          <w:rFonts w:ascii="仿宋_GB2312" w:hAnsi="仿宋_GB2312" w:eastAsia="仿宋_GB2312" w:cs="仿宋_GB2312"/>
          <w:color w:val="auto"/>
          <w:sz w:val="30"/>
          <w:szCs w:val="30"/>
          <w:highlight w:val="none"/>
        </w:rPr>
        <w:t>.............</w:t>
      </w:r>
      <w:r>
        <w:rPr>
          <w:rFonts w:hint="eastAsia" w:ascii="仿宋_GB2312" w:hAnsi="仿宋_GB2312" w:eastAsia="仿宋_GB2312" w:cs="仿宋_GB2312"/>
          <w:color w:val="auto"/>
          <w:sz w:val="30"/>
          <w:szCs w:val="30"/>
          <w:highlight w:val="none"/>
        </w:rPr>
        <w:t>.......</w:t>
      </w:r>
      <w:r>
        <w:rPr>
          <w:rFonts w:hint="eastAsia" w:ascii="仿宋_GB2312" w:hAnsi="仿宋_GB2312" w:eastAsia="仿宋_GB2312" w:cs="仿宋_GB2312"/>
          <w:color w:val="auto"/>
          <w:sz w:val="30"/>
          <w:szCs w:val="30"/>
          <w:highlight w:val="none"/>
          <w:lang w:val="en-US" w:eastAsia="zh-CN"/>
        </w:rPr>
        <w:t>........</w:t>
      </w:r>
      <w:r>
        <w:rPr>
          <w:rFonts w:hint="eastAsia" w:ascii="仿宋_GB2312" w:hAnsi="仿宋_GB2312" w:eastAsia="仿宋_GB2312" w:cs="仿宋_GB2312"/>
          <w:color w:val="auto"/>
          <w:sz w:val="30"/>
          <w:szCs w:val="30"/>
          <w:highlight w:val="none"/>
        </w:rPr>
        <w:t>....</w:t>
      </w:r>
      <w:r>
        <w:rPr>
          <w:rFonts w:ascii="仿宋_GB2312" w:hAnsi="仿宋_GB2312" w:eastAsia="仿宋_GB2312" w:cs="仿宋_GB2312"/>
          <w:color w:val="auto"/>
          <w:sz w:val="30"/>
          <w:szCs w:val="30"/>
          <w:highlight w:val="none"/>
        </w:rPr>
        <w:t>8</w:t>
      </w:r>
    </w:p>
    <w:p>
      <w:pPr>
        <w:spacing w:line="520" w:lineRule="exact"/>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关键绩效指标.........</w:t>
      </w:r>
      <w:r>
        <w:rPr>
          <w:rFonts w:ascii="仿宋_GB2312" w:hAnsi="仿宋_GB2312" w:eastAsia="仿宋_GB2312" w:cs="仿宋_GB2312"/>
          <w:color w:val="auto"/>
          <w:sz w:val="30"/>
          <w:szCs w:val="30"/>
          <w:highlight w:val="none"/>
        </w:rPr>
        <w:t>.........</w:t>
      </w:r>
      <w:r>
        <w:rPr>
          <w:rFonts w:hint="eastAsia" w:ascii="仿宋_GB2312" w:hAnsi="仿宋_GB2312" w:eastAsia="仿宋_GB2312" w:cs="仿宋_GB2312"/>
          <w:color w:val="auto"/>
          <w:sz w:val="30"/>
          <w:szCs w:val="30"/>
          <w:highlight w:val="none"/>
        </w:rPr>
        <w:t>.....</w:t>
      </w:r>
      <w:r>
        <w:rPr>
          <w:rFonts w:hint="eastAsia" w:ascii="仿宋_GB2312" w:hAnsi="仿宋_GB2312" w:eastAsia="仿宋_GB2312" w:cs="仿宋_GB2312"/>
          <w:color w:val="auto"/>
          <w:sz w:val="30"/>
          <w:szCs w:val="30"/>
          <w:highlight w:val="none"/>
          <w:lang w:val="en-US" w:eastAsia="zh-CN"/>
        </w:rPr>
        <w:t>...........</w:t>
      </w:r>
      <w:r>
        <w:rPr>
          <w:rFonts w:hint="eastAsia" w:ascii="仿宋_GB2312" w:hAnsi="仿宋_GB2312" w:eastAsia="仿宋_GB2312" w:cs="仿宋_GB2312"/>
          <w:color w:val="auto"/>
          <w:sz w:val="30"/>
          <w:szCs w:val="30"/>
          <w:highlight w:val="none"/>
        </w:rPr>
        <w:t>...1</w:t>
      </w:r>
      <w:r>
        <w:rPr>
          <w:rFonts w:ascii="仿宋_GB2312" w:hAnsi="仿宋_GB2312" w:eastAsia="仿宋_GB2312" w:cs="仿宋_GB2312"/>
          <w:color w:val="auto"/>
          <w:sz w:val="30"/>
          <w:szCs w:val="30"/>
          <w:highlight w:val="none"/>
        </w:rPr>
        <w:t>1</w:t>
      </w:r>
    </w:p>
    <w:p>
      <w:pPr>
        <w:spacing w:line="520" w:lineRule="exact"/>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展望未来..........</w:t>
      </w:r>
      <w:r>
        <w:rPr>
          <w:rFonts w:ascii="仿宋_GB2312" w:hAnsi="仿宋_GB2312" w:eastAsia="仿宋_GB2312" w:cs="仿宋_GB2312"/>
          <w:color w:val="auto"/>
          <w:sz w:val="30"/>
          <w:szCs w:val="30"/>
          <w:highlight w:val="none"/>
        </w:rPr>
        <w:t>.............</w:t>
      </w:r>
      <w:r>
        <w:rPr>
          <w:rFonts w:hint="eastAsia" w:ascii="仿宋_GB2312" w:hAnsi="仿宋_GB2312" w:eastAsia="仿宋_GB2312" w:cs="仿宋_GB2312"/>
          <w:color w:val="auto"/>
          <w:sz w:val="30"/>
          <w:szCs w:val="30"/>
          <w:highlight w:val="none"/>
        </w:rPr>
        <w:t>.</w:t>
      </w:r>
      <w:r>
        <w:rPr>
          <w:rFonts w:hint="eastAsia" w:ascii="仿宋_GB2312" w:hAnsi="仿宋_GB2312" w:eastAsia="仿宋_GB2312" w:cs="仿宋_GB2312"/>
          <w:color w:val="auto"/>
          <w:sz w:val="30"/>
          <w:szCs w:val="30"/>
          <w:highlight w:val="none"/>
          <w:lang w:val="en-US" w:eastAsia="zh-CN"/>
        </w:rPr>
        <w:t>...........</w:t>
      </w:r>
      <w:r>
        <w:rPr>
          <w:rFonts w:hint="eastAsia" w:ascii="仿宋_GB2312" w:hAnsi="仿宋_GB2312" w:eastAsia="仿宋_GB2312" w:cs="仿宋_GB2312"/>
          <w:color w:val="auto"/>
          <w:sz w:val="30"/>
          <w:szCs w:val="30"/>
          <w:highlight w:val="none"/>
        </w:rPr>
        <w:t>......</w:t>
      </w:r>
      <w:r>
        <w:rPr>
          <w:rFonts w:ascii="仿宋_GB2312" w:hAnsi="仿宋_GB2312" w:eastAsia="仿宋_GB2312" w:cs="仿宋_GB2312"/>
          <w:color w:val="auto"/>
          <w:sz w:val="30"/>
          <w:szCs w:val="30"/>
          <w:highlight w:val="none"/>
        </w:rPr>
        <w:t>16</w:t>
      </w:r>
    </w:p>
    <w:p>
      <w:pPr>
        <w:spacing w:line="520" w:lineRule="exact"/>
        <w:rPr>
          <w:rFonts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报告说明..........</w:t>
      </w:r>
      <w:r>
        <w:rPr>
          <w:rFonts w:ascii="仿宋_GB2312" w:hAnsi="仿宋_GB2312" w:eastAsia="仿宋_GB2312" w:cs="仿宋_GB2312"/>
          <w:color w:val="auto"/>
          <w:sz w:val="30"/>
          <w:szCs w:val="30"/>
          <w:highlight w:val="none"/>
        </w:rPr>
        <w:t>................</w:t>
      </w:r>
      <w:r>
        <w:rPr>
          <w:rFonts w:hint="eastAsia" w:ascii="仿宋_GB2312" w:hAnsi="仿宋_GB2312" w:eastAsia="仿宋_GB2312" w:cs="仿宋_GB2312"/>
          <w:color w:val="auto"/>
          <w:sz w:val="30"/>
          <w:szCs w:val="30"/>
          <w:highlight w:val="none"/>
          <w:lang w:val="en-US" w:eastAsia="zh-CN"/>
        </w:rPr>
        <w:t>......</w:t>
      </w:r>
      <w:r>
        <w:rPr>
          <w:rFonts w:hint="eastAsia" w:ascii="仿宋_GB2312" w:hAnsi="仿宋_GB2312" w:eastAsia="仿宋_GB2312" w:cs="仿宋_GB2312"/>
          <w:color w:val="auto"/>
          <w:sz w:val="30"/>
          <w:szCs w:val="30"/>
          <w:highlight w:val="none"/>
        </w:rPr>
        <w:t>.........</w:t>
      </w:r>
      <w:r>
        <w:rPr>
          <w:rFonts w:ascii="仿宋_GB2312" w:hAnsi="仿宋_GB2312" w:eastAsia="仿宋_GB2312" w:cs="仿宋_GB2312"/>
          <w:color w:val="auto"/>
          <w:sz w:val="30"/>
          <w:szCs w:val="30"/>
          <w:highlight w:val="none"/>
        </w:rPr>
        <w:t>18</w:t>
      </w: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hint="eastAsia" w:ascii="方正小标宋简体" w:hAnsi="方正小标宋简体" w:eastAsia="方正小标宋简体" w:cs="方正小标宋简体"/>
          <w:b/>
          <w:bCs/>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snapToGrid w:val="0"/>
          <w:color w:val="auto"/>
          <w:kern w:val="32"/>
          <w:sz w:val="44"/>
          <w:szCs w:val="44"/>
          <w:highlight w:val="none"/>
        </w:rPr>
      </w:pPr>
      <w:r>
        <w:rPr>
          <w:rFonts w:hint="eastAsia" w:ascii="方正小标宋简体" w:hAnsi="方正小标宋简体" w:eastAsia="方正小标宋简体" w:cs="方正小标宋简体"/>
          <w:b/>
          <w:bCs/>
          <w:snapToGrid w:val="0"/>
          <w:color w:val="auto"/>
          <w:kern w:val="32"/>
          <w:sz w:val="44"/>
          <w:szCs w:val="44"/>
          <w:highlight w:val="none"/>
        </w:rPr>
        <w:t>董事长致辞</w:t>
      </w:r>
    </w:p>
    <w:p>
      <w:pPr>
        <w:pStyle w:val="3"/>
        <w:spacing w:line="520" w:lineRule="exact"/>
        <w:ind w:firstLine="600" w:firstLineChars="200"/>
        <w:rPr>
          <w:rFonts w:hAnsi="仿宋_GB2312" w:cs="仿宋_GB2312"/>
          <w:color w:val="auto"/>
          <w:sz w:val="30"/>
          <w:szCs w:val="30"/>
          <w:highlight w:val="none"/>
        </w:rPr>
      </w:pPr>
    </w:p>
    <w:p>
      <w:pPr>
        <w:pStyle w:val="3"/>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outlineLvl w:val="9"/>
        <w:rPr>
          <w:rFonts w:hAnsi="仿宋_GB2312" w:cs="仿宋_GB2312"/>
          <w:color w:val="auto"/>
          <w:sz w:val="30"/>
          <w:szCs w:val="30"/>
          <w:highlight w:val="none"/>
        </w:rPr>
      </w:pPr>
      <w:r>
        <w:rPr>
          <w:rFonts w:hint="eastAsia" w:hAnsi="仿宋_GB2312" w:cs="仿宋_GB2312"/>
          <w:color w:val="auto"/>
          <w:sz w:val="30"/>
          <w:szCs w:val="30"/>
          <w:highlight w:val="none"/>
        </w:rPr>
        <w:t>2021年是不平凡的一年，既是我们攻克时艰、爬坡过坎的艰辛年，也是提速换挡、改革转型的喜绩年。时间记录坚实的脚步，岁月镌刻奋斗的足迹。回看这一年，我们步步用心、步步出新，同心同德、共享共进，在“十四五”开局之年迈好了第一步、见到了新气象。</w:t>
      </w:r>
    </w:p>
    <w:p>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outlineLvl w:val="9"/>
        <w:rPr>
          <w:rFonts w:ascii="仿宋_GB2312" w:hAnsi="仿宋_GB2312" w:eastAsia="仿宋_GB2312" w:cs="仿宋_GB2312"/>
          <w:snapToGrid w:val="0"/>
          <w:color w:val="auto"/>
          <w:kern w:val="32"/>
          <w:sz w:val="30"/>
          <w:szCs w:val="30"/>
          <w:highlight w:val="none"/>
        </w:rPr>
      </w:pPr>
      <w:r>
        <w:rPr>
          <w:rFonts w:hint="eastAsia" w:ascii="楷体_GB2312" w:hAnsi="楷体_GB2312" w:eastAsia="楷体_GB2312" w:cs="楷体_GB2312"/>
          <w:b/>
          <w:bCs/>
          <w:color w:val="auto"/>
          <w:sz w:val="30"/>
          <w:szCs w:val="30"/>
          <w:highlight w:val="none"/>
        </w:rPr>
        <w:t>——业务发展跃上了新台阶。</w:t>
      </w:r>
      <w:r>
        <w:rPr>
          <w:rFonts w:hint="eastAsia" w:ascii="仿宋_GB2312" w:hAnsi="仿宋_GB2312" w:eastAsia="仿宋_GB2312" w:cs="仿宋_GB2312"/>
          <w:snapToGrid w:val="0"/>
          <w:color w:val="auto"/>
          <w:kern w:val="32"/>
          <w:sz w:val="30"/>
          <w:szCs w:val="30"/>
          <w:highlight w:val="none"/>
          <w:lang w:val="zh-CN"/>
        </w:rPr>
        <w:t>至</w:t>
      </w:r>
      <w:r>
        <w:rPr>
          <w:rFonts w:hint="eastAsia" w:ascii="仿宋_GB2312" w:hAnsi="仿宋_GB2312" w:eastAsia="仿宋_GB2312" w:cs="仿宋_GB2312"/>
          <w:snapToGrid w:val="0"/>
          <w:color w:val="auto"/>
          <w:kern w:val="32"/>
          <w:sz w:val="30"/>
          <w:szCs w:val="30"/>
          <w:highlight w:val="none"/>
        </w:rPr>
        <w:t>2021年</w:t>
      </w:r>
      <w:r>
        <w:rPr>
          <w:rFonts w:hint="eastAsia" w:ascii="仿宋_GB2312" w:hAnsi="仿宋_GB2312" w:eastAsia="仿宋_GB2312" w:cs="仿宋_GB2312"/>
          <w:snapToGrid w:val="0"/>
          <w:color w:val="auto"/>
          <w:kern w:val="32"/>
          <w:sz w:val="30"/>
          <w:szCs w:val="30"/>
          <w:highlight w:val="none"/>
          <w:lang w:val="zh-CN"/>
        </w:rPr>
        <w:t>末，</w:t>
      </w:r>
      <w:r>
        <w:rPr>
          <w:rFonts w:hint="eastAsia" w:ascii="仿宋_GB2312" w:hAnsi="仿宋_GB2312" w:eastAsia="仿宋_GB2312" w:cs="仿宋_GB2312"/>
          <w:snapToGrid w:val="0"/>
          <w:color w:val="auto"/>
          <w:kern w:val="32"/>
          <w:sz w:val="30"/>
          <w:szCs w:val="30"/>
          <w:highlight w:val="none"/>
        </w:rPr>
        <w:t>各项存款余额77.15亿元，较年初增加6.88亿元，增长9.79%,完成全年目标计划的110.96%；各项贷款余额61.22亿元，较年初增加6.64亿元，增长12.16%，完成全年目标计划的101.48%。</w:t>
      </w:r>
      <w:r>
        <w:rPr>
          <w:rFonts w:hint="eastAsia" w:ascii="仿宋_GB2312" w:eastAsia="仿宋_GB2312"/>
          <w:snapToGrid w:val="0"/>
          <w:color w:val="auto"/>
          <w:sz w:val="30"/>
          <w:szCs w:val="30"/>
          <w:highlight w:val="none"/>
        </w:rPr>
        <w:t>综合业绩在全省农商银行排名第30位，</w:t>
      </w:r>
      <w:r>
        <w:rPr>
          <w:rFonts w:hint="eastAsia" w:ascii="仿宋_GB2312" w:hAnsi="仿宋_GB2312" w:eastAsia="仿宋_GB2312" w:cs="仿宋_GB2312"/>
          <w:color w:val="auto"/>
          <w:sz w:val="30"/>
          <w:szCs w:val="30"/>
          <w:highlight w:val="none"/>
        </w:rPr>
        <w:t>较上年末上升了16位，创历史新高，被省联社授予2021年度“资金组织先进单位”称号。</w:t>
      </w:r>
    </w:p>
    <w:p>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outlineLvl w:val="9"/>
        <w:rPr>
          <w:rFonts w:ascii="仿宋_GB2312" w:hAnsi="仿宋" w:eastAsia="仿宋_GB2312"/>
          <w:color w:val="auto"/>
          <w:sz w:val="30"/>
          <w:szCs w:val="30"/>
          <w:highlight w:val="none"/>
        </w:rPr>
      </w:pPr>
      <w:r>
        <w:rPr>
          <w:rFonts w:hint="eastAsia" w:ascii="楷体_GB2312" w:eastAsia="楷体_GB2312"/>
          <w:b/>
          <w:color w:val="auto"/>
          <w:sz w:val="30"/>
          <w:szCs w:val="30"/>
          <w:highlight w:val="none"/>
        </w:rPr>
        <w:t>——服务实体实现了新提升。</w:t>
      </w:r>
      <w:r>
        <w:rPr>
          <w:rFonts w:hint="eastAsia" w:ascii="仿宋_GB2312" w:hAnsi="仿宋_GB2312" w:eastAsia="仿宋_GB2312" w:cs="仿宋_GB2312"/>
          <w:snapToGrid w:val="0"/>
          <w:color w:val="auto"/>
          <w:kern w:val="32"/>
          <w:sz w:val="30"/>
          <w:szCs w:val="30"/>
          <w:highlight w:val="none"/>
        </w:rPr>
        <w:t>突出支农支小主责主业，</w:t>
      </w:r>
      <w:r>
        <w:rPr>
          <w:rFonts w:hint="eastAsia" w:ascii="仿宋_GB2312" w:hAnsi="仿宋_GB2312" w:eastAsia="仿宋_GB2312" w:cs="仿宋_GB2312"/>
          <w:bCs/>
          <w:color w:val="auto"/>
          <w:sz w:val="30"/>
          <w:szCs w:val="30"/>
          <w:highlight w:val="none"/>
        </w:rPr>
        <w:t>实现</w:t>
      </w:r>
      <w:r>
        <w:rPr>
          <w:rFonts w:hint="eastAsia" w:ascii="仿宋_GB2312" w:hAnsi="仿宋_GB2312" w:eastAsia="仿宋_GB2312" w:cs="仿宋_GB2312"/>
          <w:color w:val="auto"/>
          <w:sz w:val="30"/>
          <w:szCs w:val="30"/>
          <w:highlight w:val="none"/>
        </w:rPr>
        <w:t>了涉农贷款持续增长和普惠型小微企业贷款“两增两控”目标。全面落实助企纾困金融政策，全年共为64户、99笔贷款实施延期还本2.99亿元。</w:t>
      </w:r>
    </w:p>
    <w:p>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outlineLvl w:val="9"/>
        <w:rPr>
          <w:rFonts w:ascii="仿宋_GB2312" w:eastAsia="仿宋_GB2312"/>
          <w:caps/>
          <w:color w:val="auto"/>
          <w:sz w:val="30"/>
          <w:szCs w:val="30"/>
          <w:highlight w:val="none"/>
          <w:lang w:val="zh-CN"/>
        </w:rPr>
      </w:pPr>
      <w:r>
        <w:rPr>
          <w:rFonts w:hint="eastAsia" w:ascii="楷体_GB2312" w:eastAsia="楷体_GB2312"/>
          <w:b/>
          <w:color w:val="auto"/>
          <w:sz w:val="30"/>
          <w:szCs w:val="30"/>
          <w:highlight w:val="none"/>
        </w:rPr>
        <w:t>——风险处置展现了新作为。</w:t>
      </w:r>
      <w:r>
        <w:rPr>
          <w:rFonts w:hint="eastAsia" w:ascii="仿宋_GB2312" w:eastAsia="仿宋_GB2312"/>
          <w:caps/>
          <w:color w:val="auto"/>
          <w:sz w:val="30"/>
          <w:szCs w:val="30"/>
          <w:highlight w:val="none"/>
        </w:rPr>
        <w:t>抓好了不良贷款清收处置和新增贷款质量管理，全年清收处置表内不良贷款7472.64万元，收回表外不良贷款2450.1万元。年末不良贷款余额1.98亿元，较年初下降0.18亿元；</w:t>
      </w:r>
      <w:r>
        <w:rPr>
          <w:rFonts w:hint="eastAsia" w:ascii="仿宋_GB2312" w:eastAsia="仿宋_GB2312"/>
          <w:caps/>
          <w:color w:val="auto"/>
          <w:sz w:val="30"/>
          <w:szCs w:val="30"/>
          <w:highlight w:val="none"/>
          <w:lang w:val="zh-CN"/>
        </w:rPr>
        <w:t>不良贷款率</w:t>
      </w:r>
      <w:r>
        <w:rPr>
          <w:rFonts w:hint="eastAsia" w:ascii="仿宋_GB2312" w:eastAsia="仿宋_GB2312"/>
          <w:caps/>
          <w:color w:val="auto"/>
          <w:sz w:val="30"/>
          <w:szCs w:val="30"/>
          <w:highlight w:val="none"/>
        </w:rPr>
        <w:t>3.23</w:t>
      </w:r>
      <w:r>
        <w:rPr>
          <w:rFonts w:hint="eastAsia" w:ascii="仿宋_GB2312" w:eastAsia="仿宋_GB2312"/>
          <w:caps/>
          <w:color w:val="auto"/>
          <w:sz w:val="30"/>
          <w:szCs w:val="30"/>
          <w:highlight w:val="none"/>
          <w:lang w:val="zh-CN"/>
        </w:rPr>
        <w:t>%，较</w:t>
      </w:r>
      <w:r>
        <w:rPr>
          <w:rFonts w:hint="eastAsia" w:ascii="仿宋_GB2312" w:eastAsia="仿宋_GB2312"/>
          <w:caps/>
          <w:color w:val="auto"/>
          <w:sz w:val="30"/>
          <w:szCs w:val="30"/>
          <w:highlight w:val="none"/>
        </w:rPr>
        <w:t>年初</w:t>
      </w:r>
      <w:r>
        <w:rPr>
          <w:rFonts w:hint="eastAsia" w:ascii="仿宋_GB2312" w:eastAsia="仿宋_GB2312"/>
          <w:caps/>
          <w:color w:val="auto"/>
          <w:sz w:val="30"/>
          <w:szCs w:val="30"/>
          <w:highlight w:val="none"/>
          <w:lang w:val="zh-CN"/>
        </w:rPr>
        <w:t>下降</w:t>
      </w:r>
      <w:r>
        <w:rPr>
          <w:rFonts w:hint="eastAsia" w:ascii="仿宋_GB2312" w:eastAsia="仿宋_GB2312"/>
          <w:caps/>
          <w:color w:val="auto"/>
          <w:sz w:val="30"/>
          <w:szCs w:val="30"/>
          <w:highlight w:val="none"/>
        </w:rPr>
        <w:t>0.72</w:t>
      </w:r>
      <w:r>
        <w:rPr>
          <w:rFonts w:hint="eastAsia" w:ascii="仿宋_GB2312" w:eastAsia="仿宋_GB2312"/>
          <w:caps/>
          <w:color w:val="auto"/>
          <w:sz w:val="30"/>
          <w:szCs w:val="30"/>
          <w:highlight w:val="none"/>
          <w:lang w:val="zh-CN"/>
        </w:rPr>
        <w:t>个百分点，</w:t>
      </w:r>
      <w:r>
        <w:rPr>
          <w:rFonts w:hint="eastAsia" w:ascii="仿宋_GB2312" w:eastAsia="仿宋_GB2312"/>
          <w:caps/>
          <w:color w:val="auto"/>
          <w:sz w:val="30"/>
          <w:szCs w:val="30"/>
          <w:highlight w:val="none"/>
        </w:rPr>
        <w:t>不良贷款实现“双降”</w:t>
      </w:r>
      <w:r>
        <w:rPr>
          <w:rFonts w:hint="eastAsia" w:ascii="仿宋_GB2312" w:eastAsia="仿宋_GB2312"/>
          <w:caps/>
          <w:color w:val="auto"/>
          <w:sz w:val="30"/>
          <w:szCs w:val="30"/>
          <w:highlight w:val="none"/>
          <w:lang w:val="zh-CN"/>
        </w:rPr>
        <w:t>。</w:t>
      </w:r>
    </w:p>
    <w:p>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outlineLvl w:val="9"/>
        <w:rPr>
          <w:rFonts w:ascii="仿宋_GB2312" w:hAnsi="仿宋_GB2312" w:eastAsia="仿宋_GB2312" w:cs="仿宋_GB2312"/>
          <w:color w:val="auto"/>
          <w:sz w:val="30"/>
          <w:szCs w:val="30"/>
          <w:highlight w:val="none"/>
          <w:lang w:val="zh-CN"/>
        </w:rPr>
      </w:pPr>
      <w:r>
        <w:rPr>
          <w:rFonts w:hint="eastAsia" w:ascii="楷体_GB2312" w:eastAsia="楷体_GB2312"/>
          <w:b/>
          <w:color w:val="auto"/>
          <w:sz w:val="30"/>
          <w:szCs w:val="30"/>
          <w:highlight w:val="none"/>
        </w:rPr>
        <w:t>——提质增效迈出了新步伐。</w:t>
      </w:r>
      <w:r>
        <w:rPr>
          <w:rFonts w:hint="eastAsia" w:ascii="仿宋_GB2312" w:eastAsia="仿宋_GB2312"/>
          <w:caps/>
          <w:color w:val="auto"/>
          <w:sz w:val="30"/>
          <w:szCs w:val="30"/>
          <w:highlight w:val="none"/>
        </w:rPr>
        <w:t>全年实现各项收入4.23亿元，同比增长17.58%；净利润0.45亿元，完成全年计划100.11%。监管指标持续达标，</w:t>
      </w:r>
      <w:r>
        <w:rPr>
          <w:rFonts w:hint="eastAsia" w:ascii="仿宋_GB2312" w:eastAsia="仿宋_GB2312"/>
          <w:caps/>
          <w:color w:val="auto"/>
          <w:sz w:val="30"/>
          <w:szCs w:val="30"/>
          <w:highlight w:val="none"/>
          <w:lang w:val="zh-CN"/>
        </w:rPr>
        <w:t>资本充足率13.56%，优于监管指标3.06个百分点；一级资本充足率12.44%，优于监管指标3.94个百分点；流动性比例</w:t>
      </w:r>
      <w:r>
        <w:rPr>
          <w:rFonts w:hint="eastAsia" w:ascii="仿宋_GB2312" w:eastAsia="仿宋_GB2312"/>
          <w:caps/>
          <w:color w:val="auto"/>
          <w:sz w:val="30"/>
          <w:szCs w:val="30"/>
          <w:highlight w:val="none"/>
        </w:rPr>
        <w:t>36.7</w:t>
      </w:r>
      <w:r>
        <w:rPr>
          <w:rFonts w:hint="eastAsia" w:ascii="仿宋_GB2312" w:eastAsia="仿宋_GB2312"/>
          <w:caps/>
          <w:color w:val="auto"/>
          <w:sz w:val="30"/>
          <w:szCs w:val="30"/>
          <w:highlight w:val="none"/>
          <w:lang w:val="zh-CN"/>
        </w:rPr>
        <w:t>%，优于监管指标</w:t>
      </w:r>
      <w:r>
        <w:rPr>
          <w:rFonts w:hint="eastAsia" w:ascii="仿宋_GB2312" w:eastAsia="仿宋_GB2312"/>
          <w:caps/>
          <w:color w:val="auto"/>
          <w:sz w:val="30"/>
          <w:szCs w:val="30"/>
          <w:highlight w:val="none"/>
        </w:rPr>
        <w:t>11.7</w:t>
      </w:r>
      <w:r>
        <w:rPr>
          <w:rFonts w:hint="eastAsia" w:ascii="仿宋_GB2312" w:eastAsia="仿宋_GB2312"/>
          <w:caps/>
          <w:color w:val="auto"/>
          <w:sz w:val="30"/>
          <w:szCs w:val="30"/>
          <w:highlight w:val="none"/>
          <w:lang w:val="zh-CN"/>
        </w:rPr>
        <w:t>个百分点。</w:t>
      </w:r>
    </w:p>
    <w:p>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outlineLvl w:val="9"/>
        <w:rPr>
          <w:rFonts w:ascii="仿宋_GB2312" w:eastAsia="仿宋_GB2312"/>
          <w:color w:val="auto"/>
          <w:sz w:val="30"/>
          <w:szCs w:val="30"/>
          <w:highlight w:val="none"/>
        </w:rPr>
      </w:pPr>
      <w:r>
        <w:rPr>
          <w:rFonts w:hint="eastAsia" w:ascii="楷体_GB2312" w:hAnsi="楷体_GB2312" w:eastAsia="楷体_GB2312" w:cs="楷体_GB2312"/>
          <w:b/>
          <w:bCs/>
          <w:color w:val="auto"/>
          <w:sz w:val="30"/>
          <w:szCs w:val="30"/>
          <w:highlight w:val="none"/>
        </w:rPr>
        <w:t>——党建工作焕发了新活力。</w:t>
      </w:r>
      <w:r>
        <w:rPr>
          <w:rFonts w:hint="eastAsia" w:ascii="仿宋_GB2312" w:eastAsia="仿宋_GB2312"/>
          <w:color w:val="auto"/>
          <w:sz w:val="30"/>
          <w:szCs w:val="30"/>
          <w:highlight w:val="none"/>
        </w:rPr>
        <w:t>坚持党建引领，持续推动了党史学习教育走深走实，举办了庆祝建党100周年系列活动，</w:t>
      </w:r>
      <w:r>
        <w:rPr>
          <w:rFonts w:hint="eastAsia" w:ascii="仿宋_GB2312" w:eastAsia="仿宋_GB2312"/>
          <w:color w:val="auto"/>
          <w:sz w:val="30"/>
          <w:szCs w:val="30"/>
          <w:highlight w:val="none"/>
          <w:lang w:val="zh-CN"/>
        </w:rPr>
        <w:t>扎实开展了“我为群众办实事”实践活动，</w:t>
      </w:r>
      <w:r>
        <w:rPr>
          <w:rFonts w:hint="eastAsia" w:ascii="仿宋_GB2312" w:eastAsia="仿宋_GB2312"/>
          <w:color w:val="auto"/>
          <w:sz w:val="30"/>
          <w:szCs w:val="30"/>
          <w:highlight w:val="none"/>
        </w:rPr>
        <w:t>进一步坚定了党员理想信念。纵深推进全面从严治党，开展了党委书记讲廉政党课、“一把手”讲清廉，大力弘扬清廉金融文化，加大监督执纪问责力度，扎实推进支部“三化”建设，推动政治生态持续向上向好。持续打响了“党建+乡村振兴”“党建+普惠金融”等特色品牌，推进了党建与业务深度融合。开展了员工集体生日会、趣味运动会等群团活动，多名员工在省、市2021年业务技能竞赛上获奖，营造了争先创优的浓厚氛围。</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outlineLvl w:val="9"/>
        <w:rPr>
          <w:rFonts w:ascii="仿宋_GB2312" w:eastAsia="仿宋_GB2312"/>
          <w:color w:val="auto"/>
          <w:sz w:val="30"/>
          <w:szCs w:val="30"/>
          <w:highlight w:val="none"/>
        </w:rPr>
      </w:pPr>
      <w:r>
        <w:rPr>
          <w:rFonts w:hint="eastAsia" w:ascii="仿宋_GB2312" w:eastAsia="仿宋_GB2312"/>
          <w:color w:val="auto"/>
          <w:sz w:val="30"/>
          <w:szCs w:val="30"/>
          <w:highlight w:val="none"/>
        </w:rPr>
        <w:t>时代眷顾奋斗者，星光不负赶路人。过去一年，面对严峻复杂的发展环境和前所未有的竞争压力，我们能够取得上述成绩，极为不易，难能可贵。这是习近平新时代中国特色社会主义思想科学指引的结果，是县委、县政府正确领导的结果，是各有关部门和社会各界关心支持的结果，是全行广大干部员工感恩奋进、顽强拼搏的结果。在此，我代表总行党委，向一直以来关心支持我行的各级领导、全体股东、新老客户、社会各界朋友、全体干部员工及其家属表示衷心的感谢，致以崇高的敬意！</w:t>
      </w:r>
    </w:p>
    <w:p>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rPr>
          <w:rFonts w:ascii="仿宋_GB2312" w:hAnsi="仿宋_GB2312" w:eastAsia="仿宋_GB2312" w:cs="仿宋_GB2312"/>
          <w:b/>
          <w:bCs/>
          <w:snapToGrid w:val="0"/>
          <w:color w:val="auto"/>
          <w:kern w:val="32"/>
          <w:sz w:val="30"/>
          <w:szCs w:val="30"/>
          <w:highlight w:val="none"/>
        </w:rPr>
      </w:pPr>
    </w:p>
    <w:p>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rPr>
          <w:rFonts w:ascii="仿宋_GB2312" w:hAnsi="仿宋_GB2312" w:eastAsia="仿宋_GB2312" w:cs="仿宋_GB2312"/>
          <w:snapToGrid w:val="0"/>
          <w:color w:val="auto"/>
          <w:kern w:val="32"/>
          <w:sz w:val="30"/>
          <w:szCs w:val="30"/>
          <w:highlight w:val="none"/>
        </w:rPr>
      </w:pPr>
      <w:r>
        <w:rPr>
          <w:rFonts w:hint="eastAsia" w:ascii="仿宋_GB2312" w:hAnsi="仿宋_GB2312" w:eastAsia="仿宋_GB2312" w:cs="仿宋_GB2312"/>
          <w:b/>
          <w:bCs/>
          <w:snapToGrid w:val="0"/>
          <w:color w:val="auto"/>
          <w:kern w:val="32"/>
          <w:sz w:val="30"/>
          <w:szCs w:val="30"/>
          <w:highlight w:val="none"/>
        </w:rPr>
        <w:drawing>
          <wp:anchor distT="0" distB="0" distL="114300" distR="114300" simplePos="0" relativeHeight="251658240" behindDoc="1" locked="0" layoutInCell="1" allowOverlap="1">
            <wp:simplePos x="0" y="0"/>
            <wp:positionH relativeFrom="column">
              <wp:posOffset>4127500</wp:posOffset>
            </wp:positionH>
            <wp:positionV relativeFrom="paragraph">
              <wp:posOffset>93980</wp:posOffset>
            </wp:positionV>
            <wp:extent cx="1365885" cy="792480"/>
            <wp:effectExtent l="0" t="0" r="5715" b="7620"/>
            <wp:wrapNone/>
            <wp:docPr id="6" name="图片 5" descr="董事长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董事长签名"/>
                    <pic:cNvPicPr>
                      <a:picLocks noChangeAspect="1"/>
                    </pic:cNvPicPr>
                  </pic:nvPicPr>
                  <pic:blipFill>
                    <a:blip r:embed="rId7"/>
                    <a:stretch>
                      <a:fillRect/>
                    </a:stretch>
                  </pic:blipFill>
                  <pic:spPr>
                    <a:xfrm>
                      <a:off x="0" y="0"/>
                      <a:ext cx="1365885" cy="79248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firstLine="1800" w:firstLineChars="600"/>
        <w:textAlignment w:val="auto"/>
        <w:rPr>
          <w:rFonts w:ascii="仿宋_GB2312" w:hAnsi="仿宋_GB2312" w:eastAsia="仿宋_GB2312" w:cs="仿宋_GB2312"/>
          <w:snapToGrid w:val="0"/>
          <w:color w:val="auto"/>
          <w:kern w:val="32"/>
          <w:sz w:val="30"/>
          <w:szCs w:val="30"/>
          <w:highlight w:val="none"/>
        </w:rPr>
      </w:pPr>
      <w:r>
        <w:rPr>
          <w:rFonts w:hint="eastAsia" w:ascii="仿宋_GB2312" w:hAnsi="仿宋_GB2312" w:eastAsia="仿宋_GB2312" w:cs="仿宋_GB2312"/>
          <w:snapToGrid w:val="0"/>
          <w:color w:val="auto"/>
          <w:kern w:val="32"/>
          <w:sz w:val="30"/>
          <w:szCs w:val="30"/>
          <w:highlight w:val="none"/>
        </w:rPr>
        <w:t>宜丰农商银行党委书记、董事长：</w:t>
      </w:r>
    </w:p>
    <w:p>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仿宋_GB2312" w:hAnsi="仿宋_GB2312" w:eastAsia="仿宋_GB2312" w:cs="仿宋_GB2312"/>
          <w:snapToGrid w:val="0"/>
          <w:color w:val="auto"/>
          <w:kern w:val="32"/>
          <w:sz w:val="30"/>
          <w:szCs w:val="30"/>
          <w:highlight w:val="none"/>
        </w:rPr>
      </w:pPr>
    </w:p>
    <w:p>
      <w:pPr>
        <w:tabs>
          <w:tab w:val="left" w:pos="219"/>
          <w:tab w:val="center" w:pos="4422"/>
        </w:tabs>
        <w:spacing w:line="520" w:lineRule="exact"/>
        <w:jc w:val="left"/>
        <w:rPr>
          <w:rFonts w:ascii="方正小标宋简体" w:hAnsi="方正小标宋简体" w:eastAsia="方正小标宋简体" w:cs="方正小标宋简体"/>
          <w:snapToGrid w:val="0"/>
          <w:color w:val="auto"/>
          <w:kern w:val="32"/>
          <w:sz w:val="30"/>
          <w:szCs w:val="30"/>
          <w:highlight w:val="none"/>
        </w:rPr>
      </w:pPr>
    </w:p>
    <w:p>
      <w:pPr>
        <w:tabs>
          <w:tab w:val="left" w:pos="219"/>
          <w:tab w:val="center" w:pos="4422"/>
        </w:tabs>
        <w:spacing w:line="520" w:lineRule="exact"/>
        <w:jc w:val="left"/>
        <w:rPr>
          <w:rFonts w:ascii="方正小标宋简体" w:hAnsi="方正小标宋简体" w:eastAsia="方正小标宋简体" w:cs="方正小标宋简体"/>
          <w:snapToGrid w:val="0"/>
          <w:color w:val="auto"/>
          <w:kern w:val="32"/>
          <w:sz w:val="30"/>
          <w:szCs w:val="30"/>
          <w:highlight w:val="none"/>
        </w:rPr>
      </w:pPr>
    </w:p>
    <w:p>
      <w:pPr>
        <w:tabs>
          <w:tab w:val="left" w:pos="219"/>
          <w:tab w:val="center" w:pos="4422"/>
        </w:tabs>
        <w:spacing w:line="520" w:lineRule="exact"/>
        <w:jc w:val="left"/>
        <w:rPr>
          <w:rFonts w:ascii="方正小标宋简体" w:hAnsi="方正小标宋简体" w:eastAsia="方正小标宋简体" w:cs="方正小标宋简体"/>
          <w:snapToGrid w:val="0"/>
          <w:color w:val="auto"/>
          <w:kern w:val="32"/>
          <w:sz w:val="30"/>
          <w:szCs w:val="30"/>
          <w:highlight w:val="none"/>
        </w:rPr>
      </w:pPr>
    </w:p>
    <w:p>
      <w:pPr>
        <w:tabs>
          <w:tab w:val="left" w:pos="219"/>
          <w:tab w:val="center" w:pos="4422"/>
        </w:tabs>
        <w:spacing w:line="520" w:lineRule="exact"/>
        <w:jc w:val="left"/>
        <w:rPr>
          <w:rFonts w:ascii="方正小标宋简体" w:hAnsi="方正小标宋简体" w:eastAsia="方正小标宋简体" w:cs="方正小标宋简体"/>
          <w:snapToGrid w:val="0"/>
          <w:color w:val="auto"/>
          <w:kern w:val="32"/>
          <w:sz w:val="30"/>
          <w:szCs w:val="30"/>
          <w:highlight w:val="none"/>
        </w:rPr>
      </w:pPr>
      <w:r>
        <w:rPr>
          <w:rFonts w:ascii="方正小标宋简体" w:hAnsi="方正小标宋简体" w:eastAsia="方正小标宋简体" w:cs="方正小标宋简体"/>
          <w:snapToGrid w:val="0"/>
          <w:color w:val="auto"/>
          <w:kern w:val="32"/>
          <w:sz w:val="30"/>
          <w:szCs w:val="30"/>
          <w:highlight w:val="none"/>
        </w:rPr>
        <w:tab/>
      </w:r>
    </w:p>
    <w:p>
      <w:pPr>
        <w:tabs>
          <w:tab w:val="left" w:pos="219"/>
          <w:tab w:val="center" w:pos="4422"/>
        </w:tabs>
        <w:spacing w:line="520" w:lineRule="exact"/>
        <w:jc w:val="left"/>
        <w:rPr>
          <w:rFonts w:ascii="方正小标宋简体" w:hAnsi="方正小标宋简体" w:eastAsia="方正小标宋简体" w:cs="方正小标宋简体"/>
          <w:snapToGrid w:val="0"/>
          <w:color w:val="auto"/>
          <w:kern w:val="32"/>
          <w:sz w:val="30"/>
          <w:szCs w:val="30"/>
          <w:highlight w:val="none"/>
        </w:rPr>
      </w:pPr>
      <w:r>
        <w:rPr>
          <w:rFonts w:ascii="方正小标宋简体" w:hAnsi="方正小标宋简体" w:eastAsia="方正小标宋简体" w:cs="方正小标宋简体"/>
          <w:snapToGrid w:val="0"/>
          <w:color w:val="auto"/>
          <w:kern w:val="32"/>
          <w:sz w:val="30"/>
          <w:szCs w:val="30"/>
          <w:highlight w:val="none"/>
        </w:rPr>
        <w:tab/>
      </w:r>
      <w:r>
        <w:rPr>
          <w:color w:val="auto"/>
          <w:sz w:val="30"/>
          <w:szCs w:val="30"/>
          <w:highlight w:val="none"/>
        </w:rPr>
        <w:drawing>
          <wp:anchor distT="0" distB="0" distL="114300" distR="114300" simplePos="0" relativeHeight="251659264" behindDoc="1" locked="0" layoutInCell="1" allowOverlap="1">
            <wp:simplePos x="0" y="0"/>
            <wp:positionH relativeFrom="column">
              <wp:posOffset>34925</wp:posOffset>
            </wp:positionH>
            <wp:positionV relativeFrom="paragraph">
              <wp:posOffset>26670</wp:posOffset>
            </wp:positionV>
            <wp:extent cx="5612130" cy="756920"/>
            <wp:effectExtent l="0" t="0" r="7620" b="508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612130" cy="756920"/>
                    </a:xfrm>
                    <a:prstGeom prst="rect">
                      <a:avLst/>
                    </a:prstGeom>
                    <a:noFill/>
                    <a:ln w="9525">
                      <a:noFill/>
                    </a:ln>
                  </pic:spPr>
                </pic:pic>
              </a:graphicData>
            </a:graphic>
          </wp:anchor>
        </w:drawing>
      </w:r>
    </w:p>
    <w:p>
      <w:pPr>
        <w:spacing w:line="520" w:lineRule="exact"/>
        <w:jc w:val="center"/>
        <w:rPr>
          <w:rFonts w:ascii="方正小标宋简体" w:hAnsi="方正小标宋简体" w:eastAsia="方正小标宋简体" w:cs="方正小标宋简体"/>
          <w:snapToGrid w:val="0"/>
          <w:color w:val="auto"/>
          <w:kern w:val="32"/>
          <w:sz w:val="30"/>
          <w:szCs w:val="30"/>
          <w:highlight w:val="none"/>
        </w:rPr>
      </w:pPr>
    </w:p>
    <w:p>
      <w:pPr>
        <w:spacing w:line="520" w:lineRule="exact"/>
        <w:ind w:firstLine="600" w:firstLineChars="200"/>
        <w:rPr>
          <w:rFonts w:ascii="仿宋_GB2312" w:hAnsi="仿宋_GB2312" w:eastAsia="仿宋_GB2312" w:cs="仿宋_GB2312"/>
          <w:color w:val="auto"/>
          <w:kern w:val="0"/>
          <w:sz w:val="30"/>
          <w:szCs w:val="30"/>
          <w:highlight w:val="none"/>
        </w:rPr>
      </w:pPr>
    </w:p>
    <w:p>
      <w:pPr>
        <w:spacing w:line="520" w:lineRule="exact"/>
        <w:ind w:firstLine="600" w:firstLineChars="200"/>
        <w:rPr>
          <w:rFonts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江西宜丰农村商业银行股份有限公司（以下简称“宜丰农商银行”）由宜丰县农村信用合作联社改制而成，自上世纪五十年代初成立以来，已走过</w:t>
      </w:r>
      <w:r>
        <w:rPr>
          <w:rFonts w:ascii="仿宋_GB2312" w:hAnsi="仿宋_GB2312" w:eastAsia="仿宋_GB2312" w:cs="仿宋_GB2312"/>
          <w:color w:val="auto"/>
          <w:kern w:val="0"/>
          <w:sz w:val="30"/>
          <w:szCs w:val="30"/>
          <w:highlight w:val="none"/>
        </w:rPr>
        <w:t>7</w:t>
      </w:r>
      <w:r>
        <w:rPr>
          <w:rFonts w:hint="eastAsia" w:ascii="仿宋_GB2312" w:hAnsi="仿宋_GB2312" w:eastAsia="仿宋_GB2312" w:cs="仿宋_GB2312"/>
          <w:color w:val="auto"/>
          <w:kern w:val="0"/>
          <w:sz w:val="30"/>
          <w:szCs w:val="30"/>
          <w:highlight w:val="none"/>
        </w:rPr>
        <w:t>0多年历程。该行于2014年9月经中国银行业监督管理委员会批准筹建成立，2014年12月获江西银监局正式批复开业，是具有独立法人资格的金融机构，注册资本3.04亿元。</w:t>
      </w:r>
    </w:p>
    <w:p>
      <w:pPr>
        <w:spacing w:line="520" w:lineRule="exact"/>
        <w:ind w:firstLine="600" w:firstLineChars="200"/>
        <w:rPr>
          <w:rFonts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宜丰农商银行2021年末在编在岗员工206人，内设部（室）1</w:t>
      </w:r>
      <w:r>
        <w:rPr>
          <w:rFonts w:ascii="仿宋_GB2312" w:hAnsi="仿宋_GB2312" w:eastAsia="仿宋_GB2312" w:cs="仿宋_GB2312"/>
          <w:color w:val="auto"/>
          <w:kern w:val="0"/>
          <w:sz w:val="30"/>
          <w:szCs w:val="30"/>
          <w:highlight w:val="none"/>
        </w:rPr>
        <w:t>2</w:t>
      </w:r>
      <w:r>
        <w:rPr>
          <w:rFonts w:hint="eastAsia" w:ascii="仿宋_GB2312" w:hAnsi="仿宋_GB2312" w:eastAsia="仿宋_GB2312" w:cs="仿宋_GB2312"/>
          <w:color w:val="auto"/>
          <w:kern w:val="0"/>
          <w:sz w:val="30"/>
          <w:szCs w:val="30"/>
          <w:highlight w:val="none"/>
        </w:rPr>
        <w:t>个、事业部2个，下辖1个营业部、19个支行、1个分理处，网点覆盖全县所有的乡镇（场），</w:t>
      </w:r>
      <w:r>
        <w:rPr>
          <w:rFonts w:hint="eastAsia" w:ascii="仿宋_GB2312" w:hAnsi="仿宋_GB2312" w:eastAsia="仿宋_GB2312" w:cs="仿宋_GB2312"/>
          <w:color w:val="auto"/>
          <w:kern w:val="0"/>
          <w:sz w:val="30"/>
          <w:szCs w:val="30"/>
          <w:highlight w:val="none"/>
          <w:lang w:eastAsia="zh-CN"/>
        </w:rPr>
        <w:t>与其他金融机构相比具有</w:t>
      </w:r>
      <w:r>
        <w:rPr>
          <w:rFonts w:hint="eastAsia" w:ascii="仿宋_GB2312" w:hAnsi="仿宋_GB2312" w:eastAsia="仿宋_GB2312" w:cs="仿宋_GB2312"/>
          <w:color w:val="auto"/>
          <w:kern w:val="0"/>
          <w:sz w:val="30"/>
          <w:szCs w:val="30"/>
          <w:highlight w:val="none"/>
        </w:rPr>
        <w:t>规模</w:t>
      </w:r>
      <w:r>
        <w:rPr>
          <w:rFonts w:hint="eastAsia" w:ascii="仿宋_GB2312" w:hAnsi="仿宋_GB2312" w:eastAsia="仿宋_GB2312" w:cs="仿宋_GB2312"/>
          <w:color w:val="auto"/>
          <w:kern w:val="0"/>
          <w:sz w:val="30"/>
          <w:szCs w:val="30"/>
          <w:highlight w:val="none"/>
          <w:lang w:eastAsia="zh-CN"/>
        </w:rPr>
        <w:t>优势</w:t>
      </w:r>
      <w:r>
        <w:rPr>
          <w:rFonts w:hint="eastAsia" w:ascii="仿宋_GB2312" w:hAnsi="仿宋_GB2312" w:eastAsia="仿宋_GB2312" w:cs="仿宋_GB2312"/>
          <w:color w:val="auto"/>
          <w:kern w:val="0"/>
          <w:sz w:val="30"/>
          <w:szCs w:val="30"/>
          <w:highlight w:val="none"/>
        </w:rPr>
        <w:t>、网点</w:t>
      </w:r>
      <w:r>
        <w:rPr>
          <w:rFonts w:hint="eastAsia" w:ascii="仿宋_GB2312" w:hAnsi="仿宋_GB2312" w:eastAsia="仿宋_GB2312" w:cs="仿宋_GB2312"/>
          <w:color w:val="auto"/>
          <w:kern w:val="0"/>
          <w:sz w:val="30"/>
          <w:szCs w:val="30"/>
          <w:highlight w:val="none"/>
          <w:lang w:eastAsia="zh-CN"/>
        </w:rPr>
        <w:t>优势</w:t>
      </w:r>
      <w:r>
        <w:rPr>
          <w:rFonts w:hint="eastAsia" w:ascii="仿宋_GB2312" w:hAnsi="仿宋_GB2312" w:eastAsia="仿宋_GB2312" w:cs="仿宋_GB2312"/>
          <w:color w:val="auto"/>
          <w:kern w:val="0"/>
          <w:sz w:val="30"/>
          <w:szCs w:val="30"/>
          <w:highlight w:val="none"/>
        </w:rPr>
        <w:t>、资源</w:t>
      </w:r>
      <w:r>
        <w:rPr>
          <w:rFonts w:hint="eastAsia" w:ascii="仿宋_GB2312" w:hAnsi="仿宋_GB2312" w:eastAsia="仿宋_GB2312" w:cs="仿宋_GB2312"/>
          <w:color w:val="auto"/>
          <w:kern w:val="0"/>
          <w:sz w:val="30"/>
          <w:szCs w:val="30"/>
          <w:highlight w:val="none"/>
          <w:lang w:eastAsia="zh-CN"/>
        </w:rPr>
        <w:t>优势，纳税贡献连续多年在全县纳税企业中排名靠前，</w:t>
      </w:r>
      <w:r>
        <w:rPr>
          <w:rFonts w:hint="eastAsia" w:ascii="仿宋_GB2312" w:hAnsi="仿宋_GB2312" w:eastAsia="仿宋_GB2312" w:cs="仿宋_GB2312"/>
          <w:color w:val="auto"/>
          <w:kern w:val="0"/>
          <w:sz w:val="30"/>
          <w:szCs w:val="30"/>
          <w:highlight w:val="none"/>
        </w:rPr>
        <w:t>是名副其实的“宜丰人民自己的银行”。</w:t>
      </w:r>
    </w:p>
    <w:p>
      <w:pPr>
        <w:spacing w:line="520" w:lineRule="exact"/>
        <w:ind w:firstLine="600" w:firstLineChars="200"/>
        <w:rPr>
          <w:rFonts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作为县域金融主力军，宜丰农商银行坚持以习近平新时代中国特色社会主义思想为指导，深入贯彻落实县委、县政府各项工作部署，大力弘扬“崇文厚德、创新实干”的宜丰精神，切实增强战略定力，不忘支农支小初心，牢记服务实体经济使命，以优质、高效、规范、便捷的服务满足广大客户日益多元化的金融需求，全力打造政府信赖的主力银行、主办银行和伙伴银行，为支持实体经济发展、助力乡村振兴作出了积极贡献。</w:t>
      </w:r>
    </w:p>
    <w:p>
      <w:pPr>
        <w:pStyle w:val="2"/>
        <w:rPr>
          <w:rFonts w:ascii="仿宋_GB2312" w:hAnsi="仿宋_GB2312" w:eastAsia="仿宋_GB2312" w:cs="仿宋_GB2312"/>
          <w:snapToGrid w:val="0"/>
          <w:color w:val="auto"/>
          <w:kern w:val="32"/>
          <w:sz w:val="30"/>
          <w:szCs w:val="30"/>
          <w:highlight w:val="none"/>
        </w:rPr>
      </w:pPr>
    </w:p>
    <w:p>
      <w:pPr>
        <w:pStyle w:val="2"/>
        <w:rPr>
          <w:rFonts w:ascii="仿宋_GB2312" w:hAnsi="仿宋_GB2312" w:eastAsia="仿宋_GB2312" w:cs="仿宋_GB2312"/>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snapToGrid w:val="0"/>
          <w:color w:val="auto"/>
          <w:kern w:val="32"/>
          <w:sz w:val="30"/>
          <w:szCs w:val="30"/>
          <w:highlight w:val="none"/>
        </w:rPr>
      </w:pPr>
      <w:r>
        <w:rPr>
          <w:color w:val="auto"/>
          <w:sz w:val="30"/>
          <w:szCs w:val="30"/>
          <w:highlight w:val="none"/>
        </w:rPr>
        <w:drawing>
          <wp:anchor distT="0" distB="0" distL="114300" distR="114300" simplePos="0" relativeHeight="251668480" behindDoc="1" locked="0" layoutInCell="1" allowOverlap="1">
            <wp:simplePos x="0" y="0"/>
            <wp:positionH relativeFrom="column">
              <wp:posOffset>-292735</wp:posOffset>
            </wp:positionH>
            <wp:positionV relativeFrom="paragraph">
              <wp:posOffset>163830</wp:posOffset>
            </wp:positionV>
            <wp:extent cx="5878830" cy="7770495"/>
            <wp:effectExtent l="0" t="0" r="7620" b="1905"/>
            <wp:wrapTight wrapText="bothSides">
              <wp:wrapPolygon>
                <wp:start x="0" y="0"/>
                <wp:lineTo x="0" y="21600"/>
                <wp:lineTo x="21600" y="21600"/>
                <wp:lineTo x="21600" y="0"/>
                <wp:lineTo x="0" y="0"/>
              </wp:wrapPolygon>
            </wp:wrapTight>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a:stretch>
                      <a:fillRect/>
                    </a:stretch>
                  </pic:blipFill>
                  <pic:spPr>
                    <a:xfrm>
                      <a:off x="0" y="0"/>
                      <a:ext cx="5878830" cy="7770495"/>
                    </a:xfrm>
                    <a:prstGeom prst="rect">
                      <a:avLst/>
                    </a:prstGeom>
                    <a:noFill/>
                    <a:ln w="9525">
                      <a:noFill/>
                    </a:ln>
                  </pic:spPr>
                </pic:pic>
              </a:graphicData>
            </a:graphic>
          </wp:anchor>
        </w:drawing>
      </w:r>
    </w:p>
    <w:p>
      <w:pPr>
        <w:spacing w:line="520" w:lineRule="exact"/>
        <w:rPr>
          <w:rFonts w:ascii="方正小标宋简体" w:hAnsi="方正小标宋简体" w:eastAsia="方正小标宋简体" w:cs="方正小标宋简体"/>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snapToGrid w:val="0"/>
          <w:color w:val="auto"/>
          <w:kern w:val="32"/>
          <w:sz w:val="44"/>
          <w:szCs w:val="44"/>
          <w:highlight w:val="none"/>
        </w:rPr>
      </w:pPr>
      <w:r>
        <w:rPr>
          <w:rFonts w:hint="eastAsia" w:ascii="方正小标宋简体" w:hAnsi="方正小标宋简体" w:eastAsia="方正小标宋简体" w:cs="方正小标宋简体"/>
          <w:snapToGrid w:val="0"/>
          <w:color w:val="auto"/>
          <w:kern w:val="32"/>
          <w:sz w:val="44"/>
          <w:szCs w:val="44"/>
          <w:highlight w:val="none"/>
        </w:rPr>
        <w:t>企业文化体系</w:t>
      </w:r>
    </w:p>
    <w:p>
      <w:pPr>
        <w:spacing w:line="520" w:lineRule="exact"/>
        <w:jc w:val="center"/>
        <w:rPr>
          <w:color w:val="auto"/>
          <w:sz w:val="30"/>
          <w:szCs w:val="30"/>
          <w:highlight w:val="none"/>
        </w:rPr>
      </w:pPr>
    </w:p>
    <w:p>
      <w:pPr>
        <w:spacing w:line="520" w:lineRule="exact"/>
        <w:ind w:firstLine="567" w:firstLineChars="189"/>
        <w:rPr>
          <w:rFonts w:ascii="黑体" w:eastAsia="黑体"/>
          <w:color w:val="auto"/>
          <w:sz w:val="30"/>
          <w:szCs w:val="30"/>
          <w:highlight w:val="none"/>
        </w:rPr>
      </w:pPr>
      <w:r>
        <w:rPr>
          <w:rFonts w:hint="eastAsia" w:ascii="黑体" w:eastAsia="黑体"/>
          <w:color w:val="auto"/>
          <w:sz w:val="30"/>
          <w:szCs w:val="30"/>
          <w:highlight w:val="none"/>
        </w:rPr>
        <w:t>一、企业宗旨</w:t>
      </w:r>
    </w:p>
    <w:p>
      <w:pPr>
        <w:spacing w:line="520" w:lineRule="exact"/>
        <w:ind w:firstLine="567" w:firstLineChars="189"/>
        <w:rPr>
          <w:rFonts w:ascii="仿宋_GB2312" w:eastAsia="仿宋_GB2312"/>
          <w:color w:val="auto"/>
          <w:sz w:val="30"/>
          <w:szCs w:val="30"/>
          <w:highlight w:val="none"/>
        </w:rPr>
      </w:pPr>
      <w:r>
        <w:rPr>
          <w:rFonts w:hint="eastAsia" w:ascii="仿宋_GB2312" w:hAnsi="仿宋" w:eastAsia="仿宋_GB2312"/>
          <w:color w:val="auto"/>
          <w:sz w:val="30"/>
          <w:szCs w:val="30"/>
          <w:highlight w:val="none"/>
        </w:rPr>
        <w:t>信用为本 合作共</w:t>
      </w:r>
      <w:r>
        <w:rPr>
          <w:rFonts w:hint="eastAsia" w:ascii="仿宋_GB2312" w:eastAsia="仿宋_GB2312"/>
          <w:color w:val="auto"/>
          <w:sz w:val="30"/>
          <w:szCs w:val="30"/>
          <w:highlight w:val="none"/>
        </w:rPr>
        <w:t>赢</w:t>
      </w:r>
    </w:p>
    <w:p>
      <w:pPr>
        <w:spacing w:line="520" w:lineRule="exact"/>
        <w:ind w:firstLine="567" w:firstLineChars="189"/>
        <w:rPr>
          <w:rFonts w:ascii="黑体" w:eastAsia="黑体"/>
          <w:color w:val="auto"/>
          <w:sz w:val="30"/>
          <w:szCs w:val="30"/>
          <w:highlight w:val="none"/>
        </w:rPr>
      </w:pPr>
      <w:r>
        <w:rPr>
          <w:rFonts w:hint="eastAsia" w:ascii="黑体" w:eastAsia="黑体"/>
          <w:color w:val="auto"/>
          <w:sz w:val="30"/>
          <w:szCs w:val="30"/>
          <w:highlight w:val="none"/>
        </w:rPr>
        <w:t>二、企业愿景</w:t>
      </w:r>
    </w:p>
    <w:p>
      <w:pPr>
        <w:spacing w:line="520" w:lineRule="exact"/>
        <w:ind w:firstLine="567" w:firstLineChars="189"/>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打造历久弥新、行稳致远的“百年老店”</w:t>
      </w:r>
    </w:p>
    <w:p>
      <w:pPr>
        <w:spacing w:line="520" w:lineRule="exact"/>
        <w:ind w:firstLine="567" w:firstLineChars="189"/>
        <w:rPr>
          <w:rFonts w:ascii="黑体" w:eastAsia="黑体"/>
          <w:color w:val="auto"/>
          <w:sz w:val="30"/>
          <w:szCs w:val="30"/>
          <w:highlight w:val="none"/>
        </w:rPr>
      </w:pPr>
      <w:r>
        <w:rPr>
          <w:rFonts w:hint="eastAsia" w:ascii="黑体" w:eastAsia="黑体"/>
          <w:color w:val="auto"/>
          <w:sz w:val="30"/>
          <w:szCs w:val="30"/>
          <w:highlight w:val="none"/>
        </w:rPr>
        <w:t>三、市场定位</w:t>
      </w:r>
    </w:p>
    <w:p>
      <w:pPr>
        <w:spacing w:line="520" w:lineRule="exact"/>
        <w:ind w:firstLine="567" w:firstLineChars="189"/>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立足本土、服务社区、支农支小</w:t>
      </w:r>
    </w:p>
    <w:p>
      <w:pPr>
        <w:spacing w:line="520" w:lineRule="exact"/>
        <w:ind w:firstLine="567" w:firstLineChars="189"/>
        <w:rPr>
          <w:rFonts w:ascii="黑体" w:eastAsia="黑体"/>
          <w:color w:val="auto"/>
          <w:sz w:val="30"/>
          <w:szCs w:val="30"/>
          <w:highlight w:val="none"/>
        </w:rPr>
      </w:pPr>
      <w:r>
        <w:rPr>
          <w:rFonts w:hint="eastAsia" w:ascii="黑体" w:eastAsia="黑体"/>
          <w:color w:val="auto"/>
          <w:sz w:val="30"/>
          <w:szCs w:val="30"/>
          <w:highlight w:val="none"/>
        </w:rPr>
        <w:t>四、发展目标</w:t>
      </w:r>
    </w:p>
    <w:p>
      <w:pPr>
        <w:spacing w:line="520" w:lineRule="exact"/>
        <w:ind w:firstLine="567" w:firstLineChars="189"/>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建设“五型”银行，即建设区域领军型、质量效益型、创新驱动型、管理规范型、和谐共享型现代商业银行</w:t>
      </w:r>
    </w:p>
    <w:p>
      <w:pPr>
        <w:spacing w:line="520" w:lineRule="exact"/>
        <w:ind w:firstLine="567" w:firstLineChars="189"/>
        <w:rPr>
          <w:rFonts w:ascii="黑体" w:eastAsia="黑体"/>
          <w:color w:val="auto"/>
          <w:sz w:val="30"/>
          <w:szCs w:val="30"/>
          <w:highlight w:val="none"/>
        </w:rPr>
      </w:pPr>
      <w:r>
        <w:rPr>
          <w:rFonts w:hint="eastAsia" w:ascii="黑体" w:eastAsia="黑体"/>
          <w:color w:val="auto"/>
          <w:sz w:val="30"/>
          <w:szCs w:val="30"/>
          <w:highlight w:val="none"/>
        </w:rPr>
        <w:t>五、核心价值观</w:t>
      </w:r>
    </w:p>
    <w:p>
      <w:pPr>
        <w:spacing w:line="520" w:lineRule="exact"/>
        <w:ind w:firstLine="567" w:firstLineChars="189"/>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诚信 敬业 创新 稳健 担当</w:t>
      </w:r>
    </w:p>
    <w:p>
      <w:pPr>
        <w:spacing w:line="520" w:lineRule="exact"/>
        <w:ind w:firstLine="567" w:firstLineChars="189"/>
        <w:rPr>
          <w:rFonts w:ascii="黑体" w:eastAsia="黑体"/>
          <w:color w:val="auto"/>
          <w:sz w:val="30"/>
          <w:szCs w:val="30"/>
          <w:highlight w:val="none"/>
        </w:rPr>
      </w:pPr>
      <w:r>
        <w:rPr>
          <w:rFonts w:hint="eastAsia" w:ascii="黑体" w:eastAsia="黑体"/>
          <w:color w:val="auto"/>
          <w:sz w:val="30"/>
          <w:szCs w:val="30"/>
          <w:highlight w:val="none"/>
        </w:rPr>
        <w:t>六、企业精神</w:t>
      </w:r>
    </w:p>
    <w:p>
      <w:pPr>
        <w:spacing w:line="520" w:lineRule="exact"/>
        <w:ind w:firstLine="567" w:firstLineChars="189"/>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勤奋 忠诚 严谨 开拓</w:t>
      </w:r>
    </w:p>
    <w:p>
      <w:pPr>
        <w:spacing w:line="520" w:lineRule="exact"/>
        <w:ind w:firstLine="567" w:firstLineChars="189"/>
        <w:rPr>
          <w:rFonts w:ascii="黑体" w:eastAsia="黑体"/>
          <w:color w:val="auto"/>
          <w:sz w:val="30"/>
          <w:szCs w:val="30"/>
          <w:highlight w:val="none"/>
        </w:rPr>
      </w:pPr>
      <w:r>
        <w:rPr>
          <w:rFonts w:hint="eastAsia" w:ascii="黑体" w:eastAsia="黑体"/>
          <w:color w:val="auto"/>
          <w:sz w:val="30"/>
          <w:szCs w:val="30"/>
          <w:highlight w:val="none"/>
        </w:rPr>
        <w:t>七、服务理念</w:t>
      </w:r>
    </w:p>
    <w:p>
      <w:pPr>
        <w:spacing w:line="520" w:lineRule="exact"/>
        <w:ind w:firstLine="567" w:firstLineChars="189"/>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客户至上 服务至诚</w:t>
      </w:r>
    </w:p>
    <w:p>
      <w:pPr>
        <w:spacing w:line="520" w:lineRule="exact"/>
        <w:ind w:firstLine="567" w:firstLineChars="189"/>
        <w:rPr>
          <w:rFonts w:ascii="黑体" w:eastAsia="黑体"/>
          <w:color w:val="auto"/>
          <w:sz w:val="30"/>
          <w:szCs w:val="30"/>
          <w:highlight w:val="none"/>
        </w:rPr>
      </w:pPr>
      <w:r>
        <w:rPr>
          <w:rFonts w:hint="eastAsia" w:ascii="黑体" w:eastAsia="黑体"/>
          <w:color w:val="auto"/>
          <w:sz w:val="30"/>
          <w:szCs w:val="30"/>
          <w:highlight w:val="none"/>
        </w:rPr>
        <w:t>八、人才理念</w:t>
      </w:r>
    </w:p>
    <w:p>
      <w:pPr>
        <w:spacing w:line="520" w:lineRule="exact"/>
        <w:ind w:firstLine="567" w:firstLineChars="189"/>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有德 实在 实干 实绩</w:t>
      </w:r>
    </w:p>
    <w:p>
      <w:pPr>
        <w:spacing w:line="520" w:lineRule="exact"/>
        <w:ind w:firstLine="567" w:firstLineChars="189"/>
        <w:rPr>
          <w:rFonts w:ascii="黑体" w:eastAsia="黑体"/>
          <w:color w:val="auto"/>
          <w:sz w:val="30"/>
          <w:szCs w:val="30"/>
          <w:highlight w:val="none"/>
        </w:rPr>
      </w:pPr>
      <w:r>
        <w:rPr>
          <w:rFonts w:hint="eastAsia" w:ascii="黑体" w:eastAsia="黑体"/>
          <w:color w:val="auto"/>
          <w:sz w:val="30"/>
          <w:szCs w:val="30"/>
          <w:highlight w:val="none"/>
        </w:rPr>
        <w:t>九、品牌口号</w:t>
      </w:r>
    </w:p>
    <w:p>
      <w:pPr>
        <w:spacing w:line="520" w:lineRule="exact"/>
        <w:ind w:firstLine="567" w:firstLineChars="189"/>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江西省农商银行——江西人民自己的银行</w:t>
      </w:r>
    </w:p>
    <w:p>
      <w:pPr>
        <w:spacing w:line="520" w:lineRule="exact"/>
        <w:ind w:firstLine="567" w:firstLineChars="189"/>
        <w:rPr>
          <w:rFonts w:ascii="仿宋_GB2312" w:hAnsi="仿宋" w:eastAsia="仿宋_GB2312"/>
          <w:color w:val="auto"/>
          <w:sz w:val="30"/>
          <w:szCs w:val="30"/>
          <w:highlight w:val="none"/>
        </w:rPr>
      </w:pPr>
      <w:r>
        <w:rPr>
          <w:rFonts w:ascii="仿宋_GB2312" w:hAnsi="仿宋" w:eastAsia="仿宋_GB2312"/>
          <w:color w:val="auto"/>
          <w:sz w:val="30"/>
          <w:szCs w:val="30"/>
          <w:highlight w:val="none"/>
        </w:rPr>
        <w:t>手握手的承诺，心贴心的服务</w:t>
      </w:r>
    </w:p>
    <w:p>
      <w:pPr>
        <w:pStyle w:val="12"/>
        <w:spacing w:line="520" w:lineRule="exact"/>
        <w:ind w:left="0" w:leftChars="0"/>
        <w:rPr>
          <w:rFonts w:ascii="仿宋_GB2312" w:hAnsi="仿宋" w:eastAsia="仿宋_GB2312"/>
          <w:color w:val="auto"/>
          <w:sz w:val="30"/>
          <w:szCs w:val="30"/>
          <w:highlight w:val="none"/>
        </w:rPr>
      </w:pPr>
    </w:p>
    <w:p>
      <w:pPr>
        <w:pStyle w:val="12"/>
        <w:spacing w:line="520" w:lineRule="exact"/>
        <w:ind w:left="0" w:leftChars="0"/>
        <w:rPr>
          <w:rFonts w:ascii="仿宋_GB2312" w:hAnsi="仿宋" w:eastAsia="仿宋_GB2312"/>
          <w:color w:val="auto"/>
          <w:sz w:val="30"/>
          <w:szCs w:val="30"/>
          <w:highlight w:val="none"/>
        </w:rPr>
      </w:pPr>
    </w:p>
    <w:p>
      <w:pPr>
        <w:spacing w:line="520" w:lineRule="exact"/>
        <w:ind w:firstLine="600" w:firstLineChars="200"/>
        <w:rPr>
          <w:rFonts w:ascii="仿宋_GB2312" w:hAnsi="仿宋_GB2312" w:eastAsia="仿宋_GB2312" w:cs="仿宋_GB2312"/>
          <w:snapToGrid w:val="0"/>
          <w:color w:val="auto"/>
          <w:kern w:val="32"/>
          <w:sz w:val="30"/>
          <w:szCs w:val="30"/>
          <w:highlight w:val="none"/>
        </w:rPr>
      </w:pPr>
    </w:p>
    <w:p>
      <w:pPr>
        <w:spacing w:line="600" w:lineRule="exact"/>
        <w:ind w:firstLine="900" w:firstLineChars="300"/>
        <w:rPr>
          <w:rFonts w:ascii="仿宋_GB2312" w:hAnsi="仿宋_GB2312" w:eastAsia="仿宋_GB2312" w:cs="仿宋_GB2312"/>
          <w:snapToGrid w:val="0"/>
          <w:color w:val="auto"/>
          <w:kern w:val="32"/>
          <w:sz w:val="30"/>
          <w:szCs w:val="30"/>
          <w:highlight w:val="none"/>
        </w:rPr>
      </w:pPr>
      <w:r>
        <w:rPr>
          <w:color w:val="auto"/>
          <w:sz w:val="30"/>
          <w:szCs w:val="30"/>
          <w:highlight w:val="none"/>
        </w:rPr>
        <w:drawing>
          <wp:anchor distT="0" distB="0" distL="114300" distR="114300" simplePos="0" relativeHeight="251669504" behindDoc="1" locked="0" layoutInCell="1" allowOverlap="1">
            <wp:simplePos x="0" y="0"/>
            <wp:positionH relativeFrom="column">
              <wp:posOffset>-86360</wp:posOffset>
            </wp:positionH>
            <wp:positionV relativeFrom="paragraph">
              <wp:posOffset>-146050</wp:posOffset>
            </wp:positionV>
            <wp:extent cx="5615305" cy="767080"/>
            <wp:effectExtent l="0" t="0" r="4445" b="13970"/>
            <wp:wrapTight wrapText="bothSides">
              <wp:wrapPolygon>
                <wp:start x="0" y="0"/>
                <wp:lineTo x="0" y="21600"/>
                <wp:lineTo x="21600" y="21600"/>
                <wp:lineTo x="21600" y="0"/>
                <wp:lineTo x="0" y="0"/>
              </wp:wrapPolygon>
            </wp:wrapTight>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0"/>
                    <a:stretch>
                      <a:fillRect/>
                    </a:stretch>
                  </pic:blipFill>
                  <pic:spPr>
                    <a:xfrm>
                      <a:off x="0" y="0"/>
                      <a:ext cx="5615305" cy="767080"/>
                    </a:xfrm>
                    <a:prstGeom prst="rect">
                      <a:avLst/>
                    </a:prstGeom>
                    <a:noFill/>
                    <a:ln w="9525">
                      <a:noFill/>
                    </a:ln>
                  </pic:spPr>
                </pic:pic>
              </a:graphicData>
            </a:graphic>
          </wp:anchor>
        </w:drawing>
      </w:r>
      <w:r>
        <w:rPr>
          <w:rFonts w:hint="eastAsia" w:ascii="仿宋_GB2312" w:hAnsi="仿宋_GB2312" w:eastAsia="仿宋_GB2312" w:cs="仿宋_GB2312"/>
          <w:snapToGrid w:val="0"/>
          <w:color w:val="auto"/>
          <w:kern w:val="32"/>
          <w:sz w:val="30"/>
          <w:szCs w:val="30"/>
          <w:highlight w:val="none"/>
        </w:rPr>
        <w:t>1.被江西省农村信用社联合社授予“江西·农商银行2021年资金组织先进单位”；</w:t>
      </w:r>
    </w:p>
    <w:p>
      <w:pPr>
        <w:spacing w:line="600" w:lineRule="exact"/>
        <w:ind w:firstLine="600" w:firstLineChars="200"/>
        <w:rPr>
          <w:rFonts w:ascii="仿宋_GB2312" w:hAnsi="仿宋_GB2312" w:eastAsia="仿宋_GB2312" w:cs="仿宋_GB2312"/>
          <w:snapToGrid w:val="0"/>
          <w:color w:val="auto"/>
          <w:kern w:val="32"/>
          <w:sz w:val="30"/>
          <w:szCs w:val="30"/>
          <w:highlight w:val="none"/>
        </w:rPr>
      </w:pPr>
      <w:r>
        <w:rPr>
          <w:rFonts w:hint="eastAsia" w:ascii="仿宋_GB2312" w:hAnsi="仿宋_GB2312" w:eastAsia="仿宋_GB2312" w:cs="仿宋_GB2312"/>
          <w:snapToGrid w:val="0"/>
          <w:color w:val="auto"/>
          <w:kern w:val="32"/>
          <w:sz w:val="30"/>
          <w:szCs w:val="30"/>
          <w:highlight w:val="none"/>
        </w:rPr>
        <w:t>2.被中国人民银行宜春市中心支行授予“2021年度宜春市金融系统‘统计效能抓落实 业务练兵树标兵’金融统计业务知识竞赛团体三等奖”；</w:t>
      </w:r>
    </w:p>
    <w:p>
      <w:pPr>
        <w:spacing w:line="600" w:lineRule="exact"/>
        <w:ind w:firstLine="600" w:firstLineChars="200"/>
        <w:rPr>
          <w:rFonts w:ascii="仿宋_GB2312" w:hAnsi="仿宋_GB2312" w:eastAsia="仿宋_GB2312" w:cs="仿宋_GB2312"/>
          <w:snapToGrid w:val="0"/>
          <w:color w:val="auto"/>
          <w:kern w:val="32"/>
          <w:sz w:val="30"/>
          <w:szCs w:val="30"/>
          <w:highlight w:val="none"/>
        </w:rPr>
      </w:pPr>
      <w:r>
        <w:rPr>
          <w:rFonts w:hint="eastAsia" w:ascii="仿宋_GB2312" w:hAnsi="仿宋_GB2312" w:eastAsia="仿宋_GB2312" w:cs="仿宋_GB2312"/>
          <w:snapToGrid w:val="0"/>
          <w:color w:val="auto"/>
          <w:kern w:val="32"/>
          <w:sz w:val="30"/>
          <w:szCs w:val="30"/>
          <w:highlight w:val="none"/>
        </w:rPr>
        <w:t>3.被中共宜春市委、宜春市人民政府授予“宜春市第九届文明单位”；</w:t>
      </w:r>
    </w:p>
    <w:p>
      <w:pPr>
        <w:spacing w:line="600" w:lineRule="exact"/>
        <w:ind w:firstLine="600" w:firstLineChars="200"/>
        <w:rPr>
          <w:rFonts w:ascii="仿宋_GB2312" w:hAnsi="仿宋_GB2312" w:eastAsia="仿宋_GB2312" w:cs="仿宋_GB2312"/>
          <w:snapToGrid w:val="0"/>
          <w:color w:val="auto"/>
          <w:kern w:val="32"/>
          <w:sz w:val="30"/>
          <w:szCs w:val="30"/>
          <w:highlight w:val="none"/>
        </w:rPr>
      </w:pPr>
      <w:r>
        <w:rPr>
          <w:rFonts w:hint="eastAsia" w:ascii="仿宋_GB2312" w:hAnsi="仿宋_GB2312" w:eastAsia="仿宋_GB2312" w:cs="仿宋_GB2312"/>
          <w:snapToGrid w:val="0"/>
          <w:color w:val="auto"/>
          <w:kern w:val="32"/>
          <w:sz w:val="30"/>
          <w:szCs w:val="30"/>
          <w:highlight w:val="none"/>
        </w:rPr>
        <w:t>4.被中共宜丰县委、宜丰人民政府授予</w:t>
      </w:r>
      <w:r>
        <w:rPr>
          <w:rFonts w:hint="eastAsia" w:ascii="仿宋_GB2312" w:hAnsi="仿宋_GB2312" w:eastAsia="仿宋_GB2312" w:cs="仿宋_GB2312"/>
          <w:snapToGrid w:val="0"/>
          <w:color w:val="auto"/>
          <w:kern w:val="32"/>
          <w:sz w:val="30"/>
          <w:szCs w:val="30"/>
          <w:highlight w:val="none"/>
          <w:lang w:val="zh-CN"/>
        </w:rPr>
        <w:t>“</w:t>
      </w:r>
      <w:r>
        <w:rPr>
          <w:rFonts w:hint="eastAsia" w:ascii="仿宋_GB2312" w:hAnsi="仿宋_GB2312" w:eastAsia="仿宋_GB2312" w:cs="仿宋_GB2312"/>
          <w:snapToGrid w:val="0"/>
          <w:color w:val="auto"/>
          <w:kern w:val="32"/>
          <w:sz w:val="30"/>
          <w:szCs w:val="30"/>
          <w:highlight w:val="none"/>
        </w:rPr>
        <w:t>高质量发展考核评价综合先进县直单位</w:t>
      </w:r>
      <w:r>
        <w:rPr>
          <w:rFonts w:hint="eastAsia" w:ascii="仿宋_GB2312" w:hAnsi="仿宋_GB2312" w:eastAsia="仿宋_GB2312" w:cs="仿宋_GB2312"/>
          <w:snapToGrid w:val="0"/>
          <w:color w:val="auto"/>
          <w:kern w:val="32"/>
          <w:sz w:val="30"/>
          <w:szCs w:val="30"/>
          <w:highlight w:val="none"/>
          <w:lang w:val="zh-CN"/>
        </w:rPr>
        <w:t>”</w:t>
      </w:r>
      <w:r>
        <w:rPr>
          <w:rFonts w:hint="eastAsia" w:ascii="仿宋_GB2312" w:hAnsi="仿宋_GB2312" w:eastAsia="仿宋_GB2312" w:cs="仿宋_GB2312"/>
          <w:snapToGrid w:val="0"/>
          <w:color w:val="auto"/>
          <w:kern w:val="32"/>
          <w:sz w:val="30"/>
          <w:szCs w:val="30"/>
          <w:highlight w:val="none"/>
        </w:rPr>
        <w:t>;</w:t>
      </w:r>
    </w:p>
    <w:p>
      <w:pPr>
        <w:spacing w:line="600" w:lineRule="exact"/>
        <w:ind w:firstLine="600" w:firstLineChars="200"/>
        <w:rPr>
          <w:rFonts w:ascii="仿宋_GB2312" w:hAnsi="仿宋_GB2312" w:eastAsia="仿宋_GB2312" w:cs="仿宋_GB2312"/>
          <w:snapToGrid w:val="0"/>
          <w:color w:val="auto"/>
          <w:kern w:val="32"/>
          <w:sz w:val="30"/>
          <w:szCs w:val="30"/>
          <w:highlight w:val="none"/>
        </w:rPr>
      </w:pPr>
      <w:r>
        <w:rPr>
          <w:rFonts w:hint="eastAsia" w:ascii="仿宋_GB2312" w:hAnsi="仿宋_GB2312" w:eastAsia="仿宋_GB2312" w:cs="仿宋_GB2312"/>
          <w:snapToGrid w:val="0"/>
          <w:color w:val="auto"/>
          <w:kern w:val="32"/>
          <w:sz w:val="30"/>
          <w:szCs w:val="30"/>
          <w:highlight w:val="none"/>
        </w:rPr>
        <w:t>5.被中共宜丰县委、宜丰人民政府授予</w:t>
      </w:r>
      <w:r>
        <w:rPr>
          <w:rFonts w:hint="eastAsia" w:ascii="仿宋_GB2312" w:hAnsi="仿宋_GB2312" w:eastAsia="仿宋_GB2312" w:cs="仿宋_GB2312"/>
          <w:snapToGrid w:val="0"/>
          <w:color w:val="auto"/>
          <w:kern w:val="32"/>
          <w:sz w:val="30"/>
          <w:szCs w:val="30"/>
          <w:highlight w:val="none"/>
          <w:lang w:val="zh-CN"/>
        </w:rPr>
        <w:t>“</w:t>
      </w:r>
      <w:r>
        <w:rPr>
          <w:rFonts w:hint="eastAsia" w:ascii="仿宋_GB2312" w:hAnsi="仿宋_GB2312" w:eastAsia="仿宋_GB2312" w:cs="仿宋_GB2312"/>
          <w:snapToGrid w:val="0"/>
          <w:color w:val="auto"/>
          <w:kern w:val="32"/>
          <w:sz w:val="30"/>
          <w:szCs w:val="30"/>
          <w:highlight w:val="none"/>
        </w:rPr>
        <w:t>金融支持地方经济建设</w:t>
      </w:r>
      <w:r>
        <w:rPr>
          <w:rFonts w:hint="eastAsia" w:ascii="仿宋_GB2312" w:hAnsi="仿宋_GB2312" w:eastAsia="仿宋_GB2312" w:cs="仿宋_GB2312"/>
          <w:snapToGrid w:val="0"/>
          <w:color w:val="auto"/>
          <w:kern w:val="32"/>
          <w:sz w:val="30"/>
          <w:szCs w:val="30"/>
          <w:highlight w:val="none"/>
          <w:lang w:eastAsia="zh-CN"/>
        </w:rPr>
        <w:t>单位</w:t>
      </w:r>
      <w:r>
        <w:rPr>
          <w:rFonts w:hint="eastAsia" w:ascii="仿宋_GB2312" w:hAnsi="仿宋_GB2312" w:eastAsia="仿宋_GB2312" w:cs="仿宋_GB2312"/>
          <w:snapToGrid w:val="0"/>
          <w:color w:val="auto"/>
          <w:kern w:val="32"/>
          <w:sz w:val="30"/>
          <w:szCs w:val="30"/>
          <w:highlight w:val="none"/>
          <w:lang w:val="zh-CN"/>
        </w:rPr>
        <w:t>”</w:t>
      </w:r>
      <w:r>
        <w:rPr>
          <w:rFonts w:hint="eastAsia" w:ascii="仿宋_GB2312" w:hAnsi="仿宋_GB2312" w:eastAsia="仿宋_GB2312" w:cs="仿宋_GB2312"/>
          <w:snapToGrid w:val="0"/>
          <w:color w:val="auto"/>
          <w:kern w:val="32"/>
          <w:sz w:val="30"/>
          <w:szCs w:val="30"/>
          <w:highlight w:val="none"/>
        </w:rPr>
        <w:t>。</w:t>
      </w:r>
    </w:p>
    <w:p>
      <w:pPr>
        <w:pStyle w:val="12"/>
        <w:spacing w:line="600" w:lineRule="exact"/>
        <w:ind w:left="0" w:leftChars="0" w:firstLine="600" w:firstLineChars="200"/>
        <w:rPr>
          <w:color w:val="auto"/>
          <w:sz w:val="30"/>
          <w:szCs w:val="30"/>
          <w:highlight w:val="none"/>
        </w:rPr>
      </w:pPr>
    </w:p>
    <w:p>
      <w:pPr>
        <w:pStyle w:val="12"/>
        <w:rPr>
          <w:color w:val="auto"/>
          <w:sz w:val="30"/>
          <w:szCs w:val="30"/>
          <w:highlight w:val="none"/>
        </w:rPr>
      </w:pPr>
    </w:p>
    <w:p>
      <w:pPr>
        <w:pStyle w:val="12"/>
        <w:rPr>
          <w:color w:val="auto"/>
          <w:sz w:val="30"/>
          <w:szCs w:val="30"/>
          <w:highlight w:val="none"/>
        </w:rPr>
      </w:pPr>
    </w:p>
    <w:p>
      <w:pPr>
        <w:pStyle w:val="12"/>
        <w:rPr>
          <w:color w:val="auto"/>
          <w:sz w:val="30"/>
          <w:szCs w:val="30"/>
          <w:highlight w:val="none"/>
        </w:rPr>
      </w:pPr>
    </w:p>
    <w:p>
      <w:pPr>
        <w:pStyle w:val="12"/>
        <w:rPr>
          <w:color w:val="auto"/>
          <w:sz w:val="30"/>
          <w:szCs w:val="30"/>
          <w:highlight w:val="none"/>
        </w:rPr>
      </w:pPr>
    </w:p>
    <w:p>
      <w:pPr>
        <w:pStyle w:val="12"/>
        <w:rPr>
          <w:color w:val="auto"/>
          <w:sz w:val="30"/>
          <w:szCs w:val="30"/>
          <w:highlight w:val="none"/>
        </w:rPr>
      </w:pPr>
    </w:p>
    <w:p>
      <w:pPr>
        <w:pStyle w:val="12"/>
        <w:rPr>
          <w:color w:val="auto"/>
          <w:sz w:val="30"/>
          <w:szCs w:val="30"/>
          <w:highlight w:val="none"/>
        </w:rPr>
      </w:pPr>
    </w:p>
    <w:p>
      <w:pPr>
        <w:pStyle w:val="12"/>
        <w:rPr>
          <w:color w:val="auto"/>
          <w:sz w:val="30"/>
          <w:szCs w:val="30"/>
          <w:highlight w:val="none"/>
        </w:rPr>
      </w:pPr>
    </w:p>
    <w:p>
      <w:pPr>
        <w:pStyle w:val="12"/>
        <w:ind w:left="0" w:leftChars="0" w:firstLine="0"/>
        <w:rPr>
          <w:rFonts w:ascii="方正小标宋简体" w:hAnsi="方正小标宋简体" w:eastAsia="方正小标宋简体" w:cs="方正小标宋简体"/>
          <w:snapToGrid w:val="0"/>
          <w:color w:val="auto"/>
          <w:kern w:val="32"/>
          <w:sz w:val="30"/>
          <w:szCs w:val="30"/>
          <w:highlight w:val="none"/>
        </w:rPr>
      </w:pPr>
      <w:r>
        <w:rPr>
          <w:color w:val="auto"/>
          <w:sz w:val="30"/>
          <w:szCs w:val="30"/>
          <w:highlight w:val="none"/>
        </w:rPr>
        <w:drawing>
          <wp:anchor distT="0" distB="0" distL="114300" distR="114300" simplePos="0" relativeHeight="251661312" behindDoc="1" locked="0" layoutInCell="1" allowOverlap="1">
            <wp:simplePos x="0" y="0"/>
            <wp:positionH relativeFrom="column">
              <wp:posOffset>-154940</wp:posOffset>
            </wp:positionH>
            <wp:positionV relativeFrom="paragraph">
              <wp:posOffset>230505</wp:posOffset>
            </wp:positionV>
            <wp:extent cx="5868670" cy="8110855"/>
            <wp:effectExtent l="0" t="0" r="17780" b="444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rcRect l="5984" t="-243" r="7446"/>
                    <a:stretch>
                      <a:fillRect/>
                    </a:stretch>
                  </pic:blipFill>
                  <pic:spPr>
                    <a:xfrm>
                      <a:off x="0" y="0"/>
                      <a:ext cx="5868670" cy="8110855"/>
                    </a:xfrm>
                    <a:prstGeom prst="rect">
                      <a:avLst/>
                    </a:prstGeom>
                    <a:noFill/>
                    <a:ln w="9525">
                      <a:noFill/>
                    </a:ln>
                  </pic:spPr>
                </pic:pic>
              </a:graphicData>
            </a:graphic>
          </wp:anchor>
        </w:drawing>
      </w:r>
    </w:p>
    <w:p>
      <w:pPr>
        <w:pStyle w:val="12"/>
        <w:ind w:left="0" w:leftChars="0" w:firstLine="0"/>
        <w:rPr>
          <w:rFonts w:ascii="方正小标宋简体" w:hAnsi="方正小标宋简体" w:eastAsia="方正小标宋简体" w:cs="方正小标宋简体"/>
          <w:snapToGrid w:val="0"/>
          <w:color w:val="auto"/>
          <w:kern w:val="32"/>
          <w:sz w:val="30"/>
          <w:szCs w:val="30"/>
          <w:highlight w:val="none"/>
        </w:rPr>
      </w:pPr>
    </w:p>
    <w:p>
      <w:pPr>
        <w:pStyle w:val="12"/>
        <w:ind w:left="0" w:leftChars="0" w:firstLine="0"/>
        <w:rPr>
          <w:rFonts w:ascii="方正小标宋简体" w:hAnsi="方正小标宋简体" w:eastAsia="方正小标宋简体" w:cs="方正小标宋简体"/>
          <w:snapToGrid w:val="0"/>
          <w:color w:val="auto"/>
          <w:kern w:val="32"/>
          <w:sz w:val="30"/>
          <w:szCs w:val="30"/>
          <w:highlight w:val="none"/>
        </w:rPr>
      </w:pPr>
    </w:p>
    <w:p>
      <w:pPr>
        <w:pStyle w:val="12"/>
        <w:ind w:left="0" w:leftChars="0" w:firstLine="0"/>
        <w:rPr>
          <w:rFonts w:ascii="方正小标宋简体" w:hAnsi="方正小标宋简体" w:eastAsia="方正小标宋简体" w:cs="方正小标宋简体"/>
          <w:snapToGrid w:val="0"/>
          <w:color w:val="auto"/>
          <w:kern w:val="32"/>
          <w:sz w:val="30"/>
          <w:szCs w:val="30"/>
          <w:highlight w:val="none"/>
        </w:rPr>
      </w:pPr>
    </w:p>
    <w:p>
      <w:pPr>
        <w:pStyle w:val="12"/>
        <w:ind w:left="0" w:leftChars="0" w:firstLine="0"/>
        <w:rPr>
          <w:rFonts w:ascii="方正小标宋简体" w:hAnsi="方正小标宋简体" w:eastAsia="方正小标宋简体" w:cs="方正小标宋简体"/>
          <w:snapToGrid w:val="0"/>
          <w:color w:val="auto"/>
          <w:kern w:val="32"/>
          <w:sz w:val="30"/>
          <w:szCs w:val="30"/>
          <w:highlight w:val="none"/>
        </w:rPr>
      </w:pPr>
    </w:p>
    <w:p>
      <w:pPr>
        <w:pStyle w:val="12"/>
        <w:ind w:left="0" w:leftChars="0" w:firstLine="0"/>
        <w:rPr>
          <w:rFonts w:ascii="方正小标宋简体" w:hAnsi="方正小标宋简体" w:eastAsia="方正小标宋简体" w:cs="方正小标宋简体"/>
          <w:snapToGrid w:val="0"/>
          <w:color w:val="auto"/>
          <w:kern w:val="32"/>
          <w:sz w:val="30"/>
          <w:szCs w:val="30"/>
          <w:highlight w:val="none"/>
        </w:rPr>
      </w:pPr>
    </w:p>
    <w:p>
      <w:pPr>
        <w:pStyle w:val="12"/>
        <w:ind w:left="0" w:leftChars="0" w:firstLine="600" w:firstLineChars="200"/>
        <w:rPr>
          <w:rFonts w:ascii="方正小标宋简体" w:hAnsi="方正小标宋简体" w:eastAsia="方正小标宋简体" w:cs="方正小标宋简体"/>
          <w:snapToGrid w:val="0"/>
          <w:color w:val="auto"/>
          <w:kern w:val="32"/>
          <w:sz w:val="30"/>
          <w:szCs w:val="30"/>
          <w:highlight w:val="none"/>
        </w:rPr>
      </w:pPr>
    </w:p>
    <w:p>
      <w:pPr>
        <w:pStyle w:val="12"/>
        <w:ind w:left="0" w:leftChars="0" w:firstLine="600" w:firstLineChars="200"/>
        <w:rPr>
          <w:rFonts w:ascii="方正小标宋简体" w:hAnsi="方正小标宋简体" w:eastAsia="方正小标宋简体" w:cs="方正小标宋简体"/>
          <w:snapToGrid w:val="0"/>
          <w:color w:val="auto"/>
          <w:kern w:val="32"/>
          <w:sz w:val="30"/>
          <w:szCs w:val="30"/>
          <w:highlight w:val="none"/>
        </w:rPr>
      </w:pPr>
    </w:p>
    <w:p>
      <w:pPr>
        <w:pStyle w:val="12"/>
        <w:ind w:left="0" w:leftChars="0" w:firstLine="0"/>
        <w:rPr>
          <w:rFonts w:ascii="方正小标宋简体" w:hAnsi="方正小标宋简体" w:eastAsia="方正小标宋简体" w:cs="方正小标宋简体"/>
          <w:snapToGrid w:val="0"/>
          <w:color w:val="auto"/>
          <w:kern w:val="32"/>
          <w:sz w:val="30"/>
          <w:szCs w:val="30"/>
          <w:highlight w:val="none"/>
        </w:rPr>
      </w:pPr>
    </w:p>
    <w:p>
      <w:pPr>
        <w:pStyle w:val="12"/>
        <w:ind w:left="0" w:leftChars="0" w:firstLine="0"/>
        <w:rPr>
          <w:rFonts w:ascii="方正小标宋简体" w:hAnsi="方正小标宋简体" w:eastAsia="方正小标宋简体" w:cs="方正小标宋简体"/>
          <w:snapToGrid w:val="0"/>
          <w:color w:val="auto"/>
          <w:kern w:val="32"/>
          <w:sz w:val="30"/>
          <w:szCs w:val="30"/>
          <w:highlight w:val="none"/>
        </w:rPr>
      </w:pPr>
    </w:p>
    <w:p>
      <w:pPr>
        <w:pStyle w:val="12"/>
        <w:ind w:left="0" w:leftChars="0" w:firstLine="0"/>
        <w:rPr>
          <w:rFonts w:ascii="方正小标宋简体" w:hAnsi="方正小标宋简体" w:eastAsia="方正小标宋简体" w:cs="方正小标宋简体"/>
          <w:snapToGrid w:val="0"/>
          <w:color w:val="auto"/>
          <w:kern w:val="32"/>
          <w:sz w:val="30"/>
          <w:szCs w:val="30"/>
          <w:highlight w:val="none"/>
        </w:rPr>
      </w:pPr>
    </w:p>
    <w:p>
      <w:pPr>
        <w:pStyle w:val="12"/>
        <w:ind w:left="0" w:leftChars="0" w:firstLine="0"/>
        <w:rPr>
          <w:rFonts w:ascii="方正小标宋简体" w:hAnsi="方正小标宋简体" w:eastAsia="方正小标宋简体" w:cs="方正小标宋简体"/>
          <w:snapToGrid w:val="0"/>
          <w:color w:val="auto"/>
          <w:kern w:val="32"/>
          <w:sz w:val="30"/>
          <w:szCs w:val="30"/>
          <w:highlight w:val="none"/>
        </w:rPr>
      </w:pPr>
    </w:p>
    <w:p>
      <w:pPr>
        <w:pStyle w:val="12"/>
        <w:ind w:left="0" w:leftChars="0" w:firstLine="0"/>
        <w:rPr>
          <w:rFonts w:ascii="方正小标宋简体" w:hAnsi="方正小标宋简体" w:eastAsia="方正小标宋简体" w:cs="方正小标宋简体"/>
          <w:snapToGrid w:val="0"/>
          <w:color w:val="auto"/>
          <w:kern w:val="32"/>
          <w:sz w:val="30"/>
          <w:szCs w:val="30"/>
          <w:highlight w:val="none"/>
        </w:rPr>
      </w:pPr>
    </w:p>
    <w:p>
      <w:pPr>
        <w:pStyle w:val="12"/>
        <w:ind w:left="0" w:leftChars="0" w:firstLine="0"/>
        <w:rPr>
          <w:rFonts w:ascii="方正小标宋简体" w:hAnsi="方正小标宋简体" w:eastAsia="方正小标宋简体" w:cs="方正小标宋简体"/>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snapToGrid w:val="0"/>
          <w:color w:val="auto"/>
          <w:kern w:val="32"/>
          <w:sz w:val="30"/>
          <w:szCs w:val="30"/>
          <w:highlight w:val="none"/>
        </w:rPr>
      </w:pPr>
    </w:p>
    <w:p>
      <w:pPr>
        <w:spacing w:line="520" w:lineRule="exact"/>
        <w:jc w:val="center"/>
        <w:rPr>
          <w:rFonts w:hint="eastAsia" w:ascii="方正小标宋简体" w:hAnsi="方正小标宋简体" w:eastAsia="方正小标宋简体" w:cs="方正小标宋简体"/>
          <w:snapToGrid w:val="0"/>
          <w:color w:val="auto"/>
          <w:kern w:val="32"/>
          <w:sz w:val="30"/>
          <w:szCs w:val="30"/>
          <w:highlight w:val="none"/>
        </w:rPr>
      </w:pPr>
    </w:p>
    <w:p>
      <w:pPr>
        <w:spacing w:line="520" w:lineRule="exact"/>
        <w:jc w:val="center"/>
        <w:rPr>
          <w:rFonts w:hint="eastAsia" w:ascii="方正小标宋简体" w:hAnsi="方正小标宋简体" w:eastAsia="方正小标宋简体" w:cs="方正小标宋简体"/>
          <w:snapToGrid w:val="0"/>
          <w:color w:val="auto"/>
          <w:kern w:val="32"/>
          <w:sz w:val="30"/>
          <w:szCs w:val="30"/>
          <w:highlight w:val="none"/>
        </w:rPr>
      </w:pPr>
    </w:p>
    <w:p>
      <w:pPr>
        <w:spacing w:line="520" w:lineRule="exact"/>
        <w:jc w:val="center"/>
        <w:rPr>
          <w:rFonts w:hint="eastAsia" w:ascii="方正小标宋简体" w:hAnsi="方正小标宋简体" w:eastAsia="方正小标宋简体" w:cs="方正小标宋简体"/>
          <w:snapToGrid w:val="0"/>
          <w:color w:val="auto"/>
          <w:kern w:val="32"/>
          <w:sz w:val="30"/>
          <w:szCs w:val="30"/>
          <w:highlight w:val="none"/>
        </w:rPr>
      </w:pPr>
    </w:p>
    <w:p>
      <w:pPr>
        <w:spacing w:line="520" w:lineRule="exact"/>
        <w:jc w:val="center"/>
        <w:rPr>
          <w:rFonts w:hint="eastAsia" w:ascii="方正小标宋简体" w:hAnsi="方正小标宋简体" w:eastAsia="方正小标宋简体" w:cs="方正小标宋简体"/>
          <w:snapToGrid w:val="0"/>
          <w:color w:val="auto"/>
          <w:kern w:val="32"/>
          <w:sz w:val="30"/>
          <w:szCs w:val="30"/>
          <w:highlight w:val="none"/>
        </w:rPr>
      </w:pPr>
    </w:p>
    <w:p>
      <w:pPr>
        <w:spacing w:line="520" w:lineRule="exact"/>
        <w:jc w:val="center"/>
        <w:rPr>
          <w:rFonts w:hint="eastAsia" w:ascii="方正小标宋简体" w:hAnsi="方正小标宋简体" w:eastAsia="方正小标宋简体" w:cs="方正小标宋简体"/>
          <w:snapToGrid w:val="0"/>
          <w:color w:val="auto"/>
          <w:kern w:val="32"/>
          <w:sz w:val="30"/>
          <w:szCs w:val="30"/>
          <w:highlight w:val="none"/>
        </w:rPr>
      </w:pPr>
    </w:p>
    <w:p>
      <w:pPr>
        <w:spacing w:line="520" w:lineRule="exact"/>
        <w:jc w:val="center"/>
        <w:rPr>
          <w:rFonts w:hint="eastAsia" w:ascii="方正小标宋简体" w:hAnsi="方正小标宋简体" w:eastAsia="方正小标宋简体" w:cs="方正小标宋简体"/>
          <w:snapToGrid w:val="0"/>
          <w:color w:val="auto"/>
          <w:kern w:val="32"/>
          <w:sz w:val="30"/>
          <w:szCs w:val="30"/>
          <w:highlight w:val="none"/>
        </w:rPr>
      </w:pPr>
    </w:p>
    <w:p>
      <w:pPr>
        <w:spacing w:line="520" w:lineRule="exact"/>
        <w:jc w:val="center"/>
        <w:rPr>
          <w:rFonts w:hint="eastAsia" w:ascii="方正小标宋简体" w:hAnsi="方正小标宋简体" w:eastAsia="方正小标宋简体" w:cs="方正小标宋简体"/>
          <w:snapToGrid w:val="0"/>
          <w:color w:val="auto"/>
          <w:kern w:val="32"/>
          <w:sz w:val="30"/>
          <w:szCs w:val="30"/>
          <w:highlight w:val="none"/>
        </w:rPr>
      </w:pPr>
    </w:p>
    <w:p>
      <w:pPr>
        <w:spacing w:line="520" w:lineRule="exact"/>
        <w:jc w:val="center"/>
        <w:rPr>
          <w:rFonts w:hint="eastAsia" w:ascii="方正小标宋简体" w:hAnsi="方正小标宋简体" w:eastAsia="方正小标宋简体" w:cs="方正小标宋简体"/>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snapToGrid w:val="0"/>
          <w:color w:val="auto"/>
          <w:kern w:val="32"/>
          <w:sz w:val="44"/>
          <w:szCs w:val="44"/>
          <w:highlight w:val="none"/>
        </w:rPr>
      </w:pPr>
      <w:r>
        <w:rPr>
          <w:rFonts w:hint="eastAsia" w:ascii="方正小标宋简体" w:hAnsi="方正小标宋简体" w:eastAsia="方正小标宋简体" w:cs="方正小标宋简体"/>
          <w:snapToGrid w:val="0"/>
          <w:color w:val="auto"/>
          <w:kern w:val="32"/>
          <w:sz w:val="44"/>
          <w:szCs w:val="44"/>
          <w:highlight w:val="none"/>
        </w:rPr>
        <w:t>关键绩效指标</w:t>
      </w:r>
    </w:p>
    <w:p>
      <w:pPr>
        <w:spacing w:line="520" w:lineRule="exact"/>
        <w:ind w:firstLine="602" w:firstLineChars="200"/>
        <w:rPr>
          <w:rFonts w:ascii="楷体_GB2312" w:hAnsi="楷体_GB2312" w:eastAsia="楷体_GB2312" w:cs="楷体_GB2312"/>
          <w:b/>
          <w:bCs/>
          <w:color w:val="auto"/>
          <w:sz w:val="30"/>
          <w:szCs w:val="30"/>
          <w:highlight w:val="none"/>
        </w:rPr>
      </w:pPr>
    </w:p>
    <w:p>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outlineLvl w:val="9"/>
        <w:rPr>
          <w:rFonts w:ascii="仿宋_GB2312" w:hAnsi="仿宋_GB2312" w:eastAsia="仿宋_GB2312" w:cs="仿宋_GB2312"/>
          <w:snapToGrid w:val="0"/>
          <w:color w:val="auto"/>
          <w:kern w:val="32"/>
          <w:sz w:val="30"/>
          <w:szCs w:val="30"/>
          <w:highlight w:val="none"/>
        </w:rPr>
      </w:pPr>
      <w:r>
        <w:rPr>
          <w:rFonts w:hint="eastAsia" w:ascii="楷体_GB2312" w:hAnsi="楷体_GB2312" w:eastAsia="楷体_GB2312" w:cs="楷体_GB2312"/>
          <w:b/>
          <w:bCs/>
          <w:color w:val="auto"/>
          <w:sz w:val="30"/>
          <w:szCs w:val="30"/>
          <w:highlight w:val="none"/>
        </w:rPr>
        <w:t>各项存款：</w:t>
      </w:r>
      <w:r>
        <w:rPr>
          <w:rFonts w:hint="eastAsia" w:ascii="仿宋_GB2312" w:hAnsi="仿宋_GB2312" w:eastAsia="仿宋_GB2312" w:cs="仿宋_GB2312"/>
          <w:snapToGrid w:val="0"/>
          <w:color w:val="auto"/>
          <w:kern w:val="32"/>
          <w:sz w:val="30"/>
          <w:szCs w:val="30"/>
          <w:highlight w:val="none"/>
        </w:rPr>
        <w:t>2021年末余额77.15亿元，较年初增加6.88亿元，增长9.79%,完成全年目标计划的110.96%；</w:t>
      </w:r>
    </w:p>
    <w:p>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outlineLvl w:val="9"/>
        <w:rPr>
          <w:rFonts w:ascii="仿宋_GB2312" w:hAnsi="仿宋_GB2312" w:eastAsia="仿宋_GB2312" w:cs="仿宋_GB2312"/>
          <w:snapToGrid w:val="0"/>
          <w:color w:val="auto"/>
          <w:kern w:val="32"/>
          <w:sz w:val="30"/>
          <w:szCs w:val="30"/>
          <w:highlight w:val="none"/>
        </w:rPr>
      </w:pPr>
      <w:r>
        <w:rPr>
          <w:rFonts w:hint="eastAsia" w:ascii="楷体_GB2312" w:hAnsi="楷体_GB2312" w:eastAsia="楷体_GB2312" w:cs="楷体_GB2312"/>
          <w:b/>
          <w:bCs/>
          <w:color w:val="auto"/>
          <w:sz w:val="30"/>
          <w:szCs w:val="30"/>
          <w:highlight w:val="none"/>
        </w:rPr>
        <w:t>各项贷款：</w:t>
      </w:r>
      <w:r>
        <w:rPr>
          <w:rFonts w:hint="eastAsia" w:ascii="仿宋_GB2312" w:hAnsi="仿宋_GB2312" w:eastAsia="仿宋_GB2312" w:cs="仿宋_GB2312"/>
          <w:snapToGrid w:val="0"/>
          <w:color w:val="auto"/>
          <w:kern w:val="32"/>
          <w:sz w:val="30"/>
          <w:szCs w:val="30"/>
          <w:highlight w:val="none"/>
        </w:rPr>
        <w:t>2021年末余额61.22亿元，较年初增加6.64亿元，增长12.16%，完成全年目标计划的101.48%。</w:t>
      </w:r>
    </w:p>
    <w:p>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outlineLvl w:val="9"/>
        <w:rPr>
          <w:rFonts w:ascii="仿宋_GB2312" w:hAnsi="仿宋_GB2312" w:eastAsia="仿宋_GB2312" w:cs="仿宋_GB2312"/>
          <w:snapToGrid w:val="0"/>
          <w:color w:val="auto"/>
          <w:kern w:val="32"/>
          <w:sz w:val="30"/>
          <w:szCs w:val="30"/>
          <w:highlight w:val="none"/>
        </w:rPr>
      </w:pPr>
      <w:r>
        <w:rPr>
          <w:rFonts w:hint="eastAsia" w:ascii="楷体_GB2312" w:hAnsi="楷体_GB2312" w:eastAsia="楷体_GB2312" w:cs="楷体_GB2312"/>
          <w:b/>
          <w:bCs/>
          <w:color w:val="auto"/>
          <w:sz w:val="30"/>
          <w:szCs w:val="30"/>
          <w:highlight w:val="none"/>
        </w:rPr>
        <w:t>业务结构：</w:t>
      </w:r>
      <w:r>
        <w:rPr>
          <w:rFonts w:hint="eastAsia" w:ascii="仿宋_GB2312" w:hAnsi="仿宋_GB2312" w:eastAsia="仿宋_GB2312" w:cs="仿宋_GB2312"/>
          <w:snapToGrid w:val="0"/>
          <w:color w:val="auto"/>
          <w:kern w:val="32"/>
          <w:sz w:val="30"/>
          <w:szCs w:val="30"/>
          <w:highlight w:val="none"/>
          <w:lang w:val="zh-CN"/>
        </w:rPr>
        <w:t>至</w:t>
      </w:r>
      <w:r>
        <w:rPr>
          <w:rFonts w:hint="eastAsia" w:ascii="仿宋_GB2312" w:hAnsi="仿宋_GB2312" w:eastAsia="仿宋_GB2312" w:cs="仿宋_GB2312"/>
          <w:snapToGrid w:val="0"/>
          <w:color w:val="auto"/>
          <w:kern w:val="32"/>
          <w:sz w:val="30"/>
          <w:szCs w:val="30"/>
          <w:highlight w:val="none"/>
        </w:rPr>
        <w:t>2021年末，</w:t>
      </w:r>
      <w:r>
        <w:rPr>
          <w:rFonts w:hint="eastAsia" w:ascii="仿宋_GB2312" w:hAnsi="仿宋_GB2312" w:eastAsia="仿宋_GB2312" w:cs="仿宋_GB2312"/>
          <w:snapToGrid w:val="0"/>
          <w:color w:val="auto"/>
          <w:kern w:val="32"/>
          <w:sz w:val="30"/>
          <w:szCs w:val="30"/>
          <w:highlight w:val="none"/>
          <w:lang w:val="zh-CN"/>
        </w:rPr>
        <w:t>零售存款较年初增加</w:t>
      </w:r>
      <w:r>
        <w:rPr>
          <w:rFonts w:hint="eastAsia" w:ascii="仿宋_GB2312" w:hAnsi="仿宋_GB2312" w:eastAsia="仿宋_GB2312" w:cs="仿宋_GB2312"/>
          <w:snapToGrid w:val="0"/>
          <w:color w:val="auto"/>
          <w:kern w:val="32"/>
          <w:sz w:val="30"/>
          <w:szCs w:val="30"/>
          <w:highlight w:val="none"/>
        </w:rPr>
        <w:t>7.49</w:t>
      </w:r>
      <w:r>
        <w:rPr>
          <w:rFonts w:hint="eastAsia" w:ascii="仿宋_GB2312" w:hAnsi="仿宋_GB2312" w:eastAsia="仿宋_GB2312" w:cs="仿宋_GB2312"/>
          <w:snapToGrid w:val="0"/>
          <w:color w:val="auto"/>
          <w:kern w:val="32"/>
          <w:sz w:val="30"/>
          <w:szCs w:val="30"/>
          <w:highlight w:val="none"/>
          <w:lang w:val="zh-CN"/>
        </w:rPr>
        <w:t>亿元，同比多增</w:t>
      </w:r>
      <w:r>
        <w:rPr>
          <w:rFonts w:hint="eastAsia" w:ascii="仿宋_GB2312" w:hAnsi="仿宋_GB2312" w:eastAsia="仿宋_GB2312" w:cs="仿宋_GB2312"/>
          <w:snapToGrid w:val="0"/>
          <w:color w:val="auto"/>
          <w:kern w:val="32"/>
          <w:sz w:val="30"/>
          <w:szCs w:val="30"/>
          <w:highlight w:val="none"/>
        </w:rPr>
        <w:t>1.90</w:t>
      </w:r>
      <w:r>
        <w:rPr>
          <w:rFonts w:hint="eastAsia" w:ascii="仿宋_GB2312" w:hAnsi="仿宋_GB2312" w:eastAsia="仿宋_GB2312" w:cs="仿宋_GB2312"/>
          <w:snapToGrid w:val="0"/>
          <w:color w:val="auto"/>
          <w:kern w:val="32"/>
          <w:sz w:val="30"/>
          <w:szCs w:val="30"/>
          <w:highlight w:val="none"/>
          <w:lang w:val="zh-CN"/>
        </w:rPr>
        <w:t>亿元，增</w:t>
      </w:r>
      <w:r>
        <w:rPr>
          <w:rFonts w:hint="eastAsia" w:ascii="仿宋_GB2312" w:hAnsi="仿宋_GB2312" w:eastAsia="仿宋_GB2312" w:cs="仿宋_GB2312"/>
          <w:snapToGrid w:val="0"/>
          <w:color w:val="auto"/>
          <w:kern w:val="32"/>
          <w:sz w:val="30"/>
          <w:szCs w:val="30"/>
          <w:highlight w:val="none"/>
        </w:rPr>
        <w:t>幅12.80</w:t>
      </w:r>
      <w:r>
        <w:rPr>
          <w:rFonts w:hint="eastAsia" w:ascii="仿宋_GB2312" w:hAnsi="仿宋_GB2312" w:eastAsia="仿宋_GB2312" w:cs="仿宋_GB2312"/>
          <w:snapToGrid w:val="0"/>
          <w:color w:val="auto"/>
          <w:kern w:val="32"/>
          <w:sz w:val="30"/>
          <w:szCs w:val="30"/>
          <w:highlight w:val="none"/>
          <w:lang w:val="zh-CN"/>
        </w:rPr>
        <w:t>%。</w:t>
      </w:r>
      <w:r>
        <w:rPr>
          <w:rFonts w:hint="eastAsia" w:ascii="仿宋_GB2312" w:hAnsi="仿宋_GB2312" w:eastAsia="仿宋_GB2312" w:cs="仿宋_GB2312"/>
          <w:color w:val="auto"/>
          <w:sz w:val="30"/>
          <w:szCs w:val="30"/>
          <w:highlight w:val="none"/>
        </w:rPr>
        <w:t>1000万元以下贷款户数15719户，较年初增加</w:t>
      </w:r>
      <w:r>
        <w:rPr>
          <w:rFonts w:hint="eastAsia" w:ascii="仿宋_GB2312" w:hAnsi="仿宋_GB2312" w:eastAsia="仿宋_GB2312" w:cs="仿宋_GB2312"/>
          <w:snapToGrid w:val="0"/>
          <w:color w:val="auto"/>
          <w:kern w:val="32"/>
          <w:sz w:val="30"/>
          <w:szCs w:val="30"/>
          <w:highlight w:val="none"/>
        </w:rPr>
        <w:t>1961户</w:t>
      </w:r>
      <w:r>
        <w:rPr>
          <w:rFonts w:hint="eastAsia" w:ascii="仿宋_GB2312" w:hAnsi="仿宋_GB2312" w:eastAsia="仿宋_GB2312" w:cs="仿宋_GB2312"/>
          <w:snapToGrid w:val="0"/>
          <w:color w:val="auto"/>
          <w:kern w:val="32"/>
          <w:sz w:val="30"/>
          <w:szCs w:val="30"/>
          <w:highlight w:val="none"/>
          <w:lang w:val="zh-CN"/>
        </w:rPr>
        <w:t>。</w:t>
      </w:r>
      <w:r>
        <w:rPr>
          <w:rFonts w:hint="eastAsia" w:ascii="仿宋_GB2312" w:hAnsi="仿宋_GB2312" w:eastAsia="仿宋_GB2312" w:cs="仿宋_GB2312"/>
          <w:bCs/>
          <w:color w:val="auto"/>
          <w:sz w:val="30"/>
          <w:szCs w:val="30"/>
          <w:highlight w:val="none"/>
        </w:rPr>
        <w:t>涉农贷款余额30.63亿元，较年初增加0.25亿元，</w:t>
      </w:r>
      <w:r>
        <w:rPr>
          <w:rFonts w:hint="eastAsia" w:ascii="仿宋_GB2312" w:hAnsi="仿宋_GB2312" w:eastAsia="仿宋_GB2312" w:cs="仿宋_GB2312"/>
          <w:color w:val="auto"/>
          <w:sz w:val="30"/>
          <w:szCs w:val="30"/>
          <w:highlight w:val="none"/>
        </w:rPr>
        <w:t>普惠型小微企业贷款余额8.35亿元，较年初增加1.14亿元，增幅15.87%，</w:t>
      </w:r>
      <w:r>
        <w:rPr>
          <w:rFonts w:hint="eastAsia" w:ascii="仿宋_GB2312" w:hAnsi="仿宋_GB2312" w:eastAsia="仿宋_GB2312" w:cs="仿宋_GB2312"/>
          <w:bCs/>
          <w:color w:val="auto"/>
          <w:sz w:val="30"/>
          <w:szCs w:val="30"/>
          <w:highlight w:val="none"/>
        </w:rPr>
        <w:t>实现了涉农贷款持续增长和</w:t>
      </w:r>
      <w:r>
        <w:rPr>
          <w:rFonts w:hint="eastAsia" w:ascii="仿宋_GB2312" w:hAnsi="仿宋_GB2312" w:eastAsia="仿宋_GB2312" w:cs="仿宋_GB2312"/>
          <w:color w:val="auto"/>
          <w:sz w:val="30"/>
          <w:szCs w:val="30"/>
          <w:highlight w:val="none"/>
        </w:rPr>
        <w:t>普惠型小微企业贷款“两增两控”目标。</w:t>
      </w:r>
    </w:p>
    <w:p>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outlineLvl w:val="9"/>
        <w:rPr>
          <w:rFonts w:ascii="仿宋_GB2312" w:hAnsi="仿宋_GB2312" w:eastAsia="仿宋_GB2312" w:cs="仿宋_GB2312"/>
          <w:snapToGrid w:val="0"/>
          <w:color w:val="auto"/>
          <w:kern w:val="32"/>
          <w:sz w:val="30"/>
          <w:szCs w:val="30"/>
          <w:highlight w:val="none"/>
          <w:lang w:val="zh-CN"/>
        </w:rPr>
      </w:pPr>
      <w:r>
        <w:rPr>
          <w:rFonts w:hint="eastAsia" w:ascii="楷体_GB2312" w:hAnsi="楷体_GB2312" w:eastAsia="楷体_GB2312" w:cs="楷体_GB2312"/>
          <w:b/>
          <w:bCs/>
          <w:color w:val="auto"/>
          <w:sz w:val="30"/>
          <w:szCs w:val="30"/>
          <w:highlight w:val="none"/>
        </w:rPr>
        <w:t>各项收入：</w:t>
      </w:r>
      <w:r>
        <w:rPr>
          <w:rFonts w:hint="eastAsia" w:ascii="仿宋_GB2312" w:hAnsi="仿宋_GB2312" w:eastAsia="仿宋_GB2312" w:cs="仿宋_GB2312"/>
          <w:snapToGrid w:val="0"/>
          <w:color w:val="auto"/>
          <w:kern w:val="32"/>
          <w:sz w:val="30"/>
          <w:szCs w:val="30"/>
          <w:highlight w:val="none"/>
          <w:lang w:val="zh-CN"/>
        </w:rPr>
        <w:t>全年实现各项收入4</w:t>
      </w:r>
      <w:r>
        <w:rPr>
          <w:rFonts w:hint="eastAsia" w:ascii="仿宋_GB2312" w:hAnsi="仿宋_GB2312" w:eastAsia="仿宋_GB2312" w:cs="仿宋_GB2312"/>
          <w:snapToGrid w:val="0"/>
          <w:color w:val="auto"/>
          <w:kern w:val="32"/>
          <w:sz w:val="30"/>
          <w:szCs w:val="30"/>
          <w:highlight w:val="none"/>
        </w:rPr>
        <w:t>.</w:t>
      </w:r>
      <w:r>
        <w:rPr>
          <w:rFonts w:hint="eastAsia" w:ascii="仿宋_GB2312" w:hAnsi="仿宋_GB2312" w:eastAsia="仿宋_GB2312" w:cs="仿宋_GB2312"/>
          <w:snapToGrid w:val="0"/>
          <w:color w:val="auto"/>
          <w:kern w:val="32"/>
          <w:sz w:val="30"/>
          <w:szCs w:val="30"/>
          <w:highlight w:val="none"/>
          <w:lang w:val="zh-CN"/>
        </w:rPr>
        <w:t>2</w:t>
      </w:r>
      <w:r>
        <w:rPr>
          <w:rFonts w:hint="eastAsia" w:ascii="仿宋_GB2312" w:hAnsi="仿宋_GB2312" w:eastAsia="仿宋_GB2312" w:cs="仿宋_GB2312"/>
          <w:snapToGrid w:val="0"/>
          <w:color w:val="auto"/>
          <w:kern w:val="32"/>
          <w:sz w:val="30"/>
          <w:szCs w:val="30"/>
          <w:highlight w:val="none"/>
        </w:rPr>
        <w:t>3亿</w:t>
      </w:r>
      <w:r>
        <w:rPr>
          <w:rFonts w:hint="eastAsia" w:ascii="仿宋_GB2312" w:hAnsi="仿宋_GB2312" w:eastAsia="仿宋_GB2312" w:cs="仿宋_GB2312"/>
          <w:snapToGrid w:val="0"/>
          <w:color w:val="auto"/>
          <w:kern w:val="32"/>
          <w:sz w:val="30"/>
          <w:szCs w:val="30"/>
          <w:highlight w:val="none"/>
          <w:lang w:val="zh-CN"/>
        </w:rPr>
        <w:t>元，同比增长17.58%；拨备前利润</w:t>
      </w:r>
      <w:r>
        <w:rPr>
          <w:rFonts w:hint="eastAsia" w:ascii="仿宋_GB2312" w:hAnsi="仿宋_GB2312" w:eastAsia="仿宋_GB2312" w:cs="仿宋_GB2312"/>
          <w:snapToGrid w:val="0"/>
          <w:color w:val="auto"/>
          <w:kern w:val="32"/>
          <w:sz w:val="30"/>
          <w:szCs w:val="30"/>
          <w:highlight w:val="none"/>
          <w:lang w:val="en-US" w:eastAsia="zh-CN"/>
        </w:rPr>
        <w:t>1.48</w:t>
      </w:r>
      <w:r>
        <w:rPr>
          <w:rFonts w:hint="eastAsia" w:ascii="仿宋_GB2312" w:hAnsi="仿宋_GB2312" w:eastAsia="仿宋_GB2312" w:cs="仿宋_GB2312"/>
          <w:snapToGrid w:val="0"/>
          <w:color w:val="auto"/>
          <w:kern w:val="32"/>
          <w:sz w:val="30"/>
          <w:szCs w:val="30"/>
          <w:highlight w:val="none"/>
        </w:rPr>
        <w:t>亿</w:t>
      </w:r>
      <w:r>
        <w:rPr>
          <w:rFonts w:hint="eastAsia" w:ascii="仿宋_GB2312" w:hAnsi="仿宋_GB2312" w:eastAsia="仿宋_GB2312" w:cs="仿宋_GB2312"/>
          <w:snapToGrid w:val="0"/>
          <w:color w:val="auto"/>
          <w:kern w:val="32"/>
          <w:sz w:val="30"/>
          <w:szCs w:val="30"/>
          <w:highlight w:val="none"/>
          <w:lang w:val="zh-CN"/>
        </w:rPr>
        <w:t>元，同比增长</w:t>
      </w:r>
      <w:r>
        <w:rPr>
          <w:rFonts w:hint="eastAsia" w:ascii="仿宋_GB2312" w:hAnsi="仿宋_GB2312" w:eastAsia="仿宋_GB2312" w:cs="仿宋_GB2312"/>
          <w:snapToGrid w:val="0"/>
          <w:color w:val="auto"/>
          <w:kern w:val="32"/>
          <w:sz w:val="30"/>
          <w:szCs w:val="30"/>
          <w:highlight w:val="none"/>
          <w:lang w:val="en-US" w:eastAsia="zh-CN"/>
        </w:rPr>
        <w:t>4.05%</w:t>
      </w:r>
      <w:r>
        <w:rPr>
          <w:rFonts w:hint="eastAsia" w:ascii="仿宋_GB2312" w:hAnsi="仿宋_GB2312" w:eastAsia="仿宋_GB2312" w:cs="仿宋_GB2312"/>
          <w:snapToGrid w:val="0"/>
          <w:color w:val="auto"/>
          <w:kern w:val="32"/>
          <w:sz w:val="30"/>
          <w:szCs w:val="30"/>
          <w:highlight w:val="none"/>
          <w:lang w:val="zh-CN"/>
        </w:rPr>
        <w:t>；净利润</w:t>
      </w:r>
      <w:r>
        <w:rPr>
          <w:rFonts w:hint="eastAsia" w:ascii="仿宋_GB2312" w:hAnsi="仿宋_GB2312" w:eastAsia="仿宋_GB2312" w:cs="仿宋_GB2312"/>
          <w:snapToGrid w:val="0"/>
          <w:color w:val="auto"/>
          <w:kern w:val="32"/>
          <w:sz w:val="30"/>
          <w:szCs w:val="30"/>
          <w:highlight w:val="none"/>
        </w:rPr>
        <w:t>0.</w:t>
      </w:r>
      <w:r>
        <w:rPr>
          <w:rFonts w:hint="eastAsia" w:ascii="仿宋_GB2312" w:hAnsi="仿宋_GB2312" w:eastAsia="仿宋_GB2312" w:cs="仿宋_GB2312"/>
          <w:snapToGrid w:val="0"/>
          <w:color w:val="auto"/>
          <w:kern w:val="32"/>
          <w:sz w:val="30"/>
          <w:szCs w:val="30"/>
          <w:highlight w:val="none"/>
          <w:lang w:val="zh-CN"/>
        </w:rPr>
        <w:t>45</w:t>
      </w:r>
      <w:r>
        <w:rPr>
          <w:rFonts w:hint="eastAsia" w:ascii="仿宋_GB2312" w:hAnsi="仿宋_GB2312" w:eastAsia="仿宋_GB2312" w:cs="仿宋_GB2312"/>
          <w:snapToGrid w:val="0"/>
          <w:color w:val="auto"/>
          <w:kern w:val="32"/>
          <w:sz w:val="30"/>
          <w:szCs w:val="30"/>
          <w:highlight w:val="none"/>
        </w:rPr>
        <w:t>亿</w:t>
      </w:r>
      <w:r>
        <w:rPr>
          <w:rFonts w:hint="eastAsia" w:ascii="仿宋_GB2312" w:hAnsi="仿宋_GB2312" w:eastAsia="仿宋_GB2312" w:cs="仿宋_GB2312"/>
          <w:snapToGrid w:val="0"/>
          <w:color w:val="auto"/>
          <w:kern w:val="32"/>
          <w:sz w:val="30"/>
          <w:szCs w:val="30"/>
          <w:highlight w:val="none"/>
          <w:lang w:val="zh-CN"/>
        </w:rPr>
        <w:t>元，完成全年计划的100.11%。</w:t>
      </w:r>
    </w:p>
    <w:p>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outlineLvl w:val="9"/>
        <w:rPr>
          <w:rFonts w:ascii="仿宋_GB2312" w:hAnsi="仿宋_GB2312" w:eastAsia="仿宋_GB2312" w:cs="仿宋_GB2312"/>
          <w:snapToGrid w:val="0"/>
          <w:color w:val="auto"/>
          <w:kern w:val="32"/>
          <w:sz w:val="30"/>
          <w:szCs w:val="30"/>
          <w:highlight w:val="none"/>
        </w:rPr>
      </w:pPr>
      <w:r>
        <w:rPr>
          <w:rFonts w:hint="eastAsia" w:ascii="楷体_GB2312" w:eastAsia="楷体_GB2312"/>
          <w:b/>
          <w:color w:val="auto"/>
          <w:sz w:val="30"/>
          <w:szCs w:val="30"/>
          <w:highlight w:val="none"/>
        </w:rPr>
        <w:t>电子银行：</w:t>
      </w:r>
      <w:r>
        <w:rPr>
          <w:rFonts w:hint="eastAsia" w:ascii="仿宋_GB2312" w:hAnsi="仿宋_GB2312" w:eastAsia="仿宋_GB2312" w:cs="仿宋_GB2312"/>
          <w:snapToGrid w:val="0"/>
          <w:color w:val="auto"/>
          <w:kern w:val="32"/>
          <w:sz w:val="30"/>
          <w:szCs w:val="30"/>
          <w:highlight w:val="none"/>
          <w:lang w:val="zh-CN"/>
        </w:rPr>
        <w:t>至</w:t>
      </w:r>
      <w:r>
        <w:rPr>
          <w:rFonts w:hint="eastAsia" w:ascii="仿宋_GB2312" w:hAnsi="仿宋_GB2312" w:eastAsia="仿宋_GB2312" w:cs="仿宋_GB2312"/>
          <w:snapToGrid w:val="0"/>
          <w:color w:val="auto"/>
          <w:kern w:val="32"/>
          <w:sz w:val="30"/>
          <w:szCs w:val="30"/>
          <w:highlight w:val="none"/>
        </w:rPr>
        <w:t>2021年末，</w:t>
      </w:r>
      <w:r>
        <w:rPr>
          <w:rFonts w:hint="eastAsia" w:ascii="仿宋_GB2312" w:hAnsi="仿宋_GB2312" w:eastAsia="仿宋_GB2312" w:cs="仿宋_GB2312"/>
          <w:snapToGrid w:val="0"/>
          <w:color w:val="auto"/>
          <w:kern w:val="32"/>
          <w:sz w:val="30"/>
          <w:szCs w:val="30"/>
          <w:highlight w:val="none"/>
          <w:lang w:val="zh-CN"/>
        </w:rPr>
        <w:t>新增手机银行</w:t>
      </w:r>
      <w:r>
        <w:rPr>
          <w:rFonts w:hint="eastAsia" w:ascii="仿宋_GB2312" w:hAnsi="仿宋_GB2312" w:eastAsia="仿宋_GB2312" w:cs="仿宋_GB2312"/>
          <w:snapToGrid w:val="0"/>
          <w:color w:val="auto"/>
          <w:kern w:val="32"/>
          <w:sz w:val="30"/>
          <w:szCs w:val="30"/>
          <w:highlight w:val="none"/>
        </w:rPr>
        <w:t>20483</w:t>
      </w:r>
      <w:r>
        <w:rPr>
          <w:rFonts w:hint="eastAsia" w:ascii="仿宋_GB2312" w:hAnsi="仿宋_GB2312" w:eastAsia="仿宋_GB2312" w:cs="仿宋_GB2312"/>
          <w:snapToGrid w:val="0"/>
          <w:color w:val="auto"/>
          <w:kern w:val="32"/>
          <w:sz w:val="30"/>
          <w:szCs w:val="30"/>
          <w:highlight w:val="none"/>
          <w:lang w:val="zh-CN"/>
        </w:rPr>
        <w:t>户、网上银行用户565户、</w:t>
      </w:r>
      <w:r>
        <w:rPr>
          <w:rFonts w:hint="eastAsia" w:ascii="仿宋_GB2312" w:hAnsi="仿宋_GB2312" w:eastAsia="仿宋_GB2312" w:cs="仿宋_GB2312"/>
          <w:snapToGrid w:val="0"/>
          <w:color w:val="auto"/>
          <w:kern w:val="32"/>
          <w:sz w:val="30"/>
          <w:szCs w:val="30"/>
          <w:highlight w:val="none"/>
        </w:rPr>
        <w:t>聚合支付商户</w:t>
      </w:r>
      <w:r>
        <w:rPr>
          <w:rFonts w:hint="eastAsia" w:ascii="仿宋_GB2312" w:hAnsi="仿宋_GB2312" w:eastAsia="仿宋_GB2312" w:cs="仿宋_GB2312"/>
          <w:snapToGrid w:val="0"/>
          <w:color w:val="auto"/>
          <w:kern w:val="32"/>
          <w:sz w:val="30"/>
          <w:szCs w:val="30"/>
          <w:highlight w:val="none"/>
          <w:lang w:val="zh-CN"/>
        </w:rPr>
        <w:t>292</w:t>
      </w:r>
      <w:r>
        <w:rPr>
          <w:rFonts w:hint="eastAsia" w:ascii="仿宋_GB2312" w:hAnsi="仿宋_GB2312" w:eastAsia="仿宋_GB2312" w:cs="仿宋_GB2312"/>
          <w:snapToGrid w:val="0"/>
          <w:color w:val="auto"/>
          <w:kern w:val="32"/>
          <w:sz w:val="30"/>
          <w:szCs w:val="30"/>
          <w:highlight w:val="none"/>
        </w:rPr>
        <w:t>户、e百福20119</w:t>
      </w:r>
      <w:r>
        <w:rPr>
          <w:rFonts w:hint="eastAsia" w:ascii="仿宋_GB2312" w:hAnsi="仿宋_GB2312" w:eastAsia="仿宋_GB2312" w:cs="仿宋_GB2312"/>
          <w:snapToGrid w:val="0"/>
          <w:color w:val="auto"/>
          <w:kern w:val="32"/>
          <w:sz w:val="30"/>
          <w:szCs w:val="30"/>
          <w:highlight w:val="none"/>
          <w:lang w:val="zh-CN"/>
        </w:rPr>
        <w:t>户、信用卡用户</w:t>
      </w:r>
      <w:r>
        <w:rPr>
          <w:rFonts w:hint="eastAsia" w:ascii="仿宋_GB2312" w:hAnsi="仿宋_GB2312" w:eastAsia="仿宋_GB2312" w:cs="仿宋_GB2312"/>
          <w:snapToGrid w:val="0"/>
          <w:color w:val="auto"/>
          <w:kern w:val="32"/>
          <w:sz w:val="30"/>
          <w:szCs w:val="30"/>
          <w:highlight w:val="none"/>
        </w:rPr>
        <w:t>722</w:t>
      </w:r>
      <w:r>
        <w:rPr>
          <w:rFonts w:hint="eastAsia" w:ascii="仿宋_GB2312" w:hAnsi="仿宋_GB2312" w:eastAsia="仿宋_GB2312" w:cs="仿宋_GB2312"/>
          <w:snapToGrid w:val="0"/>
          <w:color w:val="auto"/>
          <w:kern w:val="32"/>
          <w:sz w:val="30"/>
          <w:szCs w:val="30"/>
          <w:highlight w:val="none"/>
          <w:lang w:val="zh-CN"/>
        </w:rPr>
        <w:t>户、ETC用户</w:t>
      </w:r>
      <w:r>
        <w:rPr>
          <w:rFonts w:hint="eastAsia" w:ascii="仿宋_GB2312" w:hAnsi="仿宋_GB2312" w:eastAsia="仿宋_GB2312" w:cs="仿宋_GB2312"/>
          <w:snapToGrid w:val="0"/>
          <w:color w:val="auto"/>
          <w:kern w:val="32"/>
          <w:sz w:val="30"/>
          <w:szCs w:val="30"/>
          <w:highlight w:val="none"/>
        </w:rPr>
        <w:t>681</w:t>
      </w:r>
      <w:r>
        <w:rPr>
          <w:rFonts w:hint="eastAsia" w:ascii="仿宋_GB2312" w:hAnsi="仿宋_GB2312" w:eastAsia="仿宋_GB2312" w:cs="仿宋_GB2312"/>
          <w:snapToGrid w:val="0"/>
          <w:color w:val="auto"/>
          <w:kern w:val="32"/>
          <w:sz w:val="30"/>
          <w:szCs w:val="30"/>
          <w:highlight w:val="none"/>
          <w:lang w:val="zh-CN"/>
        </w:rPr>
        <w:t>户;累计发放百福借记卡14.64万张，卡均存款9330.42元；</w:t>
      </w:r>
      <w:r>
        <w:rPr>
          <w:rFonts w:hint="eastAsia" w:ascii="仿宋_GB2312" w:hAnsi="仿宋_GB2312" w:eastAsia="仿宋_GB2312" w:cs="仿宋_GB2312"/>
          <w:snapToGrid w:val="0"/>
          <w:color w:val="auto"/>
          <w:kern w:val="32"/>
          <w:sz w:val="30"/>
          <w:szCs w:val="30"/>
          <w:highlight w:val="none"/>
        </w:rPr>
        <w:t>累计发放社保卡18.94万张，激活社保卡14.67万张，激活率77.44%。</w:t>
      </w:r>
    </w:p>
    <w:p>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outlineLvl w:val="9"/>
        <w:rPr>
          <w:rFonts w:hint="eastAsia" w:ascii="仿宋_GB2312" w:hAnsi="仿宋_GB2312" w:eastAsia="仿宋_GB2312" w:cs="仿宋_GB2312"/>
          <w:snapToGrid w:val="0"/>
          <w:color w:val="auto"/>
          <w:kern w:val="32"/>
          <w:sz w:val="30"/>
          <w:szCs w:val="30"/>
          <w:highlight w:val="none"/>
          <w:lang w:val="zh-CN"/>
        </w:rPr>
      </w:pPr>
      <w:r>
        <w:rPr>
          <w:rFonts w:hint="eastAsia" w:ascii="楷体_GB2312" w:hAnsi="楷体_GB2312" w:eastAsia="楷体_GB2312" w:cs="楷体_GB2312"/>
          <w:b/>
          <w:bCs/>
          <w:color w:val="auto"/>
          <w:sz w:val="30"/>
          <w:szCs w:val="30"/>
          <w:highlight w:val="none"/>
        </w:rPr>
        <w:t>资产质量：</w:t>
      </w:r>
      <w:r>
        <w:rPr>
          <w:rFonts w:hint="eastAsia" w:ascii="仿宋_GB2312" w:hAnsi="仿宋_GB2312" w:eastAsia="仿宋_GB2312" w:cs="仿宋_GB2312"/>
          <w:snapToGrid w:val="0"/>
          <w:color w:val="auto"/>
          <w:kern w:val="32"/>
          <w:sz w:val="30"/>
          <w:szCs w:val="30"/>
          <w:highlight w:val="none"/>
          <w:lang w:val="zh-CN"/>
        </w:rPr>
        <w:t>至</w:t>
      </w:r>
      <w:r>
        <w:rPr>
          <w:rFonts w:hint="eastAsia" w:ascii="仿宋_GB2312" w:hAnsi="仿宋_GB2312" w:eastAsia="仿宋_GB2312" w:cs="仿宋_GB2312"/>
          <w:snapToGrid w:val="0"/>
          <w:color w:val="auto"/>
          <w:kern w:val="32"/>
          <w:sz w:val="30"/>
          <w:szCs w:val="30"/>
          <w:highlight w:val="none"/>
        </w:rPr>
        <w:t>2021年末，</w:t>
      </w:r>
      <w:r>
        <w:rPr>
          <w:rFonts w:hint="eastAsia" w:ascii="仿宋_GB2312" w:hAnsi="仿宋_GB2312" w:eastAsia="仿宋_GB2312" w:cs="仿宋_GB2312"/>
          <w:snapToGrid w:val="0"/>
          <w:color w:val="auto"/>
          <w:kern w:val="32"/>
          <w:sz w:val="30"/>
          <w:szCs w:val="30"/>
          <w:highlight w:val="none"/>
          <w:lang w:val="zh-CN"/>
        </w:rPr>
        <w:t>资本充足率13.56%，优于监管指标3.06个百分点；一级资本充足率12.44%，优于监管指标3.94个百分点；拨备覆盖率249.22%，优于2021年度监管标准99.22个百分点；流动性比例</w:t>
      </w:r>
      <w:r>
        <w:rPr>
          <w:rFonts w:hint="eastAsia" w:ascii="仿宋_GB2312" w:hAnsi="仿宋_GB2312" w:eastAsia="仿宋_GB2312" w:cs="仿宋_GB2312"/>
          <w:snapToGrid w:val="0"/>
          <w:color w:val="auto"/>
          <w:kern w:val="32"/>
          <w:sz w:val="30"/>
          <w:szCs w:val="30"/>
          <w:highlight w:val="none"/>
        </w:rPr>
        <w:t>36.7</w:t>
      </w:r>
      <w:r>
        <w:rPr>
          <w:rFonts w:hint="eastAsia" w:ascii="仿宋_GB2312" w:hAnsi="仿宋_GB2312" w:eastAsia="仿宋_GB2312" w:cs="仿宋_GB2312"/>
          <w:snapToGrid w:val="0"/>
          <w:color w:val="auto"/>
          <w:kern w:val="32"/>
          <w:sz w:val="30"/>
          <w:szCs w:val="30"/>
          <w:highlight w:val="none"/>
          <w:lang w:val="zh-CN"/>
        </w:rPr>
        <w:t>%，优于监管指标</w:t>
      </w:r>
      <w:r>
        <w:rPr>
          <w:rFonts w:hint="eastAsia" w:ascii="仿宋_GB2312" w:hAnsi="仿宋_GB2312" w:eastAsia="仿宋_GB2312" w:cs="仿宋_GB2312"/>
          <w:snapToGrid w:val="0"/>
          <w:color w:val="auto"/>
          <w:kern w:val="32"/>
          <w:sz w:val="30"/>
          <w:szCs w:val="30"/>
          <w:highlight w:val="none"/>
        </w:rPr>
        <w:t>11.7</w:t>
      </w:r>
      <w:r>
        <w:rPr>
          <w:rFonts w:hint="eastAsia" w:ascii="仿宋_GB2312" w:hAnsi="仿宋_GB2312" w:eastAsia="仿宋_GB2312" w:cs="仿宋_GB2312"/>
          <w:snapToGrid w:val="0"/>
          <w:color w:val="auto"/>
          <w:kern w:val="32"/>
          <w:sz w:val="30"/>
          <w:szCs w:val="30"/>
          <w:highlight w:val="none"/>
          <w:lang w:val="zh-CN"/>
        </w:rPr>
        <w:t>个百分点。</w:t>
      </w:r>
    </w:p>
    <w:p>
      <w:pPr>
        <w:pStyle w:val="2"/>
        <w:rPr>
          <w:sz w:val="30"/>
          <w:szCs w:val="30"/>
          <w:highlight w:val="none"/>
          <w:lang w:val="zh-CN"/>
        </w:rPr>
      </w:pPr>
    </w:p>
    <w:p>
      <w:pPr>
        <w:rPr>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r>
        <w:rPr>
          <w:color w:val="auto"/>
          <w:sz w:val="30"/>
          <w:szCs w:val="30"/>
          <w:highlight w:val="none"/>
        </w:rPr>
        <w:drawing>
          <wp:anchor distT="0" distB="0" distL="114300" distR="114300" simplePos="0" relativeHeight="251660288" behindDoc="1" locked="0" layoutInCell="1" allowOverlap="1">
            <wp:simplePos x="0" y="0"/>
            <wp:positionH relativeFrom="column">
              <wp:posOffset>-191770</wp:posOffset>
            </wp:positionH>
            <wp:positionV relativeFrom="paragraph">
              <wp:posOffset>81280</wp:posOffset>
            </wp:positionV>
            <wp:extent cx="5802630" cy="8033385"/>
            <wp:effectExtent l="0" t="0" r="7620" b="571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rcRect l="4680" t="-340" r="6230"/>
                    <a:stretch>
                      <a:fillRect/>
                    </a:stretch>
                  </pic:blipFill>
                  <pic:spPr>
                    <a:xfrm>
                      <a:off x="0" y="0"/>
                      <a:ext cx="5802630" cy="8033385"/>
                    </a:xfrm>
                    <a:prstGeom prst="rect">
                      <a:avLst/>
                    </a:prstGeom>
                    <a:noFill/>
                    <a:ln w="9525">
                      <a:noFill/>
                    </a:ln>
                  </pic:spPr>
                </pic:pic>
              </a:graphicData>
            </a:graphic>
          </wp:anchor>
        </w:drawing>
      </w: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pStyle w:val="3"/>
        <w:spacing w:line="560" w:lineRule="exact"/>
        <w:ind w:firstLine="600" w:firstLineChars="200"/>
        <w:rPr>
          <w:rFonts w:ascii="黑体" w:hAnsi="黑体" w:eastAsia="黑体" w:cs="黑体"/>
          <w:color w:val="auto"/>
          <w:sz w:val="30"/>
          <w:szCs w:val="30"/>
          <w:highlight w:val="none"/>
        </w:rPr>
      </w:pPr>
    </w:p>
    <w:p>
      <w:pPr>
        <w:spacing w:line="520" w:lineRule="exact"/>
        <w:jc w:val="center"/>
        <w:rPr>
          <w:rFonts w:ascii="方正小标宋简体" w:hAnsi="方正小标宋简体" w:eastAsia="方正小标宋简体" w:cs="方正小标宋简体"/>
          <w:snapToGrid w:val="0"/>
          <w:color w:val="auto"/>
          <w:kern w:val="32"/>
          <w:sz w:val="30"/>
          <w:szCs w:val="30"/>
          <w:highlight w:val="none"/>
        </w:rPr>
      </w:pPr>
    </w:p>
    <w:p>
      <w:pPr>
        <w:spacing w:line="520" w:lineRule="exact"/>
        <w:jc w:val="center"/>
        <w:rPr>
          <w:rFonts w:ascii="方正小标宋简体" w:hAnsi="方正小标宋简体" w:eastAsia="方正小标宋简体" w:cs="方正小标宋简体"/>
          <w:snapToGrid w:val="0"/>
          <w:color w:val="auto"/>
          <w:kern w:val="32"/>
          <w:sz w:val="30"/>
          <w:szCs w:val="30"/>
          <w:highlight w:val="none"/>
        </w:rPr>
      </w:pPr>
      <w:r>
        <w:rPr>
          <w:rFonts w:hint="eastAsia" w:ascii="方正小标宋简体" w:hAnsi="方正小标宋简体" w:eastAsia="方正小标宋简体" w:cs="方正小标宋简体"/>
          <w:snapToGrid w:val="0"/>
          <w:color w:val="auto"/>
          <w:kern w:val="32"/>
          <w:sz w:val="30"/>
          <w:szCs w:val="30"/>
          <w:highlight w:val="none"/>
        </w:rPr>
        <w:t>社会责任实践</w:t>
      </w:r>
    </w:p>
    <w:p>
      <w:pPr>
        <w:spacing w:line="520" w:lineRule="exact"/>
        <w:rPr>
          <w:rFonts w:ascii="楷体_GB2312" w:hAnsi="黑体" w:eastAsia="楷体_GB2312"/>
          <w:b/>
          <w:snapToGrid w:val="0"/>
          <w:color w:val="auto"/>
          <w:sz w:val="30"/>
          <w:szCs w:val="30"/>
          <w:highlight w:val="none"/>
        </w:rPr>
      </w:pP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hAnsi="黑体" w:eastAsia="黑体" w:cs="黑体"/>
          <w:bCs/>
          <w:snapToGrid w:val="0"/>
          <w:color w:val="auto"/>
          <w:sz w:val="30"/>
          <w:szCs w:val="30"/>
          <w:highlight w:val="none"/>
        </w:rPr>
      </w:pP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hint="eastAsia" w:ascii="黑体" w:hAnsi="黑体" w:eastAsia="黑体" w:cs="黑体"/>
          <w:bCs/>
          <w:snapToGrid w:val="0"/>
          <w:color w:val="auto"/>
          <w:sz w:val="30"/>
          <w:szCs w:val="30"/>
          <w:highlight w:val="none"/>
        </w:rPr>
      </w:pP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ascii="黑体" w:hAnsi="黑体" w:eastAsia="黑体" w:cs="黑体"/>
          <w:bCs/>
          <w:snapToGrid w:val="0"/>
          <w:color w:val="auto"/>
          <w:sz w:val="30"/>
          <w:szCs w:val="30"/>
          <w:highlight w:val="none"/>
        </w:rPr>
      </w:pPr>
      <w:r>
        <w:rPr>
          <w:rFonts w:hint="eastAsia" w:ascii="黑体" w:hAnsi="黑体" w:eastAsia="黑体" w:cs="黑体"/>
          <w:bCs/>
          <w:snapToGrid w:val="0"/>
          <w:color w:val="auto"/>
          <w:sz w:val="30"/>
          <w:szCs w:val="30"/>
          <w:highlight w:val="none"/>
        </w:rPr>
        <w:t>坚持客户倍增，打造业务发展主引擎</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ascii="仿宋_GB2312" w:hAnsi="仿宋_GB2312" w:eastAsia="仿宋_GB2312" w:cs="仿宋_GB2312"/>
          <w:snapToGrid w:val="0"/>
          <w:color w:val="auto"/>
          <w:kern w:val="32"/>
          <w:sz w:val="30"/>
          <w:szCs w:val="30"/>
          <w:highlight w:val="none"/>
          <w:lang w:val="zh-CN"/>
        </w:rPr>
      </w:pPr>
      <w:r>
        <w:rPr>
          <w:rFonts w:hint="eastAsia" w:ascii="仿宋_GB2312" w:hAnsi="仿宋_GB2312" w:eastAsia="仿宋_GB2312" w:cs="仿宋_GB2312"/>
          <w:snapToGrid w:val="0"/>
          <w:color w:val="auto"/>
          <w:kern w:val="32"/>
          <w:sz w:val="30"/>
          <w:szCs w:val="30"/>
          <w:highlight w:val="none"/>
          <w:lang w:val="zh-CN"/>
        </w:rPr>
        <w:t>宜丰农商银行坚定不移推进“扩面、</w:t>
      </w:r>
      <w:r>
        <w:rPr>
          <w:rFonts w:hint="eastAsia" w:ascii="仿宋_GB2312" w:hAnsi="仿宋_GB2312" w:eastAsia="仿宋_GB2312" w:cs="仿宋_GB2312"/>
          <w:snapToGrid w:val="0"/>
          <w:color w:val="auto"/>
          <w:kern w:val="32"/>
          <w:sz w:val="30"/>
          <w:szCs w:val="30"/>
          <w:highlight w:val="none"/>
        </w:rPr>
        <w:t>增量、提质</w:t>
      </w:r>
      <w:r>
        <w:rPr>
          <w:rFonts w:hint="eastAsia" w:ascii="仿宋_GB2312" w:hAnsi="仿宋_GB2312" w:eastAsia="仿宋_GB2312" w:cs="仿宋_GB2312"/>
          <w:snapToGrid w:val="0"/>
          <w:color w:val="auto"/>
          <w:kern w:val="32"/>
          <w:sz w:val="30"/>
          <w:szCs w:val="30"/>
          <w:highlight w:val="none"/>
          <w:lang w:val="zh-CN"/>
        </w:rPr>
        <w:t>”工程，</w:t>
      </w:r>
      <w:r>
        <w:rPr>
          <w:rFonts w:hint="eastAsia" w:ascii="仿宋_GB2312" w:hAnsi="仿宋_GB2312" w:eastAsia="仿宋_GB2312" w:cs="仿宋_GB2312"/>
          <w:snapToGrid w:val="0"/>
          <w:color w:val="auto"/>
          <w:kern w:val="32"/>
          <w:sz w:val="30"/>
          <w:szCs w:val="30"/>
          <w:highlight w:val="none"/>
        </w:rPr>
        <w:t>实施客户扩面翻番，</w:t>
      </w:r>
      <w:r>
        <w:rPr>
          <w:rFonts w:hint="eastAsia" w:ascii="仿宋_GB2312" w:hAnsi="仿宋_GB2312" w:eastAsia="仿宋_GB2312" w:cs="仿宋_GB2312"/>
          <w:snapToGrid w:val="0"/>
          <w:color w:val="auto"/>
          <w:kern w:val="32"/>
          <w:sz w:val="30"/>
          <w:szCs w:val="30"/>
          <w:highlight w:val="none"/>
          <w:lang w:val="zh-CN"/>
        </w:rPr>
        <w:t>夯实客户基础，做大客户总量，促进客户转化。</w:t>
      </w:r>
    </w:p>
    <w:p>
      <w:pPr>
        <w:keepNext w:val="0"/>
        <w:keepLines w:val="0"/>
        <w:pageBreakBefore w:val="0"/>
        <w:widowControl w:val="0"/>
        <w:kinsoku/>
        <w:wordWrap/>
        <w:overflowPunct/>
        <w:topLinePunct w:val="0"/>
        <w:autoSpaceDE/>
        <w:autoSpaceDN/>
        <w:bidi w:val="0"/>
        <w:adjustRightInd/>
        <w:snapToGrid/>
        <w:spacing w:line="500" w:lineRule="exact"/>
        <w:ind w:firstLine="610" w:firstLineChars="200"/>
        <w:textAlignment w:val="auto"/>
        <w:outlineLvl w:val="9"/>
        <w:rPr>
          <w:rFonts w:ascii="仿宋_GB2312" w:hAnsi="仿宋_GB2312" w:eastAsia="仿宋_GB2312" w:cs="仿宋_GB2312"/>
          <w:color w:val="auto"/>
          <w:sz w:val="30"/>
          <w:szCs w:val="30"/>
          <w:highlight w:val="none"/>
        </w:rPr>
      </w:pPr>
      <w:r>
        <w:rPr>
          <w:rFonts w:hint="eastAsia" w:ascii="楷体_GB2312" w:hAnsi="楷体_GB2312" w:eastAsia="楷体_GB2312" w:cs="楷体_GB2312"/>
          <w:b/>
          <w:bCs/>
          <w:color w:val="auto"/>
          <w:spacing w:val="2"/>
          <w:kern w:val="0"/>
          <w:sz w:val="30"/>
          <w:szCs w:val="30"/>
          <w:highlight w:val="none"/>
        </w:rPr>
        <w:t>制定目标计划。</w:t>
      </w:r>
      <w:r>
        <w:rPr>
          <w:rFonts w:hint="eastAsia" w:ascii="仿宋_GB2312" w:hAnsi="仿宋_GB2312" w:eastAsia="仿宋_GB2312" w:cs="仿宋_GB2312"/>
          <w:color w:val="auto"/>
          <w:sz w:val="30"/>
          <w:szCs w:val="30"/>
          <w:highlight w:val="none"/>
        </w:rPr>
        <w:t>年初明确全年净增贷款授信户数6000户、用信户数5000户的计划，制定《2021-2023年整村推进工作实施方案》《2021-2023年城区网格化营销实施方案》。</w:t>
      </w:r>
    </w:p>
    <w:p>
      <w:pPr>
        <w:keepNext w:val="0"/>
        <w:keepLines w:val="0"/>
        <w:pageBreakBefore w:val="0"/>
        <w:widowControl w:val="0"/>
        <w:kinsoku/>
        <w:wordWrap/>
        <w:overflowPunct/>
        <w:topLinePunct w:val="0"/>
        <w:autoSpaceDE/>
        <w:autoSpaceDN/>
        <w:bidi w:val="0"/>
        <w:adjustRightInd/>
        <w:snapToGrid/>
        <w:spacing w:line="500" w:lineRule="exact"/>
        <w:ind w:firstLine="610" w:firstLineChars="200"/>
        <w:textAlignment w:val="auto"/>
        <w:outlineLvl w:val="9"/>
        <w:rPr>
          <w:rFonts w:ascii="仿宋_GB2312" w:eastAsia="仿宋_GB2312"/>
          <w:color w:val="auto"/>
          <w:sz w:val="30"/>
          <w:szCs w:val="30"/>
          <w:highlight w:val="none"/>
        </w:rPr>
      </w:pPr>
      <w:r>
        <w:rPr>
          <w:rFonts w:hint="eastAsia" w:ascii="楷体_GB2312" w:hAnsi="楷体_GB2312" w:eastAsia="楷体_GB2312" w:cs="楷体_GB2312"/>
          <w:b/>
          <w:bCs/>
          <w:color w:val="auto"/>
          <w:spacing w:val="2"/>
          <w:kern w:val="0"/>
          <w:sz w:val="30"/>
          <w:szCs w:val="30"/>
          <w:highlight w:val="none"/>
        </w:rPr>
        <w:t>实行网格管理。</w:t>
      </w:r>
      <w:r>
        <w:rPr>
          <w:rFonts w:hint="eastAsia" w:ascii="仿宋_GB2312" w:eastAsia="仿宋_GB2312"/>
          <w:color w:val="auto"/>
          <w:sz w:val="30"/>
          <w:szCs w:val="30"/>
          <w:highlight w:val="none"/>
          <w:lang w:bidi="ar"/>
        </w:rPr>
        <w:t>对城区街道实行分片划区，责任到人，</w:t>
      </w:r>
      <w:r>
        <w:rPr>
          <w:rFonts w:hint="eastAsia" w:ascii="仿宋_GB2312" w:eastAsia="仿宋_GB2312"/>
          <w:color w:val="auto"/>
          <w:sz w:val="30"/>
          <w:szCs w:val="30"/>
          <w:highlight w:val="none"/>
        </w:rPr>
        <w:t>实行表格化管理，</w:t>
      </w:r>
      <w:r>
        <w:rPr>
          <w:rFonts w:hint="eastAsia" w:ascii="仿宋_GB2312" w:eastAsia="仿宋_GB2312"/>
          <w:color w:val="auto"/>
          <w:sz w:val="30"/>
          <w:szCs w:val="30"/>
          <w:highlight w:val="none"/>
          <w:lang w:bidi="ar"/>
        </w:rPr>
        <w:t>以推广居民网贷、居民易贷等业务为切入点，</w:t>
      </w:r>
      <w:r>
        <w:rPr>
          <w:rFonts w:hint="eastAsia" w:ascii="仿宋_GB2312" w:eastAsia="仿宋_GB2312"/>
          <w:color w:val="auto"/>
          <w:sz w:val="30"/>
          <w:szCs w:val="30"/>
          <w:highlight w:val="none"/>
        </w:rPr>
        <w:t>主动深入建材市场、家电市场、服装市场等地开展针对性营销。</w:t>
      </w:r>
    </w:p>
    <w:p>
      <w:pPr>
        <w:keepNext w:val="0"/>
        <w:keepLines w:val="0"/>
        <w:pageBreakBefore w:val="0"/>
        <w:widowControl w:val="0"/>
        <w:kinsoku/>
        <w:wordWrap/>
        <w:overflowPunct/>
        <w:topLinePunct w:val="0"/>
        <w:autoSpaceDE/>
        <w:autoSpaceDN/>
        <w:bidi w:val="0"/>
        <w:adjustRightInd/>
        <w:snapToGrid/>
        <w:spacing w:line="500" w:lineRule="exact"/>
        <w:ind w:firstLine="610" w:firstLineChars="200"/>
        <w:textAlignment w:val="auto"/>
        <w:outlineLvl w:val="9"/>
        <w:rPr>
          <w:rFonts w:ascii="仿宋_GB2312" w:eastAsia="仿宋_GB2312"/>
          <w:color w:val="auto"/>
          <w:sz w:val="30"/>
          <w:szCs w:val="30"/>
          <w:highlight w:val="none"/>
        </w:rPr>
      </w:pPr>
      <w:r>
        <w:rPr>
          <w:rFonts w:hint="eastAsia" w:ascii="楷体_GB2312" w:hAnsi="楷体_GB2312" w:eastAsia="楷体_GB2312" w:cs="楷体_GB2312"/>
          <w:b/>
          <w:bCs/>
          <w:color w:val="auto"/>
          <w:spacing w:val="2"/>
          <w:kern w:val="0"/>
          <w:sz w:val="30"/>
          <w:szCs w:val="30"/>
          <w:highlight w:val="none"/>
        </w:rPr>
        <w:t>做实整村推进。</w:t>
      </w:r>
      <w:r>
        <w:rPr>
          <w:rFonts w:hint="eastAsia" w:ascii="仿宋_GB2312" w:eastAsia="仿宋_GB2312"/>
          <w:color w:val="auto"/>
          <w:sz w:val="30"/>
          <w:szCs w:val="30"/>
          <w:highlight w:val="none"/>
        </w:rPr>
        <w:t>以惠农网贷、惠农易贷为有力抓手，在全县开展“家庭备用金”活动进行集中对接，用新产品和新服务归集客户，实现人员量和业务量有序衔接。</w:t>
      </w:r>
    </w:p>
    <w:p>
      <w:pPr>
        <w:keepNext w:val="0"/>
        <w:keepLines w:val="0"/>
        <w:pageBreakBefore w:val="0"/>
        <w:widowControl w:val="0"/>
        <w:kinsoku/>
        <w:wordWrap/>
        <w:overflowPunct/>
        <w:topLinePunct w:val="0"/>
        <w:autoSpaceDE/>
        <w:autoSpaceDN/>
        <w:bidi w:val="0"/>
        <w:adjustRightInd/>
        <w:snapToGrid/>
        <w:spacing w:line="500" w:lineRule="exact"/>
        <w:ind w:firstLine="610" w:firstLineChars="200"/>
        <w:textAlignment w:val="auto"/>
        <w:outlineLvl w:val="9"/>
        <w:rPr>
          <w:rFonts w:ascii="仿宋_GB2312" w:eastAsia="仿宋_GB2312"/>
          <w:color w:val="auto"/>
          <w:sz w:val="30"/>
          <w:szCs w:val="30"/>
          <w:highlight w:val="none"/>
          <w:lang w:bidi="ar"/>
        </w:rPr>
      </w:pPr>
      <w:r>
        <w:rPr>
          <w:rFonts w:hint="eastAsia" w:ascii="楷体_GB2312" w:hAnsi="楷体_GB2312" w:eastAsia="楷体_GB2312" w:cs="楷体_GB2312"/>
          <w:b/>
          <w:bCs/>
          <w:color w:val="auto"/>
          <w:spacing w:val="2"/>
          <w:kern w:val="0"/>
          <w:sz w:val="30"/>
          <w:szCs w:val="30"/>
          <w:highlight w:val="none"/>
        </w:rPr>
        <w:t>积极外出对接。</w:t>
      </w:r>
      <w:r>
        <w:rPr>
          <w:rFonts w:hint="eastAsia" w:ascii="仿宋_GB2312" w:eastAsia="仿宋_GB2312"/>
          <w:color w:val="auto"/>
          <w:sz w:val="30"/>
          <w:szCs w:val="30"/>
          <w:highlight w:val="none"/>
          <w:lang w:bidi="ar"/>
        </w:rPr>
        <w:t>组建金融服务小分队，至外出务工人口多且区域相对集中的广东佛山、浙江温州等地，开展外拓金融服务对接活动，积极外拓客户和市场。至2021年末，贷款户数15771户，较年初增加1960户，增幅14.19%。</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ascii="黑体" w:hAnsi="黑体" w:eastAsia="黑体" w:cs="黑体"/>
          <w:bCs/>
          <w:snapToGrid w:val="0"/>
          <w:color w:val="auto"/>
          <w:sz w:val="30"/>
          <w:szCs w:val="30"/>
          <w:highlight w:val="none"/>
        </w:rPr>
      </w:pPr>
      <w:r>
        <w:rPr>
          <w:rFonts w:hint="eastAsia" w:ascii="黑体" w:hAnsi="黑体" w:eastAsia="黑体" w:cs="黑体"/>
          <w:bCs/>
          <w:snapToGrid w:val="0"/>
          <w:color w:val="auto"/>
          <w:sz w:val="30"/>
          <w:szCs w:val="30"/>
          <w:highlight w:val="none"/>
        </w:rPr>
        <w:t>坚持问题导向，开启创新发展新模式</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ascii="仿宋_GB2312" w:eastAsia="仿宋_GB2312"/>
          <w:color w:val="auto"/>
          <w:sz w:val="30"/>
          <w:szCs w:val="30"/>
          <w:highlight w:val="none"/>
        </w:rPr>
      </w:pPr>
      <w:r>
        <w:rPr>
          <w:rFonts w:hint="eastAsia" w:ascii="仿宋_GB2312" w:eastAsia="仿宋_GB2312"/>
          <w:color w:val="auto"/>
          <w:sz w:val="30"/>
          <w:szCs w:val="30"/>
          <w:highlight w:val="none"/>
        </w:rPr>
        <w:t>宜丰农商银行始终坚持“立足本土、服务社区、支农支小”的市场定位，持续巩固市场阵地、扩大竞争优势。</w:t>
      </w:r>
    </w:p>
    <w:p>
      <w:pPr>
        <w:keepNext w:val="0"/>
        <w:keepLines w:val="0"/>
        <w:pageBreakBefore w:val="0"/>
        <w:widowControl w:val="0"/>
        <w:kinsoku/>
        <w:wordWrap/>
        <w:overflowPunct/>
        <w:topLinePunct w:val="0"/>
        <w:autoSpaceDE/>
        <w:autoSpaceDN/>
        <w:bidi w:val="0"/>
        <w:adjustRightInd/>
        <w:snapToGrid/>
        <w:spacing w:line="500" w:lineRule="exact"/>
        <w:ind w:firstLine="610" w:firstLineChars="200"/>
        <w:textAlignment w:val="auto"/>
        <w:outlineLvl w:val="9"/>
        <w:rPr>
          <w:rFonts w:ascii="仿宋_GB2312" w:hAnsi="仿宋" w:eastAsia="仿宋_GB2312"/>
          <w:color w:val="auto"/>
          <w:spacing w:val="2"/>
          <w:sz w:val="30"/>
          <w:szCs w:val="30"/>
          <w:highlight w:val="none"/>
        </w:rPr>
      </w:pPr>
      <w:r>
        <w:rPr>
          <w:rFonts w:hint="eastAsia" w:ascii="楷体_GB2312" w:hAnsi="楷体_GB2312" w:eastAsia="楷体_GB2312" w:cs="楷体_GB2312"/>
          <w:b/>
          <w:bCs/>
          <w:color w:val="auto"/>
          <w:spacing w:val="2"/>
          <w:kern w:val="0"/>
          <w:sz w:val="30"/>
          <w:szCs w:val="30"/>
          <w:highlight w:val="none"/>
        </w:rPr>
        <w:t>服务乡村振兴战略。</w:t>
      </w:r>
      <w:r>
        <w:rPr>
          <w:rFonts w:hint="eastAsia" w:ascii="仿宋_GB2312" w:hAnsi="仿宋" w:eastAsia="仿宋_GB2312"/>
          <w:color w:val="auto"/>
          <w:spacing w:val="2"/>
          <w:sz w:val="30"/>
          <w:szCs w:val="30"/>
          <w:highlight w:val="none"/>
        </w:rPr>
        <w:t>做好脱贫攻坚和乡村振兴有效衔接，对乡村致富带头人执行利率优惠政策，强化银政</w:t>
      </w:r>
      <w:r>
        <w:rPr>
          <w:rFonts w:hint="eastAsia" w:ascii="仿宋" w:hAnsi="仿宋" w:eastAsia="仿宋"/>
          <w:color w:val="auto"/>
          <w:sz w:val="30"/>
          <w:szCs w:val="30"/>
          <w:highlight w:val="none"/>
        </w:rPr>
        <w:t>联动合作，完善县乡村三级金融服务体</w:t>
      </w:r>
      <w:r>
        <w:rPr>
          <w:rFonts w:hint="eastAsia" w:ascii="仿宋_GB2312" w:hAnsi="仿宋" w:eastAsia="仿宋_GB2312"/>
          <w:color w:val="auto"/>
          <w:spacing w:val="2"/>
          <w:sz w:val="30"/>
          <w:szCs w:val="30"/>
          <w:highlight w:val="none"/>
        </w:rPr>
        <w:t>系，扎实做好过渡期脱贫人口小额信贷投放工作，</w:t>
      </w:r>
      <w:r>
        <w:rPr>
          <w:rFonts w:hint="eastAsia" w:ascii="仿宋_GB2312" w:hAnsi="仿宋_GB2312" w:eastAsia="仿宋_GB2312" w:cs="仿宋_GB2312"/>
          <w:color w:val="auto"/>
          <w:sz w:val="30"/>
          <w:szCs w:val="30"/>
          <w:highlight w:val="none"/>
        </w:rPr>
        <w:t>至2021年末，脱贫人口小额贷款240笔、233户、余额880万元，全年累计发放贷款922万元。</w:t>
      </w:r>
      <w:r>
        <w:rPr>
          <w:rFonts w:hint="eastAsia" w:ascii="仿宋_GB2312" w:hAnsi="仿宋" w:eastAsia="仿宋_GB2312"/>
          <w:color w:val="auto"/>
          <w:spacing w:val="2"/>
          <w:sz w:val="30"/>
          <w:szCs w:val="30"/>
          <w:highlight w:val="none"/>
        </w:rPr>
        <w:t>积极主动对接乡村振兴战略，成立了支持乡村振兴战略工作领导小组，制定了《宜丰农商银行服务全面乡村振兴加快农业农村现代化实施方案》，优先安排涉农、小微信贷投放，单列涉农、小微贷款投放计划，重点支持了同安乡盆栽种植、天宝古村旅游等特色产业，打响农商品牌。</w:t>
      </w:r>
    </w:p>
    <w:p>
      <w:pPr>
        <w:keepNext w:val="0"/>
        <w:keepLines w:val="0"/>
        <w:pageBreakBefore w:val="0"/>
        <w:widowControl w:val="0"/>
        <w:kinsoku/>
        <w:wordWrap/>
        <w:overflowPunct/>
        <w:topLinePunct w:val="0"/>
        <w:autoSpaceDE/>
        <w:autoSpaceDN/>
        <w:bidi w:val="0"/>
        <w:adjustRightInd/>
        <w:snapToGrid/>
        <w:spacing w:line="500" w:lineRule="exact"/>
        <w:ind w:firstLine="610" w:firstLineChars="200"/>
        <w:textAlignment w:val="auto"/>
        <w:outlineLvl w:val="9"/>
        <w:rPr>
          <w:rFonts w:ascii="仿宋_GB2312" w:hAnsi="仿宋" w:eastAsia="仿宋_GB2312"/>
          <w:color w:val="auto"/>
          <w:sz w:val="30"/>
          <w:szCs w:val="30"/>
          <w:highlight w:val="none"/>
        </w:rPr>
      </w:pPr>
      <w:r>
        <w:rPr>
          <w:rFonts w:hint="eastAsia" w:ascii="楷体_GB2312" w:hAnsi="楷体_GB2312" w:eastAsia="楷体_GB2312" w:cs="楷体_GB2312"/>
          <w:b/>
          <w:bCs/>
          <w:color w:val="auto"/>
          <w:spacing w:val="2"/>
          <w:kern w:val="0"/>
          <w:sz w:val="30"/>
          <w:szCs w:val="30"/>
          <w:highlight w:val="none"/>
        </w:rPr>
        <w:t>服务小微民营企业。</w:t>
      </w:r>
      <w:r>
        <w:rPr>
          <w:rFonts w:hint="eastAsia" w:ascii="仿宋_GB2312" w:hAnsi="仿宋" w:eastAsia="仿宋_GB2312"/>
          <w:color w:val="auto"/>
          <w:sz w:val="30"/>
          <w:szCs w:val="30"/>
          <w:highlight w:val="none"/>
        </w:rPr>
        <w:t>持续加大小微企业首贷、续贷、信用贷款投放力度，</w:t>
      </w:r>
      <w:r>
        <w:rPr>
          <w:rFonts w:hint="eastAsia" w:ascii="仿宋_GB2312" w:eastAsia="仿宋_GB2312"/>
          <w:bCs/>
          <w:color w:val="auto"/>
          <w:sz w:val="30"/>
          <w:szCs w:val="30"/>
          <w:highlight w:val="none"/>
        </w:rPr>
        <w:t>落实首贷户专项行动；</w:t>
      </w:r>
      <w:r>
        <w:rPr>
          <w:rFonts w:hint="eastAsia" w:ascii="仿宋_GB2312" w:hAnsi="仿宋" w:eastAsia="仿宋_GB2312"/>
          <w:color w:val="auto"/>
          <w:sz w:val="30"/>
          <w:szCs w:val="30"/>
          <w:highlight w:val="none"/>
        </w:rPr>
        <w:t>创新推出“百福续贷保”产</w:t>
      </w:r>
      <w:r>
        <w:rPr>
          <w:rFonts w:hint="eastAsia" w:ascii="仿宋_GB2312" w:eastAsia="仿宋_GB2312"/>
          <w:bCs/>
          <w:color w:val="auto"/>
          <w:sz w:val="30"/>
          <w:szCs w:val="30"/>
          <w:highlight w:val="none"/>
        </w:rPr>
        <w:t>品，提升差别化利率</w:t>
      </w:r>
      <w:r>
        <w:rPr>
          <w:rFonts w:hint="eastAsia" w:ascii="仿宋_GB2312" w:hAnsi="仿宋" w:eastAsia="仿宋_GB2312"/>
          <w:color w:val="auto"/>
          <w:sz w:val="30"/>
          <w:szCs w:val="30"/>
          <w:highlight w:val="none"/>
        </w:rPr>
        <w:t>定价能力；将贷款利率与客户综合贡献度、信用度、项目风险度等指标为参考值，实行个性化利率定制；对符合条件的普惠小微贷款，执行5.5%左右的优惠利率。至2021年末，新增小微企业首贷户数11户；全年共为64户、99笔贷款实施延期还本2.99亿元，其中普惠小微企业48户、60笔，延期还本0.87亿元；小微企业信用贷款余额2.61亿元，占小微企业贷款比重为11.96%。</w:t>
      </w:r>
    </w:p>
    <w:p>
      <w:pPr>
        <w:keepNext w:val="0"/>
        <w:keepLines w:val="0"/>
        <w:pageBreakBefore w:val="0"/>
        <w:widowControl w:val="0"/>
        <w:kinsoku/>
        <w:wordWrap/>
        <w:overflowPunct/>
        <w:topLinePunct w:val="0"/>
        <w:autoSpaceDE/>
        <w:autoSpaceDN/>
        <w:bidi w:val="0"/>
        <w:adjustRightInd/>
        <w:snapToGrid/>
        <w:spacing w:line="500" w:lineRule="exact"/>
        <w:ind w:firstLine="610" w:firstLineChars="200"/>
        <w:textAlignment w:val="auto"/>
        <w:outlineLvl w:val="9"/>
        <w:rPr>
          <w:rFonts w:ascii="仿宋_GB2312" w:eastAsia="仿宋_GB2312"/>
          <w:color w:val="auto"/>
          <w:sz w:val="30"/>
          <w:szCs w:val="30"/>
          <w:highlight w:val="none"/>
        </w:rPr>
      </w:pPr>
      <w:r>
        <w:rPr>
          <w:rFonts w:hint="eastAsia" w:ascii="楷体_GB2312" w:hAnsi="楷体_GB2312" w:eastAsia="楷体_GB2312" w:cs="楷体_GB2312"/>
          <w:b/>
          <w:bCs/>
          <w:color w:val="auto"/>
          <w:spacing w:val="2"/>
          <w:kern w:val="0"/>
          <w:sz w:val="30"/>
          <w:szCs w:val="30"/>
          <w:highlight w:val="none"/>
        </w:rPr>
        <w:t>服务创新创业群体。</w:t>
      </w:r>
      <w:r>
        <w:rPr>
          <w:rFonts w:hint="eastAsia" w:ascii="仿宋_GB2312" w:eastAsia="仿宋_GB2312"/>
          <w:color w:val="auto"/>
          <w:sz w:val="30"/>
          <w:szCs w:val="30"/>
          <w:highlight w:val="none"/>
        </w:rPr>
        <w:t>以“诚商信贷通”“百福个商e贷”“百福诚商e贷”等产品为抓手，坚持线上线下相结合，实现个体工商户营销对接、有效需求贷款投放全覆盖。积极对接劳动就业部门，聚焦返乡创业农民工、就业困难人员、</w:t>
      </w:r>
      <w:r>
        <w:rPr>
          <w:rFonts w:hint="eastAsia" w:ascii="仿宋_GB2312" w:hAnsi="Calibri" w:eastAsia="仿宋_GB2312"/>
          <w:color w:val="auto"/>
          <w:sz w:val="30"/>
          <w:szCs w:val="30"/>
          <w:highlight w:val="none"/>
        </w:rPr>
        <w:t>退役军人等</w:t>
      </w:r>
      <w:r>
        <w:rPr>
          <w:rFonts w:hint="eastAsia" w:ascii="仿宋_GB2312" w:eastAsia="仿宋_GB2312"/>
          <w:color w:val="auto"/>
          <w:sz w:val="30"/>
          <w:szCs w:val="30"/>
          <w:highlight w:val="none"/>
        </w:rPr>
        <w:t>重点</w:t>
      </w:r>
      <w:r>
        <w:rPr>
          <w:rFonts w:hint="eastAsia" w:ascii="仿宋_GB2312" w:hAnsi="Calibri" w:eastAsia="仿宋_GB2312"/>
          <w:color w:val="auto"/>
          <w:sz w:val="30"/>
          <w:szCs w:val="30"/>
          <w:highlight w:val="none"/>
        </w:rPr>
        <w:t>创业主体，</w:t>
      </w:r>
      <w:r>
        <w:rPr>
          <w:rFonts w:hint="eastAsia" w:ascii="仿宋_GB2312" w:eastAsia="仿宋_GB2312"/>
          <w:color w:val="auto"/>
          <w:sz w:val="30"/>
          <w:szCs w:val="30"/>
          <w:highlight w:val="none"/>
        </w:rPr>
        <w:t>加大“创业百福e贷”“退役军人贷”等线上办贷模式的推广力度，做到创业担保贷款应贷尽贷，确保市场份额持续领先。</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ascii="黑体" w:hAnsi="黑体" w:eastAsia="黑体" w:cs="黑体"/>
          <w:bCs/>
          <w:snapToGrid w:val="0"/>
          <w:color w:val="auto"/>
          <w:sz w:val="30"/>
          <w:szCs w:val="30"/>
          <w:highlight w:val="none"/>
        </w:rPr>
      </w:pPr>
      <w:r>
        <w:rPr>
          <w:rFonts w:hint="eastAsia" w:ascii="黑体" w:hAnsi="黑体" w:eastAsia="黑体" w:cs="黑体"/>
          <w:bCs/>
          <w:snapToGrid w:val="0"/>
          <w:color w:val="auto"/>
          <w:sz w:val="30"/>
          <w:szCs w:val="30"/>
          <w:highlight w:val="none"/>
        </w:rPr>
        <w:t>坚持合规经营，从严筑牢风控压舱石</w:t>
      </w:r>
    </w:p>
    <w:p>
      <w:pPr>
        <w:keepNext w:val="0"/>
        <w:keepLines w:val="0"/>
        <w:pageBreakBefore w:val="0"/>
        <w:widowControl w:val="0"/>
        <w:tabs>
          <w:tab w:val="left" w:pos="1107"/>
        </w:tabs>
        <w:kinsoku/>
        <w:wordWrap/>
        <w:overflowPunct/>
        <w:topLinePunct w:val="0"/>
        <w:autoSpaceDE/>
        <w:autoSpaceDN/>
        <w:bidi w:val="0"/>
        <w:adjustRightInd/>
        <w:snapToGrid/>
        <w:spacing w:line="500" w:lineRule="exact"/>
        <w:ind w:firstLine="610" w:firstLineChars="200"/>
        <w:textAlignment w:val="auto"/>
        <w:outlineLvl w:val="9"/>
        <w:rPr>
          <w:rFonts w:ascii="仿宋_GB2312" w:hAnsi="仿宋_GB2312" w:eastAsia="仿宋_GB2312" w:cs="仿宋_GB2312"/>
          <w:color w:val="auto"/>
          <w:sz w:val="30"/>
          <w:szCs w:val="30"/>
          <w:highlight w:val="none"/>
        </w:rPr>
      </w:pPr>
      <w:r>
        <w:rPr>
          <w:rFonts w:hint="eastAsia" w:ascii="楷体_GB2312" w:hAnsi="楷体_GB2312" w:eastAsia="楷体_GB2312" w:cs="楷体_GB2312"/>
          <w:b/>
          <w:bCs/>
          <w:color w:val="auto"/>
          <w:spacing w:val="2"/>
          <w:kern w:val="0"/>
          <w:sz w:val="30"/>
          <w:szCs w:val="30"/>
          <w:highlight w:val="none"/>
        </w:rPr>
        <w:t>强化合规管理。</w:t>
      </w:r>
      <w:r>
        <w:rPr>
          <w:rFonts w:hint="eastAsia" w:ascii="仿宋_GB2312" w:hAnsi="仿宋" w:eastAsia="仿宋_GB2312"/>
          <w:snapToGrid w:val="0"/>
          <w:color w:val="auto"/>
          <w:sz w:val="30"/>
          <w:szCs w:val="30"/>
          <w:highlight w:val="none"/>
        </w:rPr>
        <w:t>组织了领导干部谈合规、合规经理培训及法律考试等“合规管理强化年”活动，员工</w:t>
      </w:r>
      <w:r>
        <w:rPr>
          <w:rFonts w:hint="eastAsia" w:ascii="仿宋_GB2312" w:hAnsi="仿宋_GB2312" w:eastAsia="仿宋_GB2312" w:cs="仿宋_GB2312"/>
          <w:color w:val="auto"/>
          <w:sz w:val="30"/>
          <w:szCs w:val="30"/>
          <w:highlight w:val="none"/>
        </w:rPr>
        <w:t>合规意识逐步增强；开展了“金融知识万里行”“普及金融知识守住钱袋子”“非法集资”“消费者权益保护”“金普月”“存款保险宣传”等多项宣传活动,客户的金融素养和安全意识持续提升。</w:t>
      </w:r>
    </w:p>
    <w:p>
      <w:pPr>
        <w:keepNext w:val="0"/>
        <w:keepLines w:val="0"/>
        <w:pageBreakBefore w:val="0"/>
        <w:widowControl w:val="0"/>
        <w:tabs>
          <w:tab w:val="left" w:pos="1107"/>
        </w:tabs>
        <w:kinsoku/>
        <w:wordWrap/>
        <w:overflowPunct/>
        <w:topLinePunct w:val="0"/>
        <w:autoSpaceDE/>
        <w:autoSpaceDN/>
        <w:bidi w:val="0"/>
        <w:adjustRightInd/>
        <w:snapToGrid/>
        <w:spacing w:line="500" w:lineRule="exact"/>
        <w:ind w:firstLine="610" w:firstLineChars="200"/>
        <w:textAlignment w:val="auto"/>
        <w:outlineLvl w:val="9"/>
        <w:rPr>
          <w:rFonts w:ascii="仿宋_GB2312" w:hAnsi="仿宋" w:eastAsia="仿宋_GB2312"/>
          <w:b/>
          <w:bCs/>
          <w:snapToGrid w:val="0"/>
          <w:color w:val="auto"/>
          <w:sz w:val="30"/>
          <w:szCs w:val="30"/>
          <w:highlight w:val="none"/>
        </w:rPr>
      </w:pPr>
      <w:r>
        <w:rPr>
          <w:rFonts w:hint="eastAsia" w:ascii="楷体_GB2312" w:hAnsi="楷体_GB2312" w:eastAsia="楷体_GB2312" w:cs="楷体_GB2312"/>
          <w:b/>
          <w:bCs/>
          <w:color w:val="auto"/>
          <w:spacing w:val="2"/>
          <w:kern w:val="0"/>
          <w:sz w:val="30"/>
          <w:szCs w:val="30"/>
          <w:highlight w:val="none"/>
        </w:rPr>
        <w:t>强化风险管控。</w:t>
      </w:r>
      <w:r>
        <w:rPr>
          <w:rFonts w:hint="eastAsia" w:ascii="仿宋_GB2312" w:hAnsi="仿宋_GB2312" w:eastAsia="仿宋_GB2312" w:cs="仿宋_GB2312"/>
          <w:color w:val="auto"/>
          <w:sz w:val="30"/>
          <w:szCs w:val="30"/>
          <w:highlight w:val="none"/>
        </w:rPr>
        <w:t>聚焦信用风险、安全风险、声誉风险等重点领域，加大防控力度，筑牢稳健运行防线。加强了贷款投向管理，严格落实房地产贷款集中度调控要求，合理控制按揭贷款规模。严格贷前调查，把好客户准入关口，重点把握贷款真实用途和还款能力。加强了贷中审查和贷后检查，避免“重放轻管”，对风险做到了早预警、早发现、早处置。建立了不良贷款和逾期贷款台账，对新增逾期30天以上贷款下发了督办函，对清收不力的启动了现场核查和责任认定。</w:t>
      </w:r>
      <w:r>
        <w:rPr>
          <w:rFonts w:hint="eastAsia" w:ascii="仿宋_GB2312" w:hAnsi="仿宋_GB2312" w:eastAsia="仿宋_GB2312" w:cs="仿宋_GB2312"/>
          <w:color w:val="auto"/>
          <w:sz w:val="30"/>
          <w:szCs w:val="30"/>
          <w:highlight w:val="none"/>
          <w:shd w:val="clear" w:color="auto" w:fill="FFFFFF"/>
        </w:rPr>
        <w:t>认真落实安全生产责任制，加强重点区域和重要环节的安全管控，强化安全检查和巡查工作，进一步完善各类应急处置预案，妥善处理突发事件。加强负面舆情管理和对外信息披露管理，把好对外宣传内容审核关，加大负面舆情监测。</w:t>
      </w:r>
      <w:r>
        <w:rPr>
          <w:rFonts w:hint="eastAsia" w:ascii="仿宋_GB2312" w:hAnsi="仿宋_GB2312" w:eastAsia="仿宋_GB2312" w:cs="仿宋_GB2312"/>
          <w:color w:val="auto"/>
          <w:sz w:val="30"/>
          <w:szCs w:val="30"/>
          <w:highlight w:val="none"/>
        </w:rPr>
        <w:t>全年未发生群体性事件和重大责任事故，实现了平安经营、稳健发展。</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ascii="黑体" w:hAnsi="黑体" w:eastAsia="黑体" w:cs="黑体"/>
          <w:bCs/>
          <w:snapToGrid w:val="0"/>
          <w:color w:val="auto"/>
          <w:sz w:val="30"/>
          <w:szCs w:val="30"/>
          <w:highlight w:val="none"/>
        </w:rPr>
      </w:pPr>
      <w:r>
        <w:rPr>
          <w:rFonts w:hint="eastAsia" w:ascii="黑体" w:hAnsi="黑体" w:eastAsia="黑体" w:cs="黑体"/>
          <w:bCs/>
          <w:snapToGrid w:val="0"/>
          <w:color w:val="auto"/>
          <w:sz w:val="30"/>
          <w:szCs w:val="30"/>
          <w:highlight w:val="none"/>
        </w:rPr>
        <w:t>坚持改革转型，培育持续发展助推器</w:t>
      </w:r>
    </w:p>
    <w:p>
      <w:pPr>
        <w:keepNext w:val="0"/>
        <w:keepLines w:val="0"/>
        <w:pageBreakBefore w:val="0"/>
        <w:widowControl w:val="0"/>
        <w:kinsoku/>
        <w:wordWrap/>
        <w:overflowPunct/>
        <w:topLinePunct w:val="0"/>
        <w:autoSpaceDE/>
        <w:autoSpaceDN/>
        <w:bidi w:val="0"/>
        <w:adjustRightInd/>
        <w:snapToGrid/>
        <w:spacing w:line="500" w:lineRule="exact"/>
        <w:ind w:firstLine="602" w:firstLineChars="200"/>
        <w:textAlignment w:val="auto"/>
        <w:outlineLvl w:val="9"/>
        <w:rPr>
          <w:rFonts w:ascii="仿宋_GB2312" w:eastAsia="仿宋_GB2312"/>
          <w:color w:val="auto"/>
          <w:sz w:val="30"/>
          <w:szCs w:val="30"/>
          <w:highlight w:val="none"/>
        </w:rPr>
      </w:pPr>
      <w:r>
        <w:rPr>
          <w:rFonts w:hint="eastAsia" w:ascii="楷体_GB2312" w:eastAsia="楷体_GB2312"/>
          <w:b/>
          <w:color w:val="auto"/>
          <w:sz w:val="30"/>
          <w:szCs w:val="30"/>
          <w:highlight w:val="none"/>
        </w:rPr>
        <w:t>提升服务质效。</w:t>
      </w:r>
      <w:r>
        <w:rPr>
          <w:rFonts w:hint="eastAsia" w:ascii="仿宋_GB2312" w:hAnsi="仿宋_GB2312" w:eastAsia="仿宋_GB2312" w:cs="仿宋_GB2312"/>
          <w:color w:val="auto"/>
          <w:sz w:val="30"/>
          <w:szCs w:val="30"/>
          <w:highlight w:val="none"/>
        </w:rPr>
        <w:t>多方面多渠道收集客户信息，对信息进行加工整合处理，初步建立客户信息大数据。</w:t>
      </w:r>
      <w:r>
        <w:rPr>
          <w:rFonts w:hint="eastAsia" w:ascii="仿宋_GB2312" w:hAnsi="仿宋" w:eastAsia="仿宋_GB2312"/>
          <w:color w:val="auto"/>
          <w:sz w:val="30"/>
          <w:szCs w:val="30"/>
          <w:highlight w:val="none"/>
        </w:rPr>
        <w:t>创新生成并持续优化“普惠金融”营销二维码，至2021年末，共收到客户扫码业务申请31079条，其中贷款业务申请6943条，完成新增授信2.72亿元，新增授信户数2304户，激活1700户，用信余额1.43亿元；配套奖励措施，出台营销推荐人方案，共发展“推荐人”437人，发生业务3303笔；以“家庭备用金”活动为抓手，深入开展“三区一园”营销活动，累计开展109场活动，新增授信客户2818户，新增用信客户1896户；做实做细电话营销，完善客户基本信息，有效挖潜、维护客户，拨打电话36810个，其中有贷款需求客户数1784户。</w:t>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ascii="仿宋_GB2312" w:hAnsi="仿宋" w:eastAsia="仿宋_GB2312"/>
          <w:color w:val="auto"/>
          <w:sz w:val="30"/>
          <w:szCs w:val="30"/>
          <w:highlight w:val="none"/>
        </w:rPr>
      </w:pPr>
      <w:r>
        <w:rPr>
          <w:rFonts w:hint="eastAsia" w:ascii="仿宋_GB2312" w:hAnsi="仿宋" w:eastAsia="仿宋_GB2312"/>
          <w:color w:val="auto"/>
          <w:sz w:val="30"/>
          <w:szCs w:val="30"/>
          <w:highlight w:val="none"/>
        </w:rPr>
        <w:t>对标“政策最优、成本最低、服务最好、办事最快”要求，不断简化业务办理流程，实现了客户“只跑一次”“一次不跑”</w:t>
      </w:r>
      <w:r>
        <w:rPr>
          <w:rFonts w:hint="eastAsia" w:ascii="仿宋_GB2312" w:hAnsi="仿宋" w:eastAsia="仿宋_GB2312"/>
          <w:color w:val="auto"/>
          <w:sz w:val="30"/>
          <w:szCs w:val="30"/>
          <w:highlight w:val="none"/>
          <w:lang w:val="zh-CN"/>
        </w:rPr>
        <w:t>。</w:t>
      </w:r>
      <w:r>
        <w:rPr>
          <w:rFonts w:hint="eastAsia" w:ascii="仿宋_GB2312" w:hAnsi="仿宋" w:eastAsia="仿宋_GB2312"/>
          <w:color w:val="auto"/>
          <w:sz w:val="30"/>
          <w:szCs w:val="30"/>
          <w:highlight w:val="none"/>
        </w:rPr>
        <w:t>持续优化金融产品和服务渠道，全年</w:t>
      </w:r>
      <w:r>
        <w:rPr>
          <w:rFonts w:hint="eastAsia" w:ascii="仿宋_GB2312" w:hAnsi="仿宋" w:eastAsia="仿宋_GB2312"/>
          <w:color w:val="auto"/>
          <w:sz w:val="30"/>
          <w:szCs w:val="30"/>
          <w:highlight w:val="none"/>
          <w:lang w:val="zh-CN"/>
        </w:rPr>
        <w:t>新增手机银行</w:t>
      </w:r>
      <w:r>
        <w:rPr>
          <w:rFonts w:hint="eastAsia" w:ascii="仿宋_GB2312" w:hAnsi="仿宋" w:eastAsia="仿宋_GB2312"/>
          <w:color w:val="auto"/>
          <w:sz w:val="30"/>
          <w:szCs w:val="30"/>
          <w:highlight w:val="none"/>
        </w:rPr>
        <w:t>20483</w:t>
      </w:r>
      <w:r>
        <w:rPr>
          <w:rFonts w:hint="eastAsia" w:ascii="仿宋_GB2312" w:hAnsi="仿宋" w:eastAsia="仿宋_GB2312"/>
          <w:color w:val="auto"/>
          <w:sz w:val="30"/>
          <w:szCs w:val="30"/>
          <w:highlight w:val="none"/>
          <w:lang w:val="zh-CN"/>
        </w:rPr>
        <w:t>户、网上银行用户565户、</w:t>
      </w:r>
      <w:r>
        <w:rPr>
          <w:rFonts w:hint="eastAsia" w:ascii="仿宋_GB2312" w:hAnsi="仿宋" w:eastAsia="仿宋_GB2312"/>
          <w:color w:val="auto"/>
          <w:sz w:val="30"/>
          <w:szCs w:val="30"/>
          <w:highlight w:val="none"/>
        </w:rPr>
        <w:t>聚合支付商户</w:t>
      </w:r>
      <w:r>
        <w:rPr>
          <w:rFonts w:hint="eastAsia" w:ascii="仿宋_GB2312" w:hAnsi="仿宋" w:eastAsia="仿宋_GB2312"/>
          <w:color w:val="auto"/>
          <w:sz w:val="30"/>
          <w:szCs w:val="30"/>
          <w:highlight w:val="none"/>
          <w:lang w:val="zh-CN"/>
        </w:rPr>
        <w:t>292</w:t>
      </w:r>
      <w:r>
        <w:rPr>
          <w:rFonts w:hint="eastAsia" w:ascii="仿宋_GB2312" w:hAnsi="仿宋" w:eastAsia="仿宋_GB2312"/>
          <w:color w:val="auto"/>
          <w:sz w:val="30"/>
          <w:szCs w:val="30"/>
          <w:highlight w:val="none"/>
        </w:rPr>
        <w:t>户、e百福20119</w:t>
      </w:r>
      <w:r>
        <w:rPr>
          <w:rFonts w:hint="eastAsia" w:ascii="仿宋_GB2312" w:hAnsi="仿宋" w:eastAsia="仿宋_GB2312"/>
          <w:color w:val="auto"/>
          <w:sz w:val="30"/>
          <w:szCs w:val="30"/>
          <w:highlight w:val="none"/>
          <w:lang w:val="zh-CN"/>
        </w:rPr>
        <w:t>户、信用卡用户</w:t>
      </w:r>
      <w:r>
        <w:rPr>
          <w:rFonts w:hint="eastAsia" w:ascii="仿宋_GB2312" w:hAnsi="仿宋" w:eastAsia="仿宋_GB2312"/>
          <w:color w:val="auto"/>
          <w:sz w:val="30"/>
          <w:szCs w:val="30"/>
          <w:highlight w:val="none"/>
        </w:rPr>
        <w:t>722</w:t>
      </w:r>
      <w:r>
        <w:rPr>
          <w:rFonts w:hint="eastAsia" w:ascii="仿宋_GB2312" w:hAnsi="仿宋" w:eastAsia="仿宋_GB2312"/>
          <w:color w:val="auto"/>
          <w:sz w:val="30"/>
          <w:szCs w:val="30"/>
          <w:highlight w:val="none"/>
          <w:lang w:val="zh-CN"/>
        </w:rPr>
        <w:t>户、ETC用户</w:t>
      </w:r>
      <w:r>
        <w:rPr>
          <w:rFonts w:hint="eastAsia" w:ascii="仿宋_GB2312" w:hAnsi="仿宋" w:eastAsia="仿宋_GB2312"/>
          <w:color w:val="auto"/>
          <w:sz w:val="30"/>
          <w:szCs w:val="30"/>
          <w:highlight w:val="none"/>
        </w:rPr>
        <w:t>681</w:t>
      </w:r>
      <w:r>
        <w:rPr>
          <w:rFonts w:hint="eastAsia" w:ascii="仿宋_GB2312" w:hAnsi="仿宋" w:eastAsia="仿宋_GB2312"/>
          <w:color w:val="auto"/>
          <w:sz w:val="30"/>
          <w:szCs w:val="30"/>
          <w:highlight w:val="none"/>
          <w:lang w:val="zh-CN"/>
        </w:rPr>
        <w:t>户;累计发放百福借记卡14.64万张，卡均存款9330.42元；</w:t>
      </w:r>
      <w:r>
        <w:rPr>
          <w:rFonts w:hint="eastAsia" w:ascii="仿宋_GB2312" w:hAnsi="仿宋" w:eastAsia="仿宋_GB2312"/>
          <w:color w:val="auto"/>
          <w:sz w:val="30"/>
          <w:szCs w:val="30"/>
          <w:highlight w:val="none"/>
        </w:rPr>
        <w:t>累计发放社保卡18.94万张，激活社保卡14.67万张，激活率77.44%。推动基础金融服务“向下延伸”，实现了水、电、通信、医保、社保代扣代缴等与百姓生产生活密切相关的业务乡镇网点全覆盖，让广大农民享受到了与城市居民同等便利的现代普惠金融服务，</w:t>
      </w:r>
      <w:r>
        <w:rPr>
          <w:rFonts w:hint="eastAsia" w:ascii="仿宋_GB2312" w:hAnsi="仿宋" w:eastAsia="仿宋_GB2312"/>
          <w:color w:val="auto"/>
          <w:sz w:val="30"/>
          <w:szCs w:val="30"/>
          <w:highlight w:val="none"/>
          <w:lang w:val="zh-CN"/>
        </w:rPr>
        <w:t>打造了有温度、有情怀的百姓银行。</w:t>
      </w:r>
    </w:p>
    <w:p>
      <w:pPr>
        <w:keepNext w:val="0"/>
        <w:keepLines w:val="0"/>
        <w:pageBreakBefore w:val="0"/>
        <w:widowControl w:val="0"/>
        <w:kinsoku/>
        <w:wordWrap/>
        <w:overflowPunct/>
        <w:topLinePunct w:val="0"/>
        <w:autoSpaceDE/>
        <w:autoSpaceDN/>
        <w:bidi w:val="0"/>
        <w:adjustRightInd/>
        <w:snapToGrid/>
        <w:spacing w:line="500" w:lineRule="exact"/>
        <w:ind w:firstLine="602" w:firstLineChars="200"/>
        <w:textAlignment w:val="auto"/>
        <w:outlineLvl w:val="9"/>
        <w:rPr>
          <w:rFonts w:ascii="仿宋_GB2312" w:hAnsi="仿宋" w:eastAsia="仿宋_GB2312"/>
          <w:color w:val="auto"/>
          <w:sz w:val="30"/>
          <w:szCs w:val="30"/>
          <w:highlight w:val="none"/>
        </w:rPr>
      </w:pPr>
      <w:r>
        <w:rPr>
          <w:rFonts w:hint="eastAsia" w:ascii="楷体_GB2312" w:eastAsia="楷体_GB2312"/>
          <w:b/>
          <w:color w:val="auto"/>
          <w:sz w:val="30"/>
          <w:szCs w:val="30"/>
          <w:highlight w:val="none"/>
        </w:rPr>
        <w:t>打响农商品牌。</w:t>
      </w:r>
      <w:r>
        <w:rPr>
          <w:rFonts w:hint="eastAsia" w:ascii="仿宋_GB2312" w:hAnsi="仿宋" w:eastAsia="仿宋_GB2312"/>
          <w:color w:val="auto"/>
          <w:sz w:val="30"/>
          <w:szCs w:val="30"/>
          <w:highlight w:val="none"/>
        </w:rPr>
        <w:t>宜丰农商银行始终牢记使命担当，坚持服务民生公益的赤子情怀，给社会各领域、各阶层实现梦想插上金融翅膀。坚持依法合规经营，在国家减税降费的大背景下，纳税贡献仍持续提升，2021年实际缴纳税收2495万元，</w:t>
      </w:r>
      <w:r>
        <w:rPr>
          <w:rFonts w:hint="eastAsia" w:ascii="仿宋_GB2312" w:hAnsi="仿宋" w:eastAsia="仿宋_GB2312"/>
          <w:color w:val="auto"/>
          <w:sz w:val="30"/>
          <w:szCs w:val="30"/>
          <w:highlight w:val="none"/>
          <w:lang w:val="zh-CN"/>
        </w:rPr>
        <w:t>为增加地方收入做出了突出贡献</w:t>
      </w:r>
      <w:r>
        <w:rPr>
          <w:rFonts w:hint="eastAsia" w:ascii="仿宋_GB2312" w:hAnsi="仿宋" w:eastAsia="仿宋_GB2312"/>
          <w:color w:val="auto"/>
          <w:sz w:val="30"/>
          <w:szCs w:val="30"/>
          <w:highlight w:val="none"/>
        </w:rPr>
        <w:t>。举办了各类志愿服务活动和捐助活动，全年累计捐资23.6万元。开展了慈善助学活动，2021年共资助10名大学生，积极投身帮困助学事业。举全行之力投身文明城市创建，累计开展各类志愿服务活动46场，参与572人次，为宜丰成功创建全国文明城市助力添彩。加大了对疫情防控的金融支持，为打赢疫情防控阻击战贡献了金融力量，“宜丰人民自己的银行”品牌形象更加深入人心。</w:t>
      </w:r>
    </w:p>
    <w:p>
      <w:pPr>
        <w:spacing w:line="520" w:lineRule="exact"/>
        <w:ind w:firstLine="600" w:firstLineChars="200"/>
        <w:rPr>
          <w:rFonts w:ascii="仿宋_GB2312" w:hAnsi="仿宋" w:eastAsia="仿宋_GB2312"/>
          <w:color w:val="auto"/>
          <w:sz w:val="30"/>
          <w:szCs w:val="30"/>
          <w:highlight w:val="none"/>
        </w:rPr>
      </w:pPr>
    </w:p>
    <w:p>
      <w:pPr>
        <w:pStyle w:val="2"/>
        <w:rPr>
          <w:sz w:val="30"/>
          <w:szCs w:val="30"/>
          <w:highlight w:val="none"/>
        </w:rPr>
      </w:pPr>
    </w:p>
    <w:p>
      <w:pPr>
        <w:pStyle w:val="2"/>
        <w:rPr>
          <w:sz w:val="30"/>
          <w:szCs w:val="30"/>
          <w:highlight w:val="none"/>
        </w:rPr>
      </w:pPr>
    </w:p>
    <w:p>
      <w:pPr>
        <w:pStyle w:val="2"/>
        <w:rPr>
          <w:sz w:val="30"/>
          <w:szCs w:val="30"/>
          <w:highlight w:val="none"/>
        </w:rPr>
      </w:pPr>
    </w:p>
    <w:p>
      <w:pPr>
        <w:pStyle w:val="2"/>
        <w:rPr>
          <w:sz w:val="30"/>
          <w:szCs w:val="30"/>
          <w:highlight w:val="none"/>
        </w:rPr>
      </w:pPr>
    </w:p>
    <w:p>
      <w:pPr>
        <w:pStyle w:val="2"/>
        <w:rPr>
          <w:sz w:val="30"/>
          <w:szCs w:val="30"/>
          <w:highlight w:val="none"/>
        </w:rPr>
      </w:pPr>
    </w:p>
    <w:p>
      <w:pPr>
        <w:pStyle w:val="2"/>
        <w:rPr>
          <w:sz w:val="30"/>
          <w:szCs w:val="30"/>
          <w:highlight w:val="none"/>
        </w:rPr>
      </w:pPr>
    </w:p>
    <w:p>
      <w:pPr>
        <w:pStyle w:val="2"/>
        <w:rPr>
          <w:sz w:val="30"/>
          <w:szCs w:val="30"/>
          <w:highlight w:val="none"/>
        </w:rPr>
      </w:pPr>
    </w:p>
    <w:p>
      <w:pPr>
        <w:pStyle w:val="2"/>
        <w:rPr>
          <w:sz w:val="30"/>
          <w:szCs w:val="30"/>
          <w:highlight w:val="none"/>
        </w:rPr>
      </w:pPr>
    </w:p>
    <w:p>
      <w:pPr>
        <w:pStyle w:val="2"/>
        <w:rPr>
          <w:sz w:val="30"/>
          <w:szCs w:val="30"/>
          <w:highlight w:val="none"/>
        </w:rPr>
      </w:pPr>
    </w:p>
    <w:p>
      <w:pPr>
        <w:pStyle w:val="2"/>
        <w:rPr>
          <w:sz w:val="30"/>
          <w:szCs w:val="30"/>
          <w:highlight w:val="none"/>
        </w:rPr>
      </w:pPr>
    </w:p>
    <w:p>
      <w:pPr>
        <w:spacing w:line="560" w:lineRule="exact"/>
        <w:ind w:firstLine="600" w:firstLineChars="200"/>
        <w:rPr>
          <w:rFonts w:ascii="楷体_GB2312" w:hAnsi="黑体" w:eastAsia="楷体_GB2312"/>
          <w:b/>
          <w:snapToGrid w:val="0"/>
          <w:color w:val="auto"/>
          <w:sz w:val="30"/>
          <w:szCs w:val="30"/>
          <w:highlight w:val="none"/>
        </w:rPr>
      </w:pPr>
      <w:r>
        <w:rPr>
          <w:color w:val="auto"/>
          <w:sz w:val="30"/>
          <w:szCs w:val="30"/>
          <w:highlight w:val="none"/>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eastAsia" w:eastAsia="宋体"/>
                                <w:b/>
                                <w:bCs/>
                                <w:color w:val="E5B8B7"/>
                                <w:sz w:val="72"/>
                                <w:szCs w:val="72"/>
                                <w:lang w:eastAsia="zh-CN"/>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pt;height:144pt;width:144pt;mso-wrap-style:none;z-index:251670528;mso-width-relative:page;mso-height-relative:page;" filled="f" stroked="f" coordsize="21600,21600" o:gfxdata="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45yS50QAAAAUBAAAP&#10;AAAAAAAAAAEAIAAAACIAAABkcnMvZG93bnJldi54bWxQSwECFAAUAAAACACHTuJAu4hxyh8CAAAl&#10;BAAADgAAAAAAAAABACAAAAAgAQAAZHJzL2Uyb0RvYy54bWxQSwUGAAAAAAYABgBZAQAAsQUAAAAA&#10;">
                <v:fill on="f" focussize="0,0"/>
                <v:stroke on="f" weight="0.5pt"/>
                <v:imagedata o:title=""/>
                <o:lock v:ext="edit" aspectratio="f"/>
                <v:textbox style="mso-fit-shape-to-text:t;">
                  <w:txbxContent>
                    <w:p>
                      <w:pPr>
                        <w:rPr>
                          <w:rFonts w:hint="eastAsia" w:eastAsia="宋体"/>
                          <w:b/>
                          <w:bCs/>
                          <w:color w:val="E5B8B7"/>
                          <w:sz w:val="72"/>
                          <w:szCs w:val="72"/>
                          <w:lang w:eastAsia="zh-CN"/>
                        </w:rPr>
                      </w:pPr>
                    </w:p>
                  </w:txbxContent>
                </v:textbox>
              </v:shape>
            </w:pict>
          </mc:Fallback>
        </mc:AlternateContent>
      </w:r>
    </w:p>
    <w:p>
      <w:pPr>
        <w:spacing w:line="560" w:lineRule="exact"/>
        <w:ind w:firstLine="600" w:firstLineChars="200"/>
        <w:rPr>
          <w:rFonts w:ascii="楷体_GB2312" w:hAnsi="黑体" w:eastAsia="楷体_GB2312"/>
          <w:b/>
          <w:snapToGrid w:val="0"/>
          <w:color w:val="auto"/>
          <w:sz w:val="30"/>
          <w:szCs w:val="30"/>
          <w:highlight w:val="none"/>
        </w:rPr>
      </w:pPr>
      <w:r>
        <w:rPr>
          <w:color w:val="auto"/>
          <w:sz w:val="30"/>
          <w:szCs w:val="30"/>
          <w:highlight w:val="none"/>
        </w:rPr>
        <w:drawing>
          <wp:anchor distT="0" distB="0" distL="114300" distR="114300" simplePos="0" relativeHeight="251664384" behindDoc="1" locked="0" layoutInCell="1" allowOverlap="1">
            <wp:simplePos x="0" y="0"/>
            <wp:positionH relativeFrom="column">
              <wp:posOffset>-236220</wp:posOffset>
            </wp:positionH>
            <wp:positionV relativeFrom="paragraph">
              <wp:posOffset>29210</wp:posOffset>
            </wp:positionV>
            <wp:extent cx="5956935" cy="7882890"/>
            <wp:effectExtent l="0" t="0" r="5715" b="381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3"/>
                    <a:srcRect l="4803" t="313" r="5785"/>
                    <a:stretch>
                      <a:fillRect/>
                    </a:stretch>
                  </pic:blipFill>
                  <pic:spPr>
                    <a:xfrm>
                      <a:off x="0" y="0"/>
                      <a:ext cx="5956935" cy="7882890"/>
                    </a:xfrm>
                    <a:prstGeom prst="rect">
                      <a:avLst/>
                    </a:prstGeom>
                    <a:noFill/>
                    <a:ln w="9525">
                      <a:noFill/>
                    </a:ln>
                  </pic:spPr>
                </pic:pic>
              </a:graphicData>
            </a:graphic>
          </wp:anchor>
        </w:drawing>
      </w: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0" w:firstLineChars="200"/>
        <w:rPr>
          <w:rFonts w:ascii="楷体_GB2312" w:hAnsi="黑体" w:eastAsia="楷体_GB2312"/>
          <w:b/>
          <w:snapToGrid w:val="0"/>
          <w:color w:val="auto"/>
          <w:sz w:val="30"/>
          <w:szCs w:val="30"/>
          <w:highlight w:val="none"/>
        </w:rPr>
      </w:pPr>
      <w:r>
        <w:rPr>
          <w:color w:val="auto"/>
          <w:sz w:val="30"/>
          <w:szCs w:val="30"/>
          <w:highlight w:val="none"/>
        </w:rPr>
        <mc:AlternateContent>
          <mc:Choice Requires="wps">
            <w:drawing>
              <wp:anchor distT="0" distB="0" distL="114300" distR="114300" simplePos="0" relativeHeight="251671552" behindDoc="0" locked="0" layoutInCell="1" allowOverlap="1">
                <wp:simplePos x="0" y="0"/>
                <wp:positionH relativeFrom="column">
                  <wp:posOffset>-716280</wp:posOffset>
                </wp:positionH>
                <wp:positionV relativeFrom="paragraph">
                  <wp:posOffset>106045</wp:posOffset>
                </wp:positionV>
                <wp:extent cx="1233170" cy="1368425"/>
                <wp:effectExtent l="0" t="0" r="0" b="0"/>
                <wp:wrapSquare wrapText="bothSides"/>
                <wp:docPr id="11" name="文本框 11"/>
                <wp:cNvGraphicFramePr/>
                <a:graphic xmlns:a="http://schemas.openxmlformats.org/drawingml/2006/main">
                  <a:graphicData uri="http://schemas.microsoft.com/office/word/2010/wordprocessingShape">
                    <wps:wsp>
                      <wps:cNvSpPr txBox="1"/>
                      <wps:spPr>
                        <a:xfrm>
                          <a:off x="0" y="0"/>
                          <a:ext cx="1233170" cy="1368425"/>
                        </a:xfrm>
                        <a:prstGeom prst="rect">
                          <a:avLst/>
                        </a:prstGeom>
                        <a:noFill/>
                        <a:ln w="6350">
                          <a:noFill/>
                        </a:ln>
                        <a:effectLst/>
                      </wps:spPr>
                      <wps:txbx>
                        <w:txbxContent>
                          <w:p>
                            <w:pPr>
                              <w:spacing w:line="560" w:lineRule="exact"/>
                              <w:jc w:val="left"/>
                              <w:rPr>
                                <w:rFonts w:hint="eastAsia" w:ascii="华文琥珀" w:hAnsi="华文琥珀" w:eastAsia="华文琥珀" w:cs="华文琥珀"/>
                                <w:b/>
                                <w:bCs/>
                                <w:color w:val="E5B8B7"/>
                                <w:sz w:val="72"/>
                                <w:szCs w:val="72"/>
                                <w:lang w:eastAsia="zh-CN"/>
                              </w:rPr>
                            </w:pPr>
                          </w:p>
                          <w:p>
                            <w:pPr>
                              <w:spacing w:line="560" w:lineRule="exact"/>
                              <w:ind w:firstLine="1041" w:firstLineChars="200"/>
                              <w:rPr>
                                <w:rFonts w:hint="eastAsia" w:ascii="华文琥珀" w:hAnsi="华文琥珀" w:eastAsia="华文琥珀" w:cs="华文琥珀"/>
                                <w:b/>
                                <w:bCs/>
                                <w:color w:val="70AD47"/>
                                <w:sz w:val="52"/>
                                <w:szCs w:val="52"/>
                                <w:lang w:eastAsia="zh-CN"/>
                              </w:rPr>
                            </w:pPr>
                            <w:r>
                              <w:rPr>
                                <w:rFonts w:hint="eastAsia" w:ascii="华文琥珀" w:hAnsi="华文琥珀" w:eastAsia="华文琥珀" w:cs="华文琥珀"/>
                                <w:b/>
                                <w:bCs/>
                                <w:color w:val="70AD47"/>
                                <w:sz w:val="52"/>
                                <w:szCs w:val="52"/>
                                <w:lang w:eastAsia="zh-CN"/>
                              </w:rPr>
                              <w:t>未</w:t>
                            </w:r>
                          </w:p>
                          <w:p>
                            <w:pPr>
                              <w:spacing w:line="560" w:lineRule="exact"/>
                              <w:ind w:firstLine="1041" w:firstLineChars="200"/>
                              <w:rPr>
                                <w:rFonts w:hint="eastAsia" w:ascii="华文琥珀" w:hAnsi="华文琥珀" w:eastAsia="华文琥珀" w:cs="华文琥珀"/>
                                <w:b/>
                                <w:bCs/>
                                <w:snapToGrid w:val="0"/>
                                <w:color w:val="70AD47"/>
                                <w:sz w:val="72"/>
                                <w:szCs w:val="72"/>
                              </w:rPr>
                            </w:pPr>
                            <w:r>
                              <w:rPr>
                                <w:rFonts w:hint="eastAsia" w:ascii="华文琥珀" w:hAnsi="华文琥珀" w:eastAsia="华文琥珀" w:cs="华文琥珀"/>
                                <w:b/>
                                <w:bCs/>
                                <w:color w:val="70AD47"/>
                                <w:sz w:val="52"/>
                                <w:szCs w:val="52"/>
                                <w:lang w:eastAsia="zh-CN"/>
                              </w:rPr>
                              <w:t>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4pt;margin-top:8.35pt;height:107.75pt;width:97.1pt;mso-wrap-distance-bottom:0pt;mso-wrap-distance-left:9pt;mso-wrap-distance-right:9pt;mso-wrap-distance-top:0pt;z-index:251671552;mso-width-relative:page;mso-height-relative:page;" filled="f" stroked="f" coordsize="21600,21600" o:gfxdata="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LueqtoAAAAKAQAADwAAAAAAAAABACAAAAAiAAAAZHJzL2Rvd25yZXYueG1sUEsBAhQAFAAA&#10;AAgAh07iQA73NV0mAgAAKQQAAA4AAAAAAAAAAQAgAAAAKQEAAGRycy9lMm9Eb2MueG1sUEsFBgAA&#10;AAAGAAYAWQEAAMEFAAAAAA==&#10;">
                <v:fill on="f" focussize="0,0"/>
                <v:stroke on="f" weight="0.5pt"/>
                <v:imagedata o:title=""/>
                <o:lock v:ext="edit" aspectratio="f"/>
                <v:textbox>
                  <w:txbxContent>
                    <w:p>
                      <w:pPr>
                        <w:spacing w:line="560" w:lineRule="exact"/>
                        <w:jc w:val="left"/>
                        <w:rPr>
                          <w:rFonts w:hint="eastAsia" w:ascii="华文琥珀" w:hAnsi="华文琥珀" w:eastAsia="华文琥珀" w:cs="华文琥珀"/>
                          <w:b/>
                          <w:bCs/>
                          <w:color w:val="E5B8B7"/>
                          <w:sz w:val="72"/>
                          <w:szCs w:val="72"/>
                          <w:lang w:eastAsia="zh-CN"/>
                        </w:rPr>
                      </w:pPr>
                    </w:p>
                    <w:p>
                      <w:pPr>
                        <w:spacing w:line="560" w:lineRule="exact"/>
                        <w:ind w:firstLine="1041" w:firstLineChars="200"/>
                        <w:rPr>
                          <w:rFonts w:hint="eastAsia" w:ascii="华文琥珀" w:hAnsi="华文琥珀" w:eastAsia="华文琥珀" w:cs="华文琥珀"/>
                          <w:b/>
                          <w:bCs/>
                          <w:color w:val="70AD47"/>
                          <w:sz w:val="52"/>
                          <w:szCs w:val="52"/>
                          <w:lang w:eastAsia="zh-CN"/>
                        </w:rPr>
                      </w:pPr>
                      <w:r>
                        <w:rPr>
                          <w:rFonts w:hint="eastAsia" w:ascii="华文琥珀" w:hAnsi="华文琥珀" w:eastAsia="华文琥珀" w:cs="华文琥珀"/>
                          <w:b/>
                          <w:bCs/>
                          <w:color w:val="70AD47"/>
                          <w:sz w:val="52"/>
                          <w:szCs w:val="52"/>
                          <w:lang w:eastAsia="zh-CN"/>
                        </w:rPr>
                        <w:t>未</w:t>
                      </w:r>
                    </w:p>
                    <w:p>
                      <w:pPr>
                        <w:spacing w:line="560" w:lineRule="exact"/>
                        <w:ind w:firstLine="1041" w:firstLineChars="200"/>
                        <w:rPr>
                          <w:rFonts w:hint="eastAsia" w:ascii="华文琥珀" w:hAnsi="华文琥珀" w:eastAsia="华文琥珀" w:cs="华文琥珀"/>
                          <w:b/>
                          <w:bCs/>
                          <w:snapToGrid w:val="0"/>
                          <w:color w:val="70AD47"/>
                          <w:sz w:val="72"/>
                          <w:szCs w:val="72"/>
                        </w:rPr>
                      </w:pPr>
                      <w:r>
                        <w:rPr>
                          <w:rFonts w:hint="eastAsia" w:ascii="华文琥珀" w:hAnsi="华文琥珀" w:eastAsia="华文琥珀" w:cs="华文琥珀"/>
                          <w:b/>
                          <w:bCs/>
                          <w:color w:val="70AD47"/>
                          <w:sz w:val="52"/>
                          <w:szCs w:val="52"/>
                          <w:lang w:eastAsia="zh-CN"/>
                        </w:rPr>
                        <w:t>来</w:t>
                      </w:r>
                    </w:p>
                  </w:txbxContent>
                </v:textbox>
                <w10:wrap type="square"/>
              </v:shape>
            </w:pict>
          </mc:Fallback>
        </mc:AlternateContent>
      </w: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2" w:firstLineChars="200"/>
        <w:rPr>
          <w:rFonts w:ascii="楷体_GB2312" w:hAnsi="黑体" w:eastAsia="楷体_GB2312"/>
          <w:b/>
          <w:snapToGrid w:val="0"/>
          <w:color w:val="auto"/>
          <w:sz w:val="30"/>
          <w:szCs w:val="30"/>
          <w:highlight w:val="none"/>
        </w:rPr>
      </w:pPr>
    </w:p>
    <w:p>
      <w:pPr>
        <w:spacing w:line="560" w:lineRule="exact"/>
        <w:ind w:firstLine="602" w:firstLineChars="200"/>
        <w:rPr>
          <w:rFonts w:ascii="楷体_GB2312" w:hAnsi="黑体" w:eastAsia="楷体_GB2312"/>
          <w:b/>
          <w:snapToGrid w:val="0"/>
          <w:color w:val="auto"/>
          <w:sz w:val="30"/>
          <w:szCs w:val="30"/>
          <w:highlight w:val="none"/>
        </w:rPr>
      </w:pPr>
    </w:p>
    <w:p>
      <w:pPr>
        <w:overflowPunct w:val="0"/>
        <w:spacing w:line="560" w:lineRule="exact"/>
        <w:rPr>
          <w:rFonts w:ascii="仿宋_GB2312" w:eastAsia="仿宋_GB2312"/>
          <w:caps/>
          <w:color w:val="auto"/>
          <w:sz w:val="30"/>
          <w:szCs w:val="30"/>
          <w:highlight w:val="none"/>
        </w:rPr>
      </w:pPr>
    </w:p>
    <w:p>
      <w:pPr>
        <w:overflowPunct w:val="0"/>
        <w:spacing w:line="520" w:lineRule="exact"/>
        <w:ind w:firstLine="300" w:firstLineChars="100"/>
        <w:rPr>
          <w:rFonts w:ascii="隶书" w:eastAsia="隶书"/>
          <w:caps/>
          <w:color w:val="auto"/>
          <w:sz w:val="30"/>
          <w:szCs w:val="30"/>
          <w:highlight w:val="none"/>
        </w:rPr>
      </w:pPr>
    </w:p>
    <w:p>
      <w:pPr>
        <w:overflowPunct w:val="0"/>
        <w:spacing w:line="520" w:lineRule="exact"/>
        <w:ind w:firstLine="600" w:firstLineChars="200"/>
        <w:rPr>
          <w:rFonts w:ascii="仿宋_GB2312" w:eastAsia="仿宋_GB2312"/>
          <w:caps/>
          <w:color w:val="auto"/>
          <w:sz w:val="30"/>
          <w:szCs w:val="30"/>
          <w:highlight w:val="none"/>
        </w:rPr>
      </w:pPr>
    </w:p>
    <w:p>
      <w:pPr>
        <w:overflowPunct w:val="0"/>
        <w:spacing w:line="520" w:lineRule="exact"/>
        <w:ind w:firstLine="600" w:firstLineChars="200"/>
        <w:rPr>
          <w:rFonts w:hint="eastAsia" w:ascii="仿宋_GB2312" w:eastAsia="仿宋_GB2312"/>
          <w:caps/>
          <w:color w:val="auto"/>
          <w:sz w:val="30"/>
          <w:szCs w:val="30"/>
          <w:highlight w:val="none"/>
        </w:rPr>
      </w:pPr>
    </w:p>
    <w:p>
      <w:pPr>
        <w:overflowPunct w:val="0"/>
        <w:spacing w:line="520" w:lineRule="exact"/>
        <w:ind w:firstLine="600" w:firstLineChars="200"/>
        <w:rPr>
          <w:rFonts w:hint="eastAsia" w:ascii="黑体" w:hAnsi="黑体" w:eastAsia="黑体" w:cs="黑体"/>
          <w:caps/>
          <w:color w:val="auto"/>
          <w:sz w:val="30"/>
          <w:szCs w:val="30"/>
          <w:highlight w:val="none"/>
        </w:rPr>
      </w:pPr>
    </w:p>
    <w:p>
      <w:pPr>
        <w:overflowPunct w:val="0"/>
        <w:spacing w:line="520" w:lineRule="exact"/>
        <w:ind w:firstLine="600" w:firstLineChars="200"/>
        <w:rPr>
          <w:rFonts w:ascii="仿宋_GB2312" w:eastAsia="仿宋_GB2312"/>
          <w:caps/>
          <w:color w:val="auto"/>
          <w:sz w:val="30"/>
          <w:szCs w:val="30"/>
          <w:highlight w:val="none"/>
        </w:rPr>
      </w:pPr>
      <w:r>
        <w:rPr>
          <w:rFonts w:hint="eastAsia" w:ascii="黑体" w:hAnsi="黑体" w:eastAsia="黑体" w:cs="黑体"/>
          <w:caps/>
          <w:color w:val="auto"/>
          <w:sz w:val="30"/>
          <w:szCs w:val="30"/>
          <w:highlight w:val="none"/>
        </w:rPr>
        <w:t>2022年，全行工作的指导思想是：</w:t>
      </w:r>
      <w:r>
        <w:rPr>
          <w:rFonts w:hint="eastAsia" w:ascii="黑体" w:hAnsi="黑体" w:eastAsia="黑体" w:cs="黑体"/>
          <w:color w:val="auto"/>
          <w:sz w:val="30"/>
          <w:szCs w:val="30"/>
          <w:highlight w:val="none"/>
        </w:rPr>
        <w:t>坚持以习近平新时代中国特色社会主义思想为指导，全面贯彻党的十九大和十九届历次全会精神，</w:t>
      </w:r>
      <w:r>
        <w:rPr>
          <w:rFonts w:hint="eastAsia" w:ascii="黑体" w:hAnsi="黑体" w:eastAsia="黑体" w:cs="黑体"/>
          <w:snapToGrid w:val="0"/>
          <w:color w:val="auto"/>
          <w:sz w:val="30"/>
          <w:szCs w:val="30"/>
          <w:highlight w:val="none"/>
        </w:rPr>
        <w:t>认真贯彻落实省联社和宜春辖区党组的各项决策部署</w:t>
      </w:r>
      <w:r>
        <w:rPr>
          <w:rFonts w:hint="eastAsia" w:ascii="黑体" w:hAnsi="黑体" w:eastAsia="黑体" w:cs="黑体"/>
          <w:color w:val="auto"/>
          <w:sz w:val="30"/>
          <w:szCs w:val="30"/>
          <w:highlight w:val="none"/>
        </w:rPr>
        <w:t>，</w:t>
      </w:r>
      <w:r>
        <w:rPr>
          <w:rFonts w:hint="eastAsia" w:ascii="黑体" w:hAnsi="黑体" w:eastAsia="黑体"/>
          <w:color w:val="auto"/>
          <w:sz w:val="30"/>
          <w:szCs w:val="30"/>
          <w:highlight w:val="none"/>
        </w:rPr>
        <w:t>立足新发展阶段，贯彻新发展理念，构建新发展格局，始终坚持稳中求进的工作总基调，牢牢把握固本强基、提质增效的工作总要求，紧紧围绕高质量跨越式发展的工作总目标，保持战略定力，下沉服务重心，做深本土市场，做实基础客户，做优资产质量，做好创新文章，做牢风险防控，做强党建工作，奋力书写</w:t>
      </w:r>
      <w:r>
        <w:rPr>
          <w:rFonts w:hint="eastAsia" w:ascii="黑体" w:hAnsi="黑体" w:eastAsia="黑体" w:cs="黑体"/>
          <w:color w:val="auto"/>
          <w:sz w:val="30"/>
          <w:szCs w:val="30"/>
          <w:highlight w:val="none"/>
        </w:rPr>
        <w:t>宜丰农商银行</w:t>
      </w:r>
      <w:r>
        <w:rPr>
          <w:rFonts w:hint="eastAsia" w:ascii="黑体" w:hAnsi="黑体" w:eastAsia="黑体"/>
          <w:color w:val="auto"/>
          <w:sz w:val="30"/>
          <w:szCs w:val="30"/>
          <w:highlight w:val="none"/>
        </w:rPr>
        <w:t>改革发展新华章，以优异成绩迎接党的二十大召开。</w:t>
      </w:r>
    </w:p>
    <w:p>
      <w:pPr>
        <w:overflowPunct w:val="0"/>
        <w:spacing w:line="520" w:lineRule="exact"/>
        <w:ind w:firstLine="602" w:firstLineChars="200"/>
        <w:rPr>
          <w:rFonts w:ascii="仿宋_GB2312" w:eastAsia="仿宋_GB2312"/>
          <w:caps/>
          <w:color w:val="auto"/>
          <w:sz w:val="30"/>
          <w:szCs w:val="30"/>
          <w:highlight w:val="none"/>
        </w:rPr>
      </w:pPr>
      <w:r>
        <w:rPr>
          <w:rFonts w:hint="eastAsia" w:ascii="仿宋_GB2312" w:eastAsia="仿宋_GB2312"/>
          <w:b/>
          <w:bCs/>
          <w:caps/>
          <w:color w:val="auto"/>
          <w:sz w:val="30"/>
          <w:szCs w:val="30"/>
          <w:highlight w:val="none"/>
        </w:rPr>
        <w:t>立足“严”字打底，一以贯之抓党建、正风纪。</w:t>
      </w:r>
      <w:r>
        <w:rPr>
          <w:rFonts w:hint="eastAsia" w:ascii="仿宋_GB2312" w:eastAsia="仿宋_GB2312"/>
          <w:caps/>
          <w:color w:val="auto"/>
          <w:sz w:val="30"/>
          <w:szCs w:val="30"/>
          <w:highlight w:val="none"/>
        </w:rPr>
        <w:t>抓牢政治思想建设。抓好人才队伍建设。抓实基层组织建设。抓严党风廉政建设。</w:t>
      </w:r>
    </w:p>
    <w:p>
      <w:pPr>
        <w:overflowPunct w:val="0"/>
        <w:spacing w:line="520" w:lineRule="exact"/>
        <w:ind w:firstLine="602" w:firstLineChars="200"/>
        <w:rPr>
          <w:rFonts w:ascii="仿宋_GB2312" w:eastAsia="仿宋_GB2312"/>
          <w:caps/>
          <w:color w:val="auto"/>
          <w:sz w:val="30"/>
          <w:szCs w:val="30"/>
          <w:highlight w:val="none"/>
        </w:rPr>
      </w:pPr>
      <w:r>
        <w:rPr>
          <w:rFonts w:hint="eastAsia" w:ascii="仿宋_GB2312" w:eastAsia="仿宋_GB2312"/>
          <w:b/>
          <w:bCs/>
          <w:caps/>
          <w:color w:val="auto"/>
          <w:sz w:val="30"/>
          <w:szCs w:val="30"/>
          <w:highlight w:val="none"/>
        </w:rPr>
        <w:t>突出“稳”字求进，一门心思促发展、稳增长。</w:t>
      </w:r>
      <w:r>
        <w:rPr>
          <w:rFonts w:hint="eastAsia" w:ascii="仿宋_GB2312" w:eastAsia="仿宋_GB2312"/>
          <w:caps/>
          <w:color w:val="auto"/>
          <w:sz w:val="30"/>
          <w:szCs w:val="30"/>
          <w:highlight w:val="none"/>
        </w:rPr>
        <w:t>持续保持资金组织工作良好态势。努力改变有效信贷投放不足现状。</w:t>
      </w:r>
    </w:p>
    <w:p>
      <w:pPr>
        <w:overflowPunct w:val="0"/>
        <w:spacing w:line="520" w:lineRule="exact"/>
        <w:ind w:firstLine="602" w:firstLineChars="200"/>
        <w:rPr>
          <w:rFonts w:ascii="仿宋_GB2312" w:eastAsia="仿宋_GB2312"/>
          <w:caps/>
          <w:color w:val="auto"/>
          <w:sz w:val="30"/>
          <w:szCs w:val="30"/>
          <w:highlight w:val="none"/>
        </w:rPr>
      </w:pPr>
      <w:r>
        <w:rPr>
          <w:rFonts w:hint="eastAsia" w:ascii="仿宋_GB2312" w:eastAsia="仿宋_GB2312"/>
          <w:b/>
          <w:bCs/>
          <w:caps/>
          <w:color w:val="auto"/>
          <w:sz w:val="30"/>
          <w:szCs w:val="30"/>
          <w:highlight w:val="none"/>
        </w:rPr>
        <w:t>着眼“好”字推动，一如既往调结构、提质效。</w:t>
      </w:r>
      <w:r>
        <w:rPr>
          <w:rFonts w:hint="eastAsia" w:ascii="仿宋_GB2312" w:eastAsia="仿宋_GB2312"/>
          <w:caps/>
          <w:color w:val="auto"/>
          <w:sz w:val="30"/>
          <w:szCs w:val="30"/>
          <w:highlight w:val="none"/>
        </w:rPr>
        <w:t>加强精细管理。完善绩效考核。落实增收节支。</w:t>
      </w:r>
    </w:p>
    <w:p>
      <w:pPr>
        <w:overflowPunct w:val="0"/>
        <w:spacing w:line="520" w:lineRule="exact"/>
        <w:ind w:firstLine="602" w:firstLineChars="200"/>
        <w:rPr>
          <w:rFonts w:ascii="仿宋_GB2312" w:eastAsia="仿宋_GB2312"/>
          <w:caps/>
          <w:color w:val="auto"/>
          <w:sz w:val="30"/>
          <w:szCs w:val="30"/>
          <w:highlight w:val="none"/>
        </w:rPr>
      </w:pPr>
      <w:r>
        <w:rPr>
          <w:rFonts w:hint="eastAsia" w:ascii="仿宋_GB2312" w:eastAsia="仿宋_GB2312"/>
          <w:b/>
          <w:bCs/>
          <w:caps/>
          <w:color w:val="auto"/>
          <w:sz w:val="30"/>
          <w:szCs w:val="30"/>
          <w:highlight w:val="none"/>
        </w:rPr>
        <w:t>聚焦“变”字用劲，一刻不停抓创新、促转型。</w:t>
      </w:r>
      <w:r>
        <w:rPr>
          <w:rFonts w:hint="eastAsia" w:ascii="仿宋_GB2312" w:eastAsia="仿宋_GB2312"/>
          <w:caps/>
          <w:color w:val="auto"/>
          <w:sz w:val="30"/>
          <w:szCs w:val="30"/>
          <w:highlight w:val="none"/>
        </w:rPr>
        <w:t>加强产品创新。加强渠道创新。推进客户翻番。</w:t>
      </w:r>
    </w:p>
    <w:p>
      <w:pPr>
        <w:overflowPunct w:val="0"/>
        <w:spacing w:line="520" w:lineRule="exact"/>
        <w:ind w:firstLine="602" w:firstLineChars="200"/>
        <w:rPr>
          <w:rFonts w:ascii="仿宋_GB2312" w:eastAsia="仿宋_GB2312"/>
          <w:caps/>
          <w:color w:val="auto"/>
          <w:sz w:val="30"/>
          <w:szCs w:val="30"/>
          <w:highlight w:val="none"/>
        </w:rPr>
      </w:pPr>
      <w:r>
        <w:rPr>
          <w:rFonts w:hint="eastAsia" w:ascii="仿宋_GB2312" w:eastAsia="仿宋_GB2312"/>
          <w:b/>
          <w:bCs/>
          <w:caps/>
          <w:color w:val="auto"/>
          <w:sz w:val="30"/>
          <w:szCs w:val="30"/>
          <w:highlight w:val="none"/>
        </w:rPr>
        <w:t>紧扣“防”字发力，一丝不苟防风险、保安全。</w:t>
      </w:r>
      <w:r>
        <w:rPr>
          <w:rFonts w:hint="eastAsia" w:ascii="仿宋_GB2312" w:eastAsia="仿宋_GB2312"/>
          <w:caps/>
          <w:color w:val="auto"/>
          <w:sz w:val="30"/>
          <w:szCs w:val="30"/>
          <w:highlight w:val="none"/>
        </w:rPr>
        <w:t>加强内控合规。管控信用风险。抓细安全问题。</w:t>
      </w:r>
    </w:p>
    <w:p>
      <w:pPr>
        <w:overflowPunct w:val="0"/>
        <w:spacing w:line="520" w:lineRule="exact"/>
        <w:ind w:firstLine="600" w:firstLineChars="200"/>
        <w:rPr>
          <w:rFonts w:ascii="仿宋_GB2312" w:eastAsia="仿宋_GB2312"/>
          <w:caps/>
          <w:color w:val="auto"/>
          <w:sz w:val="30"/>
          <w:szCs w:val="30"/>
          <w:highlight w:val="none"/>
        </w:rPr>
      </w:pPr>
    </w:p>
    <w:p>
      <w:pPr>
        <w:overflowPunct w:val="0"/>
        <w:spacing w:line="520" w:lineRule="exact"/>
        <w:ind w:firstLine="600" w:firstLineChars="200"/>
        <w:rPr>
          <w:rFonts w:ascii="仿宋_GB2312" w:eastAsia="仿宋_GB2312"/>
          <w:caps/>
          <w:color w:val="auto"/>
          <w:sz w:val="30"/>
          <w:szCs w:val="30"/>
          <w:highlight w:val="none"/>
        </w:rPr>
      </w:pPr>
    </w:p>
    <w:p>
      <w:pPr>
        <w:overflowPunct w:val="0"/>
        <w:spacing w:line="520" w:lineRule="exact"/>
        <w:ind w:firstLine="600" w:firstLineChars="200"/>
        <w:rPr>
          <w:rFonts w:ascii="仿宋_GB2312" w:eastAsia="仿宋_GB2312"/>
          <w:caps/>
          <w:color w:val="auto"/>
          <w:sz w:val="30"/>
          <w:szCs w:val="30"/>
          <w:highlight w:val="none"/>
        </w:rPr>
      </w:pPr>
    </w:p>
    <w:p>
      <w:pPr>
        <w:pStyle w:val="2"/>
        <w:rPr>
          <w:color w:val="auto"/>
          <w:sz w:val="30"/>
          <w:szCs w:val="30"/>
          <w:highlight w:val="none"/>
        </w:rPr>
      </w:pPr>
    </w:p>
    <w:p>
      <w:pPr>
        <w:overflowPunct w:val="0"/>
        <w:spacing w:line="520" w:lineRule="exact"/>
        <w:ind w:firstLine="600" w:firstLineChars="200"/>
        <w:rPr>
          <w:rFonts w:ascii="仿宋_GB2312" w:eastAsia="仿宋_GB2312"/>
          <w:caps/>
          <w:color w:val="auto"/>
          <w:sz w:val="30"/>
          <w:szCs w:val="30"/>
          <w:highlight w:val="none"/>
        </w:rPr>
      </w:pPr>
    </w:p>
    <w:p>
      <w:pPr>
        <w:overflowPunct w:val="0"/>
        <w:spacing w:line="520" w:lineRule="exact"/>
        <w:ind w:firstLine="600" w:firstLineChars="200"/>
        <w:rPr>
          <w:rFonts w:ascii="仿宋_GB2312" w:eastAsia="仿宋_GB2312"/>
          <w:caps/>
          <w:color w:val="auto"/>
          <w:sz w:val="30"/>
          <w:szCs w:val="30"/>
          <w:highlight w:val="none"/>
        </w:rPr>
      </w:pPr>
    </w:p>
    <w:p>
      <w:pPr>
        <w:overflowPunct w:val="0"/>
        <w:spacing w:line="520" w:lineRule="exact"/>
        <w:ind w:firstLine="600" w:firstLineChars="200"/>
        <w:rPr>
          <w:rFonts w:ascii="仿宋_GB2312" w:eastAsia="仿宋_GB2312"/>
          <w:caps/>
          <w:color w:val="auto"/>
          <w:sz w:val="30"/>
          <w:szCs w:val="30"/>
          <w:highlight w:val="none"/>
        </w:rPr>
      </w:pPr>
      <w:r>
        <w:rPr>
          <w:color w:val="auto"/>
          <w:sz w:val="30"/>
          <w:szCs w:val="30"/>
          <w:highlight w:val="none"/>
        </w:rPr>
        <w:drawing>
          <wp:anchor distT="0" distB="0" distL="114300" distR="114300" simplePos="0" relativeHeight="251662336" behindDoc="1" locked="0" layoutInCell="1" allowOverlap="1">
            <wp:simplePos x="0" y="0"/>
            <wp:positionH relativeFrom="column">
              <wp:posOffset>-101600</wp:posOffset>
            </wp:positionH>
            <wp:positionV relativeFrom="paragraph">
              <wp:posOffset>22860</wp:posOffset>
            </wp:positionV>
            <wp:extent cx="5888355" cy="1532255"/>
            <wp:effectExtent l="0" t="0" r="17145" b="10795"/>
            <wp:wrapNone/>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rcRect t="28131" r="880"/>
                    <a:stretch>
                      <a:fillRect/>
                    </a:stretch>
                  </pic:blipFill>
                  <pic:spPr>
                    <a:xfrm>
                      <a:off x="0" y="0"/>
                      <a:ext cx="5888355" cy="1532255"/>
                    </a:xfrm>
                    <a:prstGeom prst="rect">
                      <a:avLst/>
                    </a:prstGeom>
                    <a:noFill/>
                    <a:ln w="9525">
                      <a:noFill/>
                    </a:ln>
                  </pic:spPr>
                </pic:pic>
              </a:graphicData>
            </a:graphic>
          </wp:anchor>
        </w:drawing>
      </w:r>
    </w:p>
    <w:p>
      <w:pPr>
        <w:overflowPunct w:val="0"/>
        <w:spacing w:line="520" w:lineRule="exact"/>
        <w:ind w:firstLine="600" w:firstLineChars="200"/>
        <w:rPr>
          <w:rFonts w:ascii="仿宋_GB2312" w:eastAsia="仿宋_GB2312"/>
          <w:caps/>
          <w:color w:val="auto"/>
          <w:sz w:val="30"/>
          <w:szCs w:val="30"/>
          <w:highlight w:val="none"/>
        </w:rPr>
      </w:pPr>
    </w:p>
    <w:p>
      <w:pPr>
        <w:overflowPunct w:val="0"/>
        <w:spacing w:line="520" w:lineRule="exact"/>
        <w:ind w:firstLine="600" w:firstLineChars="200"/>
        <w:rPr>
          <w:rFonts w:ascii="仿宋_GB2312" w:eastAsia="仿宋_GB2312"/>
          <w:caps/>
          <w:color w:val="auto"/>
          <w:sz w:val="30"/>
          <w:szCs w:val="30"/>
          <w:highlight w:val="none"/>
        </w:rPr>
      </w:pPr>
    </w:p>
    <w:p>
      <w:pPr>
        <w:overflowPunct w:val="0"/>
        <w:spacing w:line="520" w:lineRule="exact"/>
        <w:ind w:firstLine="600" w:firstLineChars="200"/>
        <w:rPr>
          <w:rFonts w:ascii="仿宋_GB2312" w:eastAsia="仿宋_GB2312"/>
          <w:caps/>
          <w:color w:val="auto"/>
          <w:sz w:val="30"/>
          <w:szCs w:val="30"/>
          <w:highlight w:val="none"/>
        </w:rPr>
      </w:pPr>
    </w:p>
    <w:p>
      <w:pPr>
        <w:overflowPunct w:val="0"/>
        <w:spacing w:line="520" w:lineRule="exact"/>
        <w:ind w:firstLine="600" w:firstLineChars="200"/>
        <w:rPr>
          <w:rFonts w:ascii="仿宋_GB2312" w:eastAsia="仿宋_GB2312"/>
          <w:caps/>
          <w:color w:val="auto"/>
          <w:sz w:val="30"/>
          <w:szCs w:val="30"/>
          <w:highlight w:val="none"/>
        </w:rPr>
      </w:pPr>
      <w:r>
        <w:rPr>
          <w:color w:val="auto"/>
          <w:sz w:val="30"/>
          <w:szCs w:val="30"/>
          <w:highlight w:val="none"/>
        </w:rPr>
        <w:drawing>
          <wp:anchor distT="0" distB="0" distL="114300" distR="114300" simplePos="0" relativeHeight="251663360" behindDoc="1" locked="0" layoutInCell="1" allowOverlap="1">
            <wp:simplePos x="0" y="0"/>
            <wp:positionH relativeFrom="column">
              <wp:posOffset>-173355</wp:posOffset>
            </wp:positionH>
            <wp:positionV relativeFrom="paragraph">
              <wp:posOffset>277495</wp:posOffset>
            </wp:positionV>
            <wp:extent cx="5959475" cy="1052830"/>
            <wp:effectExtent l="0" t="0" r="3175" b="1397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959475" cy="1052830"/>
                    </a:xfrm>
                    <a:prstGeom prst="rect">
                      <a:avLst/>
                    </a:prstGeom>
                    <a:noFill/>
                    <a:ln w="9525">
                      <a:noFill/>
                    </a:ln>
                  </pic:spPr>
                </pic:pic>
              </a:graphicData>
            </a:graphic>
          </wp:anchor>
        </w:drawing>
      </w:r>
    </w:p>
    <w:p>
      <w:pPr>
        <w:overflowPunct w:val="0"/>
        <w:spacing w:line="520" w:lineRule="exact"/>
        <w:ind w:firstLine="600" w:firstLineChars="200"/>
        <w:rPr>
          <w:rFonts w:ascii="仿宋_GB2312" w:eastAsia="仿宋_GB2312"/>
          <w:caps/>
          <w:color w:val="auto"/>
          <w:sz w:val="30"/>
          <w:szCs w:val="30"/>
          <w:highlight w:val="none"/>
        </w:rPr>
      </w:pPr>
    </w:p>
    <w:p>
      <w:pPr>
        <w:overflowPunct w:val="0"/>
        <w:spacing w:line="520" w:lineRule="exact"/>
        <w:ind w:firstLine="600" w:firstLineChars="200"/>
        <w:rPr>
          <w:rFonts w:ascii="仿宋_GB2312" w:eastAsia="仿宋_GB2312"/>
          <w:caps/>
          <w:color w:val="auto"/>
          <w:sz w:val="30"/>
          <w:szCs w:val="30"/>
          <w:highlight w:val="none"/>
        </w:rPr>
      </w:pPr>
    </w:p>
    <w:p>
      <w:pPr>
        <w:overflowPunct w:val="0"/>
        <w:spacing w:line="520" w:lineRule="exact"/>
        <w:ind w:firstLine="600" w:firstLineChars="200"/>
        <w:rPr>
          <w:rFonts w:ascii="仿宋_GB2312" w:eastAsia="仿宋_GB2312"/>
          <w:caps/>
          <w:color w:val="auto"/>
          <w:sz w:val="30"/>
          <w:szCs w:val="30"/>
          <w:highlight w:val="none"/>
        </w:rPr>
      </w:pPr>
    </w:p>
    <w:p>
      <w:pPr>
        <w:keepNext w:val="0"/>
        <w:keepLines w:val="0"/>
        <w:pageBreakBefore w:val="0"/>
        <w:widowControl w:val="0"/>
        <w:kinsoku/>
        <w:wordWrap/>
        <w:overflowPunct w:val="0"/>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caps/>
          <w:color w:val="auto"/>
          <w:sz w:val="30"/>
          <w:szCs w:val="30"/>
          <w:highlight w:val="none"/>
        </w:rPr>
      </w:pPr>
      <w:r>
        <w:rPr>
          <w:rFonts w:hint="eastAsia" w:ascii="仿宋_GB2312" w:hAnsi="仿宋_GB2312" w:eastAsia="仿宋_GB2312" w:cs="仿宋_GB2312"/>
          <w:caps/>
          <w:color w:val="auto"/>
          <w:sz w:val="30"/>
          <w:szCs w:val="30"/>
          <w:highlight w:val="none"/>
        </w:rPr>
        <w:t>欢迎阅读《宜丰农商银行2021年社会责任报告》，在这份报告中，我们集中体现了宜丰农商银行对股东、员工、客户、合作伙伴、政府、社区、村委等各利益相关者以及为促进社会与环境可持续发展所承担的经济、法律、道德与慈善等社会责任。</w:t>
      </w:r>
    </w:p>
    <w:p>
      <w:pPr>
        <w:keepNext w:val="0"/>
        <w:keepLines w:val="0"/>
        <w:pageBreakBefore w:val="0"/>
        <w:widowControl w:val="0"/>
        <w:kinsoku/>
        <w:wordWrap/>
        <w:overflowPunct w:val="0"/>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caps/>
          <w:color w:val="auto"/>
          <w:sz w:val="30"/>
          <w:szCs w:val="30"/>
          <w:highlight w:val="none"/>
        </w:rPr>
      </w:pPr>
      <w:r>
        <w:rPr>
          <w:rFonts w:hint="eastAsia" w:ascii="仿宋_GB2312" w:hAnsi="仿宋_GB2312" w:eastAsia="仿宋_GB2312" w:cs="仿宋_GB2312"/>
          <w:caps/>
          <w:color w:val="auto"/>
          <w:sz w:val="30"/>
          <w:szCs w:val="30"/>
          <w:highlight w:val="none"/>
        </w:rPr>
        <w:t>【报告范围】</w:t>
      </w:r>
    </w:p>
    <w:p>
      <w:pPr>
        <w:keepNext w:val="0"/>
        <w:keepLines w:val="0"/>
        <w:pageBreakBefore w:val="0"/>
        <w:widowControl w:val="0"/>
        <w:kinsoku/>
        <w:wordWrap/>
        <w:overflowPunct w:val="0"/>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caps/>
          <w:color w:val="auto"/>
          <w:sz w:val="30"/>
          <w:szCs w:val="30"/>
          <w:highlight w:val="none"/>
        </w:rPr>
      </w:pPr>
      <w:r>
        <w:rPr>
          <w:rFonts w:hint="eastAsia" w:ascii="仿宋_GB2312" w:hAnsi="仿宋_GB2312" w:eastAsia="仿宋_GB2312" w:cs="仿宋_GB2312"/>
          <w:caps/>
          <w:color w:val="auto"/>
          <w:sz w:val="30"/>
          <w:szCs w:val="30"/>
          <w:highlight w:val="none"/>
        </w:rPr>
        <w:t>时间范围：2021年1月1日至12月31日，特别注明时间除外</w:t>
      </w:r>
    </w:p>
    <w:p>
      <w:pPr>
        <w:keepNext w:val="0"/>
        <w:keepLines w:val="0"/>
        <w:pageBreakBefore w:val="0"/>
        <w:widowControl w:val="0"/>
        <w:kinsoku/>
        <w:wordWrap/>
        <w:overflowPunct w:val="0"/>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caps/>
          <w:color w:val="auto"/>
          <w:sz w:val="30"/>
          <w:szCs w:val="30"/>
          <w:highlight w:val="none"/>
        </w:rPr>
      </w:pPr>
      <w:r>
        <w:rPr>
          <w:rFonts w:hint="eastAsia" w:ascii="仿宋_GB2312" w:hAnsi="仿宋_GB2312" w:eastAsia="仿宋_GB2312" w:cs="仿宋_GB2312"/>
          <w:caps/>
          <w:color w:val="auto"/>
          <w:sz w:val="30"/>
          <w:szCs w:val="30"/>
          <w:highlight w:val="none"/>
        </w:rPr>
        <w:t>组织范围：宜丰农商银行及各网点、部室</w:t>
      </w:r>
    </w:p>
    <w:p>
      <w:pPr>
        <w:keepNext w:val="0"/>
        <w:keepLines w:val="0"/>
        <w:pageBreakBefore w:val="0"/>
        <w:widowControl w:val="0"/>
        <w:kinsoku/>
        <w:wordWrap/>
        <w:overflowPunct w:val="0"/>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caps/>
          <w:color w:val="auto"/>
          <w:sz w:val="30"/>
          <w:szCs w:val="30"/>
          <w:highlight w:val="none"/>
        </w:rPr>
      </w:pPr>
      <w:r>
        <w:rPr>
          <w:rFonts w:hint="eastAsia" w:ascii="仿宋_GB2312" w:hAnsi="仿宋_GB2312" w:eastAsia="仿宋_GB2312" w:cs="仿宋_GB2312"/>
          <w:caps/>
          <w:color w:val="auto"/>
          <w:sz w:val="30"/>
          <w:szCs w:val="30"/>
          <w:highlight w:val="none"/>
        </w:rPr>
        <w:t>发布周期：本报告为年度报告</w:t>
      </w:r>
    </w:p>
    <w:p>
      <w:pPr>
        <w:keepNext w:val="0"/>
        <w:keepLines w:val="0"/>
        <w:pageBreakBefore w:val="0"/>
        <w:widowControl w:val="0"/>
        <w:kinsoku/>
        <w:wordWrap/>
        <w:overflowPunct w:val="0"/>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caps/>
          <w:color w:val="auto"/>
          <w:sz w:val="30"/>
          <w:szCs w:val="30"/>
          <w:highlight w:val="none"/>
        </w:rPr>
      </w:pPr>
      <w:r>
        <w:rPr>
          <w:rFonts w:hint="eastAsia" w:ascii="仿宋_GB2312" w:hAnsi="仿宋_GB2312" w:eastAsia="仿宋_GB2312" w:cs="仿宋_GB2312"/>
          <w:caps/>
          <w:color w:val="auto"/>
          <w:sz w:val="30"/>
          <w:szCs w:val="30"/>
          <w:highlight w:val="none"/>
        </w:rPr>
        <w:t>【发布形式】</w:t>
      </w:r>
    </w:p>
    <w:p>
      <w:pPr>
        <w:keepNext w:val="0"/>
        <w:keepLines w:val="0"/>
        <w:pageBreakBefore w:val="0"/>
        <w:widowControl w:val="0"/>
        <w:kinsoku/>
        <w:wordWrap/>
        <w:overflowPunct w:val="0"/>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caps/>
          <w:color w:val="auto"/>
          <w:sz w:val="30"/>
          <w:szCs w:val="30"/>
          <w:highlight w:val="none"/>
          <w:lang w:val="en-US" w:eastAsia="zh-CN"/>
        </w:rPr>
      </w:pPr>
      <w:r>
        <w:rPr>
          <w:rFonts w:hint="eastAsia" w:ascii="仿宋_GB2312" w:hAnsi="仿宋_GB2312" w:eastAsia="仿宋_GB2312" w:cs="仿宋_GB2312"/>
          <w:caps/>
          <w:color w:val="auto"/>
          <w:sz w:val="30"/>
          <w:szCs w:val="30"/>
          <w:highlight w:val="none"/>
        </w:rPr>
        <w:t>本报告以印刷版和电子版两种形式发布，电子版可在宜丰农商银行官方网站查阅</w:t>
      </w:r>
      <w:r>
        <w:rPr>
          <w:rFonts w:hint="eastAsia" w:ascii="仿宋_GB2312" w:hAnsi="仿宋_GB2312" w:eastAsia="仿宋_GB2312" w:cs="仿宋_GB2312"/>
          <w:caps w:val="0"/>
          <w:color w:val="auto"/>
          <w:sz w:val="30"/>
          <w:szCs w:val="30"/>
          <w:highlight w:val="none"/>
        </w:rPr>
        <w:t>（</w:t>
      </w:r>
      <w:r>
        <w:rPr>
          <w:rFonts w:hint="eastAsia" w:ascii="仿宋_GB2312" w:hAnsi="仿宋_GB2312" w:eastAsia="仿宋_GB2312" w:cs="仿宋_GB2312"/>
          <w:caps w:val="0"/>
          <w:color w:val="auto"/>
          <w:sz w:val="30"/>
          <w:szCs w:val="30"/>
          <w:highlight w:val="none"/>
          <w:lang w:val="en-US" w:eastAsia="zh-CN"/>
        </w:rPr>
        <w:t>www</w:t>
      </w:r>
      <w:r>
        <w:rPr>
          <w:rFonts w:hint="eastAsia" w:ascii="仿宋_GB2312" w:hAnsi="仿宋_GB2312" w:eastAsia="仿宋_GB2312" w:cs="仿宋_GB2312"/>
          <w:caps w:val="0"/>
          <w:color w:val="auto"/>
          <w:sz w:val="30"/>
          <w:szCs w:val="30"/>
          <w:highlight w:val="none"/>
        </w:rPr>
        <w:t>.jxnxs.com/yfxls/index.html）</w:t>
      </w:r>
    </w:p>
    <w:p>
      <w:pPr>
        <w:keepNext w:val="0"/>
        <w:keepLines w:val="0"/>
        <w:pageBreakBefore w:val="0"/>
        <w:widowControl w:val="0"/>
        <w:kinsoku/>
        <w:wordWrap/>
        <w:overflowPunct w:val="0"/>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caps/>
          <w:color w:val="auto"/>
          <w:sz w:val="30"/>
          <w:szCs w:val="30"/>
          <w:highlight w:val="none"/>
        </w:rPr>
      </w:pPr>
      <w:r>
        <w:rPr>
          <w:rFonts w:hint="eastAsia" w:ascii="仿宋_GB2312" w:hAnsi="仿宋_GB2312" w:eastAsia="仿宋_GB2312" w:cs="仿宋_GB2312"/>
          <w:caps/>
          <w:color w:val="auto"/>
          <w:sz w:val="30"/>
          <w:szCs w:val="30"/>
          <w:highlight w:val="none"/>
        </w:rPr>
        <w:t>【联系方式】</w:t>
      </w:r>
    </w:p>
    <w:p>
      <w:pPr>
        <w:keepNext w:val="0"/>
        <w:keepLines w:val="0"/>
        <w:pageBreakBefore w:val="0"/>
        <w:widowControl w:val="0"/>
        <w:kinsoku/>
        <w:wordWrap/>
        <w:overflowPunct w:val="0"/>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caps/>
          <w:color w:val="auto"/>
          <w:sz w:val="30"/>
          <w:szCs w:val="30"/>
          <w:highlight w:val="none"/>
        </w:rPr>
      </w:pPr>
      <w:r>
        <w:rPr>
          <w:rFonts w:hint="eastAsia" w:ascii="仿宋_GB2312" w:hAnsi="仿宋_GB2312" w:eastAsia="仿宋_GB2312" w:cs="仿宋_GB2312"/>
          <w:caps/>
          <w:color w:val="auto"/>
          <w:sz w:val="30"/>
          <w:szCs w:val="30"/>
          <w:highlight w:val="none"/>
        </w:rPr>
        <w:t>宜丰农商银行办公室</w:t>
      </w:r>
    </w:p>
    <w:p>
      <w:pPr>
        <w:keepNext w:val="0"/>
        <w:keepLines w:val="0"/>
        <w:pageBreakBefore w:val="0"/>
        <w:widowControl w:val="0"/>
        <w:kinsoku/>
        <w:wordWrap/>
        <w:overflowPunct w:val="0"/>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caps/>
          <w:color w:val="auto"/>
          <w:sz w:val="30"/>
          <w:szCs w:val="30"/>
          <w:highlight w:val="none"/>
        </w:rPr>
      </w:pPr>
      <w:r>
        <w:rPr>
          <w:rFonts w:hint="eastAsia" w:ascii="仿宋_GB2312" w:hAnsi="仿宋_GB2312" w:eastAsia="仿宋_GB2312" w:cs="仿宋_GB2312"/>
          <w:caps/>
          <w:color w:val="auto"/>
          <w:sz w:val="30"/>
          <w:szCs w:val="30"/>
          <w:highlight w:val="none"/>
        </w:rPr>
        <w:t>地址：宜丰县新昌镇渊明南大道3号</w:t>
      </w:r>
    </w:p>
    <w:p>
      <w:pPr>
        <w:keepNext w:val="0"/>
        <w:keepLines w:val="0"/>
        <w:pageBreakBefore w:val="0"/>
        <w:widowControl w:val="0"/>
        <w:kinsoku/>
        <w:wordWrap/>
        <w:overflowPunct w:val="0"/>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caps/>
          <w:color w:val="auto"/>
          <w:sz w:val="30"/>
          <w:szCs w:val="30"/>
          <w:highlight w:val="none"/>
        </w:rPr>
      </w:pPr>
      <w:r>
        <w:rPr>
          <w:rFonts w:hint="eastAsia" w:ascii="仿宋_GB2312" w:hAnsi="仿宋_GB2312" w:eastAsia="仿宋_GB2312" w:cs="仿宋_GB2312"/>
          <w:caps/>
          <w:color w:val="auto"/>
          <w:sz w:val="30"/>
          <w:szCs w:val="30"/>
          <w:highlight w:val="none"/>
        </w:rPr>
        <w:t>邮编：336300</w:t>
      </w:r>
    </w:p>
    <w:p>
      <w:pPr>
        <w:keepNext w:val="0"/>
        <w:keepLines w:val="0"/>
        <w:pageBreakBefore w:val="0"/>
        <w:widowControl w:val="0"/>
        <w:kinsoku/>
        <w:wordWrap/>
        <w:overflowPunct w:val="0"/>
        <w:topLinePunct w:val="0"/>
        <w:autoSpaceDE/>
        <w:autoSpaceDN/>
        <w:bidi w:val="0"/>
        <w:adjustRightInd/>
        <w:snapToGrid/>
        <w:spacing w:line="520" w:lineRule="exact"/>
        <w:ind w:firstLine="600" w:firstLineChars="200"/>
        <w:textAlignment w:val="auto"/>
        <w:outlineLvl w:val="9"/>
        <w:rPr>
          <w:rFonts w:hint="eastAsia" w:ascii="仿宋_GB2312" w:hAnsi="仿宋_GB2312" w:eastAsia="仿宋_GB2312" w:cs="仿宋_GB2312"/>
          <w:caps/>
          <w:color w:val="auto"/>
          <w:sz w:val="30"/>
          <w:szCs w:val="30"/>
          <w:highlight w:val="none"/>
        </w:rPr>
      </w:pPr>
      <w:r>
        <w:rPr>
          <w:rFonts w:hint="eastAsia" w:ascii="仿宋_GB2312" w:hAnsi="仿宋_GB2312" w:eastAsia="仿宋_GB2312" w:cs="仿宋_GB2312"/>
          <w:caps/>
          <w:color w:val="auto"/>
          <w:sz w:val="30"/>
          <w:szCs w:val="30"/>
          <w:highlight w:val="none"/>
        </w:rPr>
        <w:t>电话：0795-2767449</w:t>
      </w:r>
    </w:p>
    <w:p>
      <w:pPr>
        <w:rPr>
          <w:rFonts w:hint="eastAsia"/>
          <w:sz w:val="30"/>
          <w:szCs w:val="30"/>
          <w:highlight w:val="none"/>
        </w:rPr>
      </w:pPr>
    </w:p>
    <w:bookmarkEnd w:id="0"/>
    <w:sectPr>
      <w:headerReference r:id="rId3" w:type="default"/>
      <w:footerReference r:id="rId4" w:type="default"/>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0277684"/>
    </w:sdtPr>
    <w:sdtContent>
      <w:p>
        <w:pPr>
          <w:pStyle w:val="6"/>
          <w:jc w:val="center"/>
        </w:pPr>
        <w:r>
          <w:fldChar w:fldCharType="begin"/>
        </w:r>
        <w:r>
          <w:instrText xml:space="preserve">PAGE   \* MERGEFORMAT</w:instrText>
        </w:r>
        <w:r>
          <w:fldChar w:fldCharType="separate"/>
        </w:r>
        <w:r>
          <w:rPr>
            <w:lang w:val="zh-CN"/>
          </w:rPr>
          <w:t>19</w:t>
        </w:r>
        <w:r>
          <w:fldChar w:fldCharType="end"/>
        </w:r>
      </w:p>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ind w:firstLine="952" w:firstLineChars="400"/>
      <w:rPr>
        <w:rFonts w:ascii="黑体" w:hAnsi="黑体" w:eastAsia="黑体"/>
        <w:spacing w:val="14"/>
        <w:szCs w:val="21"/>
      </w:rPr>
    </w:pPr>
    <w:r>
      <w:rPr>
        <w:spacing w:val="14"/>
      </w:rPr>
      <w:drawing>
        <wp:anchor distT="0" distB="0" distL="114300" distR="114300" simplePos="0" relativeHeight="251658240" behindDoc="0" locked="0" layoutInCell="1" allowOverlap="1">
          <wp:simplePos x="0" y="0"/>
          <wp:positionH relativeFrom="margin">
            <wp:posOffset>175260</wp:posOffset>
          </wp:positionH>
          <wp:positionV relativeFrom="paragraph">
            <wp:posOffset>-3175</wp:posOffset>
          </wp:positionV>
          <wp:extent cx="254635" cy="233680"/>
          <wp:effectExtent l="0" t="0" r="12065" b="1397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
                  <a:stretch>
                    <a:fillRect/>
                  </a:stretch>
                </pic:blipFill>
                <pic:spPr>
                  <a:xfrm>
                    <a:off x="0" y="0"/>
                    <a:ext cx="254635" cy="233680"/>
                  </a:xfrm>
                  <a:prstGeom prst="rect">
                    <a:avLst/>
                  </a:prstGeom>
                  <a:noFill/>
                  <a:ln w="9525">
                    <a:noFill/>
                  </a:ln>
                </pic:spPr>
              </pic:pic>
            </a:graphicData>
          </a:graphic>
        </wp:anchor>
      </w:drawing>
    </w:r>
    <w:r>
      <w:rPr>
        <w:rFonts w:hint="eastAsia" w:ascii="黑体" w:hAnsi="黑体" w:eastAsia="黑体"/>
        <w:spacing w:val="14"/>
        <w:szCs w:val="21"/>
      </w:rPr>
      <w:t>宜</w:t>
    </w:r>
    <w:r>
      <w:rPr>
        <w:rFonts w:ascii="黑体" w:hAnsi="黑体" w:eastAsia="黑体"/>
        <w:spacing w:val="14"/>
        <w:szCs w:val="21"/>
      </w:rPr>
      <w:t>丰农</w:t>
    </w:r>
    <w:r>
      <w:rPr>
        <w:rFonts w:hint="eastAsia" w:ascii="黑体" w:hAnsi="黑体" w:eastAsia="黑体"/>
        <w:spacing w:val="14"/>
        <w:szCs w:val="21"/>
      </w:rPr>
      <w:t>商银</w:t>
    </w:r>
    <w:r>
      <w:rPr>
        <w:rFonts w:ascii="黑体" w:hAnsi="黑体" w:eastAsia="黑体"/>
        <w:spacing w:val="14"/>
        <w:szCs w:val="21"/>
      </w:rPr>
      <w:t>行</w:t>
    </w:r>
  </w:p>
  <w:p>
    <w:pPr>
      <w:pStyle w:val="7"/>
      <w:tabs>
        <w:tab w:val="center" w:pos="4422"/>
        <w:tab w:val="right" w:pos="8844"/>
        <w:tab w:val="clear" w:pos="4153"/>
        <w:tab w:val="clear" w:pos="8306"/>
      </w:tabs>
      <w:spacing w:line="180" w:lineRule="exact"/>
      <w:rPr>
        <w:rFonts w:eastAsia="黑体"/>
      </w:rPr>
    </w:pPr>
    <w:r>
      <w:rPr>
        <w:rFonts w:ascii="黑体" w:hAnsi="黑体" w:eastAsia="黑体"/>
        <w:spacing w:val="-20"/>
        <w:sz w:val="15"/>
        <w:szCs w:val="15"/>
      </w:rPr>
      <w:t xml:space="preserve">  </w:t>
    </w:r>
    <w:r>
      <w:rPr>
        <w:rFonts w:ascii="黑体" w:hAnsi="黑体" w:eastAsia="黑体"/>
        <w:spacing w:val="-26"/>
        <w:sz w:val="15"/>
        <w:szCs w:val="15"/>
      </w:rPr>
      <w:t>Y</w:t>
    </w:r>
    <w:r>
      <w:rPr>
        <w:rFonts w:hint="eastAsia" w:ascii="黑体" w:hAnsi="黑体" w:eastAsia="黑体"/>
        <w:spacing w:val="-26"/>
        <w:sz w:val="15"/>
        <w:szCs w:val="15"/>
      </w:rPr>
      <w:t>IFENG</w:t>
    </w:r>
    <w:r>
      <w:rPr>
        <w:rFonts w:hint="eastAsia" w:ascii="黑体" w:hAnsi="黑体" w:eastAsia="黑体" w:cs="宋体"/>
        <w:spacing w:val="-26"/>
        <w:kern w:val="0"/>
        <w:sz w:val="15"/>
        <w:szCs w:val="15"/>
      </w:rPr>
      <w:t xml:space="preserve"> RURAL COMMERCIAL BANK</w:t>
    </w:r>
    <w:r>
      <w:t xml:space="preserve"> </w:t>
    </w:r>
    <w:r>
      <w:tab/>
    </w:r>
    <w:r>
      <w:t xml:space="preserve">       </w:t>
    </w:r>
    <w:r>
      <w:rPr>
        <w:rFonts w:hint="eastAsia"/>
      </w:rPr>
      <w:t xml:space="preserve">                        </w:t>
    </w:r>
    <w:r>
      <w:t xml:space="preserve">   </w:t>
    </w:r>
    <w:r>
      <w:rPr>
        <w:rFonts w:hint="eastAsia" w:ascii="黑体" w:hAnsi="黑体" w:eastAsia="黑体"/>
      </w:rPr>
      <w:t>宜丰农商银行2021年社会责任报告</w:t>
    </w:r>
  </w:p>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25A7"/>
    <w:rsid w:val="00074D7A"/>
    <w:rsid w:val="00097997"/>
    <w:rsid w:val="000D7ED3"/>
    <w:rsid w:val="000E5F58"/>
    <w:rsid w:val="000E68AD"/>
    <w:rsid w:val="000F0B65"/>
    <w:rsid w:val="000F6925"/>
    <w:rsid w:val="0012579D"/>
    <w:rsid w:val="00135916"/>
    <w:rsid w:val="00140FA3"/>
    <w:rsid w:val="00172A27"/>
    <w:rsid w:val="00186119"/>
    <w:rsid w:val="001A337F"/>
    <w:rsid w:val="001A7B17"/>
    <w:rsid w:val="001B1C45"/>
    <w:rsid w:val="001D1DA9"/>
    <w:rsid w:val="001E0545"/>
    <w:rsid w:val="001E7CD6"/>
    <w:rsid w:val="0020193B"/>
    <w:rsid w:val="00211388"/>
    <w:rsid w:val="00242DAC"/>
    <w:rsid w:val="00252363"/>
    <w:rsid w:val="00262B67"/>
    <w:rsid w:val="0027484C"/>
    <w:rsid w:val="002769AB"/>
    <w:rsid w:val="00284E0A"/>
    <w:rsid w:val="002A213D"/>
    <w:rsid w:val="002B2706"/>
    <w:rsid w:val="002B67D6"/>
    <w:rsid w:val="002C5195"/>
    <w:rsid w:val="002D5088"/>
    <w:rsid w:val="00314956"/>
    <w:rsid w:val="00337EBF"/>
    <w:rsid w:val="003622BB"/>
    <w:rsid w:val="0036323F"/>
    <w:rsid w:val="00390D44"/>
    <w:rsid w:val="003A5BA3"/>
    <w:rsid w:val="003B0B11"/>
    <w:rsid w:val="003B18AF"/>
    <w:rsid w:val="003B356C"/>
    <w:rsid w:val="003B4BCF"/>
    <w:rsid w:val="003D2845"/>
    <w:rsid w:val="003E1FB8"/>
    <w:rsid w:val="003F18D1"/>
    <w:rsid w:val="003F40BA"/>
    <w:rsid w:val="003F5711"/>
    <w:rsid w:val="003F77BC"/>
    <w:rsid w:val="004361E0"/>
    <w:rsid w:val="00466DE9"/>
    <w:rsid w:val="004A1EF2"/>
    <w:rsid w:val="004B34CC"/>
    <w:rsid w:val="004F1460"/>
    <w:rsid w:val="004F5637"/>
    <w:rsid w:val="00524066"/>
    <w:rsid w:val="00555A82"/>
    <w:rsid w:val="005836A4"/>
    <w:rsid w:val="00594917"/>
    <w:rsid w:val="00595713"/>
    <w:rsid w:val="005E3F12"/>
    <w:rsid w:val="005F6629"/>
    <w:rsid w:val="00610CBD"/>
    <w:rsid w:val="00643AB4"/>
    <w:rsid w:val="006519B1"/>
    <w:rsid w:val="00683B28"/>
    <w:rsid w:val="006B3146"/>
    <w:rsid w:val="006D7384"/>
    <w:rsid w:val="006F6A98"/>
    <w:rsid w:val="00704166"/>
    <w:rsid w:val="00736094"/>
    <w:rsid w:val="007442A6"/>
    <w:rsid w:val="007543AC"/>
    <w:rsid w:val="00773563"/>
    <w:rsid w:val="007910AF"/>
    <w:rsid w:val="007A4873"/>
    <w:rsid w:val="007D2AA0"/>
    <w:rsid w:val="007E3F61"/>
    <w:rsid w:val="007E7587"/>
    <w:rsid w:val="007F34EC"/>
    <w:rsid w:val="007F5DB7"/>
    <w:rsid w:val="00807D50"/>
    <w:rsid w:val="008333DB"/>
    <w:rsid w:val="0084368D"/>
    <w:rsid w:val="00877ED5"/>
    <w:rsid w:val="008825C2"/>
    <w:rsid w:val="008875B5"/>
    <w:rsid w:val="008A1213"/>
    <w:rsid w:val="008D081C"/>
    <w:rsid w:val="008D3B4C"/>
    <w:rsid w:val="008E058F"/>
    <w:rsid w:val="008F0BD4"/>
    <w:rsid w:val="009043CD"/>
    <w:rsid w:val="0091305B"/>
    <w:rsid w:val="00920387"/>
    <w:rsid w:val="00932DD0"/>
    <w:rsid w:val="0095335A"/>
    <w:rsid w:val="009539FD"/>
    <w:rsid w:val="00993E74"/>
    <w:rsid w:val="009A6FDB"/>
    <w:rsid w:val="009B5C5F"/>
    <w:rsid w:val="009D27B6"/>
    <w:rsid w:val="009E000A"/>
    <w:rsid w:val="009E3236"/>
    <w:rsid w:val="009E54B3"/>
    <w:rsid w:val="009F39BA"/>
    <w:rsid w:val="009F6E17"/>
    <w:rsid w:val="00A12852"/>
    <w:rsid w:val="00A4346F"/>
    <w:rsid w:val="00A65425"/>
    <w:rsid w:val="00A95634"/>
    <w:rsid w:val="00AF2CE3"/>
    <w:rsid w:val="00B505E8"/>
    <w:rsid w:val="00B60D94"/>
    <w:rsid w:val="00B70AD7"/>
    <w:rsid w:val="00B930A6"/>
    <w:rsid w:val="00B93E3C"/>
    <w:rsid w:val="00BA6F65"/>
    <w:rsid w:val="00BE3F10"/>
    <w:rsid w:val="00BE65F5"/>
    <w:rsid w:val="00BF37B8"/>
    <w:rsid w:val="00C134FF"/>
    <w:rsid w:val="00C174CB"/>
    <w:rsid w:val="00C21B50"/>
    <w:rsid w:val="00C62ED8"/>
    <w:rsid w:val="00C82CC3"/>
    <w:rsid w:val="00CB0966"/>
    <w:rsid w:val="00CB50F1"/>
    <w:rsid w:val="00CD0961"/>
    <w:rsid w:val="00CD65FB"/>
    <w:rsid w:val="00CD672B"/>
    <w:rsid w:val="00CD677A"/>
    <w:rsid w:val="00CD6B67"/>
    <w:rsid w:val="00CE10F0"/>
    <w:rsid w:val="00CE50E8"/>
    <w:rsid w:val="00CF2C3B"/>
    <w:rsid w:val="00CF4C4C"/>
    <w:rsid w:val="00CF4ED6"/>
    <w:rsid w:val="00D36324"/>
    <w:rsid w:val="00D62C46"/>
    <w:rsid w:val="00D6552E"/>
    <w:rsid w:val="00D8581B"/>
    <w:rsid w:val="00DA146F"/>
    <w:rsid w:val="00DA6389"/>
    <w:rsid w:val="00DC0C11"/>
    <w:rsid w:val="00DD6D9E"/>
    <w:rsid w:val="00E0099A"/>
    <w:rsid w:val="00E03CED"/>
    <w:rsid w:val="00E07EA4"/>
    <w:rsid w:val="00E424F5"/>
    <w:rsid w:val="00E456E6"/>
    <w:rsid w:val="00E60BA2"/>
    <w:rsid w:val="00E74C3D"/>
    <w:rsid w:val="00E85950"/>
    <w:rsid w:val="00E87591"/>
    <w:rsid w:val="00EC4456"/>
    <w:rsid w:val="00ED6D43"/>
    <w:rsid w:val="00EF02D9"/>
    <w:rsid w:val="00F66C23"/>
    <w:rsid w:val="00FA5FF3"/>
    <w:rsid w:val="00FB3000"/>
    <w:rsid w:val="00FB5873"/>
    <w:rsid w:val="00FC639B"/>
    <w:rsid w:val="00FC6CFE"/>
    <w:rsid w:val="00FD1F00"/>
    <w:rsid w:val="00FD6947"/>
    <w:rsid w:val="026A576A"/>
    <w:rsid w:val="03327219"/>
    <w:rsid w:val="033A77DB"/>
    <w:rsid w:val="04D427DC"/>
    <w:rsid w:val="04F678B3"/>
    <w:rsid w:val="067E7E4F"/>
    <w:rsid w:val="07CD5303"/>
    <w:rsid w:val="0BCB1B26"/>
    <w:rsid w:val="0C1F6FA8"/>
    <w:rsid w:val="0D0A383F"/>
    <w:rsid w:val="0DFC6411"/>
    <w:rsid w:val="1092660D"/>
    <w:rsid w:val="11DC398B"/>
    <w:rsid w:val="13B215E6"/>
    <w:rsid w:val="142A5478"/>
    <w:rsid w:val="143653BA"/>
    <w:rsid w:val="16D567B8"/>
    <w:rsid w:val="186301E8"/>
    <w:rsid w:val="18695E02"/>
    <w:rsid w:val="1A3C0363"/>
    <w:rsid w:val="1E3A45F8"/>
    <w:rsid w:val="1E772B0C"/>
    <w:rsid w:val="1F911A4C"/>
    <w:rsid w:val="209337B0"/>
    <w:rsid w:val="20B561FF"/>
    <w:rsid w:val="20D56E43"/>
    <w:rsid w:val="244A36CF"/>
    <w:rsid w:val="24F54FB0"/>
    <w:rsid w:val="256C5E96"/>
    <w:rsid w:val="25CA25F9"/>
    <w:rsid w:val="25E66B2C"/>
    <w:rsid w:val="26FD4472"/>
    <w:rsid w:val="2A407A9D"/>
    <w:rsid w:val="2E055B74"/>
    <w:rsid w:val="2F013570"/>
    <w:rsid w:val="30855234"/>
    <w:rsid w:val="33930836"/>
    <w:rsid w:val="33FE0E8C"/>
    <w:rsid w:val="348065F1"/>
    <w:rsid w:val="35243AF4"/>
    <w:rsid w:val="3717386F"/>
    <w:rsid w:val="374A3F00"/>
    <w:rsid w:val="37734251"/>
    <w:rsid w:val="3A6F58F9"/>
    <w:rsid w:val="3B434041"/>
    <w:rsid w:val="3BC9187A"/>
    <w:rsid w:val="3D2B1A34"/>
    <w:rsid w:val="3E5B2CF6"/>
    <w:rsid w:val="3F254987"/>
    <w:rsid w:val="3F587B42"/>
    <w:rsid w:val="3F5C6D1C"/>
    <w:rsid w:val="3F6C7B53"/>
    <w:rsid w:val="41603496"/>
    <w:rsid w:val="42CB17F6"/>
    <w:rsid w:val="45BC7219"/>
    <w:rsid w:val="46330B43"/>
    <w:rsid w:val="46577B2C"/>
    <w:rsid w:val="46D00840"/>
    <w:rsid w:val="47922FB6"/>
    <w:rsid w:val="4ADE113F"/>
    <w:rsid w:val="4BBC6CD6"/>
    <w:rsid w:val="4C4F4473"/>
    <w:rsid w:val="4EB20EAB"/>
    <w:rsid w:val="4ED64655"/>
    <w:rsid w:val="4EFC2D8A"/>
    <w:rsid w:val="4F5322B8"/>
    <w:rsid w:val="51B8011F"/>
    <w:rsid w:val="52566C07"/>
    <w:rsid w:val="52CA17E4"/>
    <w:rsid w:val="53CE63A1"/>
    <w:rsid w:val="53DA46F3"/>
    <w:rsid w:val="551137C8"/>
    <w:rsid w:val="56EC603C"/>
    <w:rsid w:val="57190D04"/>
    <w:rsid w:val="576E4355"/>
    <w:rsid w:val="57ED667B"/>
    <w:rsid w:val="57FA22E2"/>
    <w:rsid w:val="585C0965"/>
    <w:rsid w:val="59EC408B"/>
    <w:rsid w:val="5A640543"/>
    <w:rsid w:val="5C774915"/>
    <w:rsid w:val="5F8614C5"/>
    <w:rsid w:val="61C53506"/>
    <w:rsid w:val="62DB0850"/>
    <w:rsid w:val="63C92369"/>
    <w:rsid w:val="665E177B"/>
    <w:rsid w:val="66D57AA6"/>
    <w:rsid w:val="67994DA1"/>
    <w:rsid w:val="68E72F03"/>
    <w:rsid w:val="6A094C60"/>
    <w:rsid w:val="6D837B38"/>
    <w:rsid w:val="6E715D63"/>
    <w:rsid w:val="705E4DCC"/>
    <w:rsid w:val="7206417C"/>
    <w:rsid w:val="72F67550"/>
    <w:rsid w:val="74484E45"/>
    <w:rsid w:val="76487670"/>
    <w:rsid w:val="764A0767"/>
    <w:rsid w:val="76CD04D7"/>
    <w:rsid w:val="772D6D47"/>
    <w:rsid w:val="77D84401"/>
    <w:rsid w:val="79850E30"/>
    <w:rsid w:val="7A0737D7"/>
    <w:rsid w:val="7B5B0199"/>
    <w:rsid w:val="7D8670A0"/>
    <w:rsid w:val="7F5C3793"/>
    <w:rsid w:val="7FAF1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2"/>
    <w:basedOn w:val="1"/>
    <w:link w:val="20"/>
    <w:unhideWhenUsed/>
    <w:qFormat/>
    <w:uiPriority w:val="99"/>
    <w:pPr>
      <w:spacing w:after="120" w:line="480" w:lineRule="auto"/>
    </w:pPr>
  </w:style>
  <w:style w:type="paragraph" w:styleId="3">
    <w:name w:val="Body Text"/>
    <w:basedOn w:val="1"/>
    <w:next w:val="4"/>
    <w:link w:val="16"/>
    <w:qFormat/>
    <w:uiPriority w:val="0"/>
    <w:rPr>
      <w:rFonts w:ascii="仿宋_GB2312" w:eastAsia="仿宋_GB2312"/>
      <w:sz w:val="30"/>
      <w:szCs w:val="30"/>
    </w:rPr>
  </w:style>
  <w:style w:type="paragraph" w:styleId="4">
    <w:name w:val="toc 5"/>
    <w:basedOn w:val="1"/>
    <w:next w:val="1"/>
    <w:qFormat/>
    <w:uiPriority w:val="0"/>
    <w:pPr>
      <w:ind w:left="1680" w:leftChars="800"/>
    </w:pPr>
  </w:style>
  <w:style w:type="paragraph" w:styleId="5">
    <w:name w:val="Balloon Text"/>
    <w:basedOn w:val="1"/>
    <w:link w:val="17"/>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8">
    <w:name w:val="HTML Preformatted"/>
    <w:basedOn w:val="1"/>
    <w:link w:val="15"/>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9">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customStyle="1" w:styleId="12">
    <w:name w:val="正文首行缩进 21"/>
    <w:basedOn w:val="1"/>
    <w:qFormat/>
    <w:uiPriority w:val="0"/>
    <w:pPr>
      <w:ind w:left="420" w:leftChars="200" w:firstLine="210"/>
    </w:pPr>
    <w:rPr>
      <w:rFonts w:ascii="Calibri" w:hAnsi="Calibri" w:cs="Calibri"/>
      <w:szCs w:val="21"/>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character" w:customStyle="1" w:styleId="15">
    <w:name w:val="HTML 预设格式 Char"/>
    <w:basedOn w:val="10"/>
    <w:link w:val="8"/>
    <w:qFormat/>
    <w:uiPriority w:val="99"/>
    <w:rPr>
      <w:rFonts w:ascii="Courier New" w:hAnsi="Courier New" w:eastAsia="宋体" w:cs="Times New Roman"/>
      <w:kern w:val="0"/>
      <w:sz w:val="20"/>
      <w:szCs w:val="20"/>
    </w:rPr>
  </w:style>
  <w:style w:type="character" w:customStyle="1" w:styleId="16">
    <w:name w:val="正文文本 Char"/>
    <w:basedOn w:val="10"/>
    <w:link w:val="3"/>
    <w:qFormat/>
    <w:uiPriority w:val="0"/>
    <w:rPr>
      <w:rFonts w:ascii="仿宋_GB2312" w:hAnsi="Times New Roman" w:eastAsia="仿宋_GB2312" w:cs="Times New Roman"/>
      <w:sz w:val="30"/>
      <w:szCs w:val="30"/>
    </w:rPr>
  </w:style>
  <w:style w:type="character" w:customStyle="1" w:styleId="17">
    <w:name w:val="批注框文本 Char"/>
    <w:basedOn w:val="10"/>
    <w:link w:val="5"/>
    <w:semiHidden/>
    <w:qFormat/>
    <w:uiPriority w:val="99"/>
    <w:rPr>
      <w:rFonts w:ascii="Times New Roman" w:hAnsi="Times New Roman"/>
      <w:kern w:val="2"/>
      <w:sz w:val="18"/>
      <w:szCs w:val="18"/>
    </w:rPr>
  </w:style>
  <w:style w:type="paragraph" w:styleId="18">
    <w:name w:val="List Paragraph"/>
    <w:basedOn w:val="1"/>
    <w:qFormat/>
    <w:uiPriority w:val="34"/>
    <w:pPr>
      <w:ind w:firstLine="420" w:firstLineChars="200"/>
    </w:pPr>
    <w:rPr>
      <w:rFonts w:asciiTheme="minorHAnsi" w:hAnsiTheme="minorHAnsi" w:eastAsiaTheme="minorEastAsia" w:cstheme="minorBidi"/>
      <w:szCs w:val="22"/>
    </w:rPr>
  </w:style>
  <w:style w:type="paragraph" w:customStyle="1" w:styleId="19">
    <w:name w:val="默认段落字体 Para Char Char Char Char Char Char Char"/>
    <w:basedOn w:val="1"/>
    <w:qFormat/>
    <w:uiPriority w:val="0"/>
    <w:rPr>
      <w:szCs w:val="20"/>
    </w:rPr>
  </w:style>
  <w:style w:type="character" w:customStyle="1" w:styleId="20">
    <w:name w:val="正文文本 2 Char"/>
    <w:basedOn w:val="10"/>
    <w:link w:val="2"/>
    <w:qFormat/>
    <w:uiPriority w:val="99"/>
    <w:rPr>
      <w:rFonts w:ascii="Times New Roman" w:hAnsi="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DC5B3B-518B-4BBC-91B0-43C8D535FBA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18</Pages>
  <Words>5596</Words>
  <Characters>6494</Characters>
  <Lines>50</Lines>
  <Paragraphs>14</Paragraphs>
  <TotalTime>7</TotalTime>
  <ScaleCrop>false</ScaleCrop>
  <LinksUpToDate>false</LinksUpToDate>
  <CharactersWithSpaces>6509</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2021-01-06T12:33:00Z</dcterms:created>
  <dc:creator>Administrator</dc:creator>
  <cp:lastModifiedBy>姚亮</cp:lastModifiedBy>
  <cp:lastPrinted>2022-04-13T01:50:00Z</cp:lastPrinted>
  <dcterms:modified xsi:type="dcterms:W3CDTF">2023-02-22T08:43:25Z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