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outlineLvl w:val="1"/>
        <w:rPr>
          <w:rFonts w:ascii="方正大标宋简体" w:hAnsi="仿宋_GB2312" w:eastAsia="方正大标宋简体" w:cs="仿宋_GB2312"/>
          <w:color w:val="000000" w:themeColor="text1"/>
          <w:sz w:val="44"/>
          <w:szCs w:val="44"/>
          <w:lang w:eastAsia="zh-CN"/>
        </w:rPr>
      </w:pPr>
      <w:r>
        <w:rPr>
          <w:rFonts w:hint="eastAsia" w:ascii="方正大标宋简体" w:hAnsi="仿宋_GB2312" w:eastAsia="方正大标宋简体" w:cs="仿宋_GB2312"/>
          <w:color w:val="000000" w:themeColor="text1"/>
          <w:sz w:val="44"/>
          <w:szCs w:val="44"/>
          <w:lang w:val="en-US" w:eastAsia="zh-CN"/>
        </w:rPr>
        <w:t>鹰潭</w:t>
      </w:r>
      <w:r>
        <w:rPr>
          <w:rFonts w:hint="eastAsia" w:ascii="方正大标宋简体" w:hAnsi="仿宋_GB2312" w:eastAsia="方正大标宋简体" w:cs="仿宋_GB2312"/>
          <w:color w:val="000000" w:themeColor="text1"/>
          <w:sz w:val="44"/>
          <w:szCs w:val="44"/>
          <w:lang w:eastAsia="zh-CN"/>
        </w:rPr>
        <w:t xml:space="preserve">农村商业银行股份有限公司 </w:t>
      </w:r>
      <w:r>
        <w:rPr>
          <w:rFonts w:ascii="方正大标宋简体" w:hAnsi="仿宋_GB2312" w:eastAsia="方正大标宋简体" w:cs="仿宋_GB2312"/>
          <w:color w:val="000000" w:themeColor="text1"/>
          <w:sz w:val="44"/>
          <w:szCs w:val="44"/>
          <w:lang w:eastAsia="zh-CN"/>
        </w:rPr>
        <w:t xml:space="preserve">        </w:t>
      </w:r>
      <w:r>
        <w:rPr>
          <w:rFonts w:hint="eastAsia" w:ascii="方正大标宋简体" w:hAnsi="仿宋_GB2312" w:eastAsia="方正大标宋简体" w:cs="仿宋_GB2312"/>
          <w:color w:val="000000" w:themeColor="text1"/>
          <w:sz w:val="44"/>
          <w:szCs w:val="44"/>
          <w:lang w:eastAsia="zh-CN"/>
        </w:rPr>
        <w:t>202</w:t>
      </w:r>
      <w:r>
        <w:rPr>
          <w:rFonts w:ascii="方正大标宋简体" w:hAnsi="仿宋_GB2312" w:eastAsia="方正大标宋简体" w:cs="仿宋_GB2312"/>
          <w:color w:val="000000" w:themeColor="text1"/>
          <w:sz w:val="44"/>
          <w:szCs w:val="44"/>
          <w:lang w:eastAsia="zh-CN"/>
        </w:rPr>
        <w:t>5</w:t>
      </w:r>
      <w:r>
        <w:rPr>
          <w:rFonts w:hint="eastAsia" w:ascii="方正大标宋简体" w:hAnsi="仿宋_GB2312" w:eastAsia="方正大标宋简体" w:cs="仿宋_GB2312"/>
          <w:color w:val="000000" w:themeColor="text1"/>
          <w:sz w:val="44"/>
          <w:szCs w:val="44"/>
          <w:lang w:eastAsia="zh-CN"/>
        </w:rPr>
        <w:t>年一季度第三支柱信息披露报告</w:t>
      </w:r>
    </w:p>
    <w:p>
      <w:pPr>
        <w:snapToGrid w:val="0"/>
        <w:spacing w:line="520" w:lineRule="exact"/>
        <w:ind w:firstLine="600" w:firstLineChars="200"/>
        <w:outlineLvl w:val="1"/>
        <w:rPr>
          <w:rFonts w:ascii="仿宋_GB2312" w:hAnsi="仿宋_GB2312" w:eastAsia="仿宋_GB2312" w:cs="仿宋_GB2312"/>
          <w:color w:val="000000" w:themeColor="text1"/>
          <w:sz w:val="30"/>
          <w:szCs w:val="30"/>
          <w:lang w:eastAsia="zh-CN"/>
        </w:rPr>
      </w:pPr>
    </w:p>
    <w:p>
      <w:pPr>
        <w:snapToGrid w:val="0"/>
        <w:spacing w:line="520" w:lineRule="exact"/>
        <w:ind w:firstLine="640" w:firstLineChars="200"/>
        <w:outlineLvl w:val="1"/>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鹰潭</w:t>
      </w:r>
      <w:r>
        <w:rPr>
          <w:rFonts w:hint="eastAsia" w:ascii="仿宋_GB2312" w:hAnsi="仿宋_GB2312" w:eastAsia="仿宋_GB2312" w:cs="仿宋_GB2312"/>
          <w:color w:val="000000" w:themeColor="text1"/>
          <w:sz w:val="32"/>
          <w:szCs w:val="32"/>
          <w:lang w:eastAsia="zh-CN"/>
        </w:rPr>
        <w:t>农商银行为非国内系统重要性银行，本报告根据《商业银行资本管理办法》（国家金融监督管理总局令2</w:t>
      </w:r>
      <w:r>
        <w:rPr>
          <w:rFonts w:ascii="仿宋_GB2312" w:hAnsi="仿宋_GB2312" w:eastAsia="仿宋_GB2312" w:cs="仿宋_GB2312"/>
          <w:color w:val="000000" w:themeColor="text1"/>
          <w:sz w:val="32"/>
          <w:szCs w:val="32"/>
          <w:lang w:eastAsia="zh-CN"/>
        </w:rPr>
        <w:t>023</w:t>
      </w:r>
      <w:r>
        <w:rPr>
          <w:rFonts w:hint="eastAsia" w:ascii="仿宋_GB2312" w:hAnsi="仿宋_GB2312" w:eastAsia="仿宋_GB2312" w:cs="仿宋_GB2312"/>
          <w:color w:val="000000" w:themeColor="text1"/>
          <w:sz w:val="32"/>
          <w:szCs w:val="32"/>
          <w:lang w:eastAsia="zh-CN"/>
        </w:rPr>
        <w:t>年第4号）相关规定编制。现将2</w:t>
      </w:r>
      <w:r>
        <w:rPr>
          <w:rFonts w:ascii="仿宋_GB2312" w:hAnsi="仿宋_GB2312" w:eastAsia="仿宋_GB2312" w:cs="仿宋_GB2312"/>
          <w:color w:val="000000" w:themeColor="text1"/>
          <w:sz w:val="32"/>
          <w:szCs w:val="32"/>
          <w:lang w:eastAsia="zh-CN"/>
        </w:rPr>
        <w:t>025</w:t>
      </w:r>
      <w:r>
        <w:rPr>
          <w:rFonts w:hint="eastAsia" w:ascii="仿宋_GB2312" w:hAnsi="仿宋_GB2312" w:eastAsia="仿宋_GB2312" w:cs="仿宋_GB2312"/>
          <w:color w:val="000000" w:themeColor="text1"/>
          <w:sz w:val="32"/>
          <w:szCs w:val="32"/>
          <w:lang w:eastAsia="zh-CN"/>
        </w:rPr>
        <w:t>年一季度需披露的报表K</w:t>
      </w:r>
      <w:r>
        <w:rPr>
          <w:rFonts w:ascii="仿宋_GB2312" w:hAnsi="仿宋_GB2312" w:eastAsia="仿宋_GB2312" w:cs="仿宋_GB2312"/>
          <w:color w:val="000000" w:themeColor="text1"/>
          <w:sz w:val="32"/>
          <w:szCs w:val="32"/>
          <w:lang w:eastAsia="zh-CN"/>
        </w:rPr>
        <w:t>M1</w:t>
      </w:r>
      <w:r>
        <w:rPr>
          <w:rFonts w:hint="eastAsia" w:ascii="仿宋_GB2312" w:hAnsi="仿宋_GB2312" w:eastAsia="仿宋_GB2312" w:cs="仿宋_GB2312"/>
          <w:color w:val="000000" w:themeColor="text1"/>
          <w:sz w:val="32"/>
          <w:szCs w:val="32"/>
          <w:lang w:eastAsia="zh-CN"/>
        </w:rPr>
        <w:t>监管并表关键审慎监管指标表公布如下：</w:t>
      </w:r>
    </w:p>
    <w:p>
      <w:pPr>
        <w:snapToGrid w:val="0"/>
        <w:spacing w:line="520" w:lineRule="exact"/>
        <w:ind w:firstLine="1928" w:firstLineChars="600"/>
        <w:outlineLvl w:val="1"/>
        <w:rPr>
          <w:rFonts w:ascii="仿宋_GB2312" w:hAnsi="仿宋_GB2312" w:eastAsia="仿宋_GB2312" w:cs="仿宋_GB2312"/>
          <w:b/>
          <w:color w:val="000000" w:themeColor="text1"/>
          <w:sz w:val="32"/>
          <w:szCs w:val="32"/>
          <w:lang w:eastAsia="zh-CN"/>
        </w:rPr>
      </w:pPr>
      <w:r>
        <w:rPr>
          <w:rFonts w:ascii="仿宋_GB2312" w:hAnsi="仿宋_GB2312" w:eastAsia="仿宋_GB2312" w:cs="仿宋_GB2312"/>
          <w:b/>
          <w:color w:val="000000" w:themeColor="text1"/>
          <w:sz w:val="32"/>
          <w:szCs w:val="32"/>
          <w:lang w:eastAsia="zh-CN"/>
        </w:rPr>
        <w:t>KM1：</w:t>
      </w:r>
      <w:r>
        <w:rPr>
          <w:rFonts w:hint="eastAsia" w:ascii="仿宋_GB2312" w:hAnsi="仿宋_GB2312" w:eastAsia="仿宋_GB2312" w:cs="仿宋_GB2312"/>
          <w:b/>
          <w:color w:val="000000" w:themeColor="text1"/>
          <w:sz w:val="32"/>
          <w:szCs w:val="32"/>
          <w:lang w:eastAsia="zh-CN"/>
        </w:rPr>
        <w:t>监管并表关键审慎监管指标</w:t>
      </w:r>
    </w:p>
    <w:p>
      <w:pPr>
        <w:snapToGrid w:val="0"/>
        <w:spacing w:line="440" w:lineRule="exact"/>
        <w:outlineLvl w:val="1"/>
        <w:rPr>
          <w:rFonts w:ascii="仿宋_GB2312" w:hAnsi="仿宋_GB2312" w:eastAsia="仿宋_GB2312" w:cs="仿宋_GB2312"/>
          <w:color w:val="000000" w:themeColor="text1"/>
          <w:sz w:val="21"/>
          <w:szCs w:val="21"/>
          <w:lang w:eastAsia="zh-CN"/>
        </w:rPr>
      </w:pPr>
      <w:r>
        <w:rPr>
          <w:rFonts w:ascii="仿宋_GB2312" w:hAnsi="仿宋_GB2312" w:eastAsia="仿宋_GB2312" w:cs="仿宋_GB2312"/>
          <w:color w:val="000000" w:themeColor="text1"/>
          <w:sz w:val="30"/>
          <w:szCs w:val="30"/>
          <w:lang w:eastAsia="zh-CN"/>
        </w:rPr>
        <w:t xml:space="preserve">                                               </w:t>
      </w:r>
      <w:r>
        <w:rPr>
          <w:rFonts w:ascii="仿宋_GB2312" w:hAnsi="仿宋_GB2312" w:eastAsia="仿宋_GB2312" w:cs="仿宋_GB2312"/>
          <w:color w:val="000000" w:themeColor="text1"/>
          <w:lang w:eastAsia="zh-CN"/>
        </w:rPr>
        <w:t xml:space="preserve"> </w:t>
      </w:r>
      <w:r>
        <w:rPr>
          <w:rFonts w:hint="eastAsia" w:ascii="仿宋_GB2312" w:hAnsi="仿宋_GB2312" w:eastAsia="仿宋_GB2312" w:cs="仿宋_GB2312"/>
          <w:color w:val="000000" w:themeColor="text1"/>
          <w:sz w:val="21"/>
          <w:szCs w:val="21"/>
          <w:lang w:eastAsia="zh-CN"/>
        </w:rPr>
        <w:t>单位：人民币万元</w:t>
      </w:r>
    </w:p>
    <w:tbl>
      <w:tblPr>
        <w:tblStyle w:val="6"/>
        <w:tblW w:w="90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95"/>
        <w:gridCol w:w="1524"/>
        <w:gridCol w:w="1412"/>
        <w:gridCol w:w="1412"/>
        <w:gridCol w:w="1412"/>
        <w:gridCol w:w="1413"/>
        <w:gridCol w:w="12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2119" w:type="dxa"/>
            <w:gridSpan w:val="2"/>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时间</w:t>
            </w:r>
          </w:p>
        </w:tc>
        <w:tc>
          <w:tcPr>
            <w:tcW w:w="1412" w:type="dxa"/>
            <w:tcBorders>
              <w:tl2br w:val="nil"/>
              <w:tr2bl w:val="nil"/>
            </w:tcBorders>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2</w:t>
            </w:r>
            <w:r>
              <w:rPr>
                <w:rFonts w:ascii="仿宋_GB2312" w:hAnsi="等线" w:eastAsia="仿宋_GB2312" w:cs="宋体"/>
                <w:color w:val="000000"/>
                <w:sz w:val="18"/>
                <w:szCs w:val="18"/>
                <w:lang w:eastAsia="zh-CN"/>
              </w:rPr>
              <w:t>025</w:t>
            </w:r>
            <w:r>
              <w:rPr>
                <w:rFonts w:hint="eastAsia" w:ascii="仿宋_GB2312" w:hAnsi="等线" w:eastAsia="仿宋_GB2312" w:cs="宋体"/>
                <w:color w:val="000000"/>
                <w:sz w:val="18"/>
                <w:szCs w:val="18"/>
                <w:lang w:eastAsia="zh-CN"/>
              </w:rPr>
              <w:t>年3月</w:t>
            </w:r>
          </w:p>
        </w:tc>
        <w:tc>
          <w:tcPr>
            <w:tcW w:w="1412" w:type="dxa"/>
            <w:tcBorders>
              <w:tl2br w:val="nil"/>
              <w:tr2bl w:val="nil"/>
            </w:tcBorders>
            <w:shd w:val="clear" w:color="auto" w:fill="auto"/>
            <w:vAlign w:val="center"/>
          </w:tcPr>
          <w:p>
            <w:pPr>
              <w:spacing w:line="240" w:lineRule="exact"/>
              <w:jc w:val="righ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2024年12月</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2024年9月</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2024年6月</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2024年3月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可用资本（数额）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核心一级资本净额</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233,741.34</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233</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192.36</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223</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762.78</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221</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702.8</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221</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896.49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2</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一级资本净额</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233,741.34</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233</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192.36</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223</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762.78</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221</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702.8</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221</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896.49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3</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资本净额</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259,425.35</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258</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219.86</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248</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224.08</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245</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232.44</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245</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283.84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风险加权资产（数额）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4</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风险加权资产</w:t>
            </w:r>
          </w:p>
        </w:tc>
        <w:tc>
          <w:tcPr>
            <w:tcW w:w="1412" w:type="dxa"/>
            <w:tcBorders>
              <w:tl2br w:val="nil"/>
              <w:tr2bl w:val="nil"/>
            </w:tcBorders>
            <w:vAlign w:val="center"/>
          </w:tcPr>
          <w:p>
            <w:pPr>
              <w:jc w:val="center"/>
              <w:rPr>
                <w:rFonts w:hint="eastAsia" w:ascii="仿宋_GB2312" w:hAnsi="等线" w:eastAsia="仿宋_GB2312" w:cs="宋体"/>
                <w:color w:val="000000"/>
                <w:sz w:val="21"/>
                <w:szCs w:val="21"/>
                <w:lang w:val="en-US" w:eastAsia="zh-CN"/>
              </w:rPr>
            </w:pPr>
            <w:r>
              <w:rPr>
                <w:rFonts w:hint="default" w:ascii="仿宋_GB2312" w:hAnsi="等线" w:eastAsia="仿宋_GB2312" w:cs="宋体"/>
                <w:color w:val="000000"/>
                <w:sz w:val="21"/>
                <w:szCs w:val="21"/>
                <w:lang w:val="en-US" w:eastAsia="zh-CN"/>
              </w:rPr>
              <w:t>2,239,654.78</w:t>
            </w:r>
          </w:p>
        </w:tc>
        <w:tc>
          <w:tcPr>
            <w:tcW w:w="1412" w:type="dxa"/>
            <w:tcBorders>
              <w:tl2br w:val="nil"/>
              <w:tr2bl w:val="nil"/>
            </w:tcBorders>
            <w:shd w:val="clear" w:color="auto" w:fill="auto"/>
            <w:vAlign w:val="center"/>
          </w:tcPr>
          <w:p>
            <w:pPr>
              <w:jc w:val="center"/>
              <w:rPr>
                <w:rFonts w:hint="default" w:ascii="仿宋_GB2312" w:hAnsi="等线" w:eastAsia="仿宋_GB2312" w:cs="宋体"/>
                <w:color w:val="000000"/>
                <w:sz w:val="21"/>
                <w:szCs w:val="21"/>
                <w:lang w:val="en-US" w:eastAsia="zh-CN"/>
              </w:rPr>
            </w:pPr>
            <w:r>
              <w:rPr>
                <w:rFonts w:hint="eastAsia" w:ascii="仿宋_GB2312" w:hAnsi="等线" w:eastAsia="仿宋_GB2312" w:cs="宋体"/>
                <w:color w:val="000000"/>
                <w:sz w:val="21"/>
                <w:szCs w:val="21"/>
                <w:lang w:val="en-US" w:eastAsia="zh-CN"/>
              </w:rPr>
              <w:t>2,186,477.50</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133</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003.17</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057</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538.98</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046</w:t>
            </w:r>
            <w:r>
              <w:rPr>
                <w:rFonts w:hint="eastAsia" w:ascii="仿宋_GB2312" w:hAnsi="等线" w:eastAsia="仿宋_GB2312" w:cs="宋体"/>
                <w:color w:val="000000"/>
                <w:sz w:val="21"/>
                <w:szCs w:val="21"/>
                <w:lang w:val="en-US" w:eastAsia="zh-CN"/>
              </w:rPr>
              <w:t>,</w:t>
            </w:r>
            <w:r>
              <w:rPr>
                <w:rFonts w:hint="eastAsia" w:ascii="仿宋_GB2312" w:hAnsi="等线" w:eastAsia="仿宋_GB2312" w:cs="宋体"/>
                <w:color w:val="000000"/>
                <w:sz w:val="21"/>
                <w:szCs w:val="21"/>
                <w:lang w:eastAsia="zh-CN"/>
              </w:rPr>
              <w:t>013.24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资本充足率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5</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核心一级资本充足率（%）</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10.44%</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10.67</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10.49</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10.7</w:t>
            </w:r>
            <w:r>
              <w:rPr>
                <w:rFonts w:hint="eastAsia" w:ascii="仿宋_GB2312" w:hAnsi="等线" w:eastAsia="仿宋_GB2312" w:cs="宋体"/>
                <w:color w:val="000000"/>
                <w:sz w:val="21"/>
                <w:szCs w:val="21"/>
                <w:lang w:val="en-US" w:eastAsia="zh-CN"/>
              </w:rPr>
              <w:t>8</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10.8</w:t>
            </w:r>
            <w:r>
              <w:rPr>
                <w:rFonts w:hint="eastAsia" w:ascii="仿宋_GB2312" w:hAnsi="等线" w:eastAsia="仿宋_GB2312" w:cs="宋体"/>
                <w:color w:val="000000"/>
                <w:sz w:val="21"/>
                <w:szCs w:val="21"/>
                <w:lang w:val="en-US" w:eastAsia="zh-CN"/>
              </w:rPr>
              <w:t>5</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6</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一级资本充足率（%）</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10.44%</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10.67</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10.49</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10.7</w:t>
            </w:r>
            <w:r>
              <w:rPr>
                <w:rFonts w:hint="eastAsia" w:ascii="仿宋_GB2312" w:hAnsi="等线" w:eastAsia="仿宋_GB2312" w:cs="宋体"/>
                <w:color w:val="000000"/>
                <w:sz w:val="21"/>
                <w:szCs w:val="21"/>
                <w:lang w:val="en-US" w:eastAsia="zh-CN"/>
              </w:rPr>
              <w:t>8</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10.8</w:t>
            </w:r>
            <w:r>
              <w:rPr>
                <w:rFonts w:hint="eastAsia" w:ascii="仿宋_GB2312" w:hAnsi="等线" w:eastAsia="仿宋_GB2312" w:cs="宋体"/>
                <w:color w:val="000000"/>
                <w:sz w:val="21"/>
                <w:szCs w:val="21"/>
                <w:lang w:val="en-US" w:eastAsia="zh-CN"/>
              </w:rPr>
              <w:t>5</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7</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资本充足率（%）</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11.58%</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11.8</w:t>
            </w:r>
            <w:r>
              <w:rPr>
                <w:rFonts w:hint="eastAsia" w:ascii="仿宋_GB2312" w:hAnsi="等线" w:eastAsia="仿宋_GB2312" w:cs="宋体"/>
                <w:color w:val="000000"/>
                <w:sz w:val="21"/>
                <w:szCs w:val="21"/>
                <w:lang w:val="en-US" w:eastAsia="zh-CN"/>
              </w:rPr>
              <w:t>1</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11.6</w:t>
            </w:r>
            <w:r>
              <w:rPr>
                <w:rFonts w:hint="eastAsia" w:ascii="仿宋_GB2312" w:hAnsi="等线" w:eastAsia="仿宋_GB2312" w:cs="宋体"/>
                <w:color w:val="000000"/>
                <w:sz w:val="21"/>
                <w:szCs w:val="21"/>
                <w:lang w:val="en-US" w:eastAsia="zh-CN"/>
              </w:rPr>
              <w:t>4</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11.9</w:t>
            </w:r>
            <w:r>
              <w:rPr>
                <w:rFonts w:hint="eastAsia" w:ascii="仿宋_GB2312" w:hAnsi="等线" w:eastAsia="仿宋_GB2312" w:cs="宋体"/>
                <w:color w:val="000000"/>
                <w:sz w:val="21"/>
                <w:szCs w:val="21"/>
                <w:lang w:val="en-US" w:eastAsia="zh-CN"/>
              </w:rPr>
              <w:t>2</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11.9</w:t>
            </w:r>
            <w:r>
              <w:rPr>
                <w:rFonts w:hint="eastAsia" w:ascii="仿宋_GB2312" w:hAnsi="等线" w:eastAsia="仿宋_GB2312" w:cs="宋体"/>
                <w:color w:val="000000"/>
                <w:sz w:val="21"/>
                <w:szCs w:val="21"/>
                <w:lang w:val="en-US" w:eastAsia="zh-CN"/>
              </w:rPr>
              <w:t>9</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其他各级资本要求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8</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储备资本要求（%）</w:t>
            </w:r>
          </w:p>
        </w:tc>
        <w:tc>
          <w:tcPr>
            <w:tcW w:w="1412" w:type="dxa"/>
            <w:tcBorders>
              <w:tl2br w:val="nil"/>
              <w:tr2bl w:val="nil"/>
            </w:tcBorders>
            <w:vAlign w:val="center"/>
          </w:tcPr>
          <w:p>
            <w:pPr>
              <w:keepNext w:val="0"/>
              <w:keepLines w:val="0"/>
              <w:widowControl/>
              <w:suppressLineNumbers w:val="0"/>
              <w:jc w:val="center"/>
              <w:textAlignment w:val="center"/>
              <w:rPr>
                <w:rFonts w:ascii="仿宋_GB2312" w:hAnsi="等线" w:eastAsia="仿宋_GB2312" w:cs="宋体"/>
                <w:color w:val="000000"/>
                <w:sz w:val="18"/>
                <w:szCs w:val="18"/>
                <w:lang w:eastAsia="zh-CN"/>
              </w:rPr>
            </w:pPr>
            <w:r>
              <w:rPr>
                <w:rFonts w:hint="default" w:ascii="仿宋_GB2312" w:hAnsi="宋体" w:eastAsia="仿宋_GB2312" w:cs="仿宋_GB2312"/>
                <w:i w:val="0"/>
                <w:color w:val="000000"/>
                <w:kern w:val="0"/>
                <w:sz w:val="21"/>
                <w:szCs w:val="21"/>
                <w:u w:val="none"/>
                <w:lang w:val="en-US" w:eastAsia="zh-CN" w:bidi="ar"/>
              </w:rPr>
              <w:t>2.50%</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9</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逆周期资本要求（%）</w:t>
            </w:r>
          </w:p>
        </w:tc>
        <w:tc>
          <w:tcPr>
            <w:tcW w:w="1412" w:type="dxa"/>
            <w:tcBorders>
              <w:tl2br w:val="nil"/>
              <w:tr2bl w:val="nil"/>
            </w:tcBorders>
            <w:vAlign w:val="center"/>
          </w:tcPr>
          <w:p>
            <w:pPr>
              <w:keepNext w:val="0"/>
              <w:keepLines w:val="0"/>
              <w:widowControl/>
              <w:suppressLineNumbers w:val="0"/>
              <w:jc w:val="center"/>
              <w:textAlignment w:val="center"/>
              <w:rPr>
                <w:rFonts w:ascii="仿宋_GB2312" w:hAnsi="等线" w:eastAsia="仿宋_GB2312" w:cs="宋体"/>
                <w:color w:val="000000"/>
                <w:sz w:val="18"/>
                <w:szCs w:val="18"/>
                <w:lang w:eastAsia="zh-CN"/>
              </w:rPr>
            </w:pPr>
            <w:r>
              <w:rPr>
                <w:rFonts w:hint="default" w:ascii="仿宋_GB2312" w:hAnsi="宋体" w:eastAsia="仿宋_GB2312" w:cs="仿宋_GB2312"/>
                <w:i w:val="0"/>
                <w:color w:val="000000"/>
                <w:kern w:val="0"/>
                <w:sz w:val="18"/>
                <w:szCs w:val="18"/>
                <w:u w:val="none"/>
                <w:lang w:val="en-US" w:eastAsia="zh-CN" w:bidi="ar"/>
              </w:rPr>
              <w:t>0</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0</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0</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0</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71"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olor w:val="000000"/>
                <w:sz w:val="21"/>
                <w:szCs w:val="21"/>
                <w:lang w:eastAsia="zh-CN"/>
              </w:rPr>
            </w:pPr>
            <w:r>
              <w:rPr>
                <w:rFonts w:hint="eastAsia" w:ascii="仿宋_GB2312" w:hAnsi="等线" w:eastAsia="仿宋_GB2312"/>
                <w:color w:val="000000"/>
                <w:sz w:val="21"/>
                <w:szCs w:val="21"/>
              </w:rPr>
              <w:t>10</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全球系统重要性银行或国内系统重要性银行附加资本要求（%）</w:t>
            </w:r>
          </w:p>
        </w:tc>
        <w:tc>
          <w:tcPr>
            <w:tcW w:w="1412" w:type="dxa"/>
            <w:tcBorders>
              <w:tl2br w:val="nil"/>
              <w:tr2bl w:val="nil"/>
            </w:tcBorders>
            <w:shd w:val="clear" w:color="auto" w:fill="BEBEBE" w:themeFill="background1" w:themeFillShade="BF"/>
            <w:vAlign w:val="center"/>
          </w:tcPr>
          <w:p>
            <w:pPr>
              <w:jc w:val="center"/>
              <w:rPr>
                <w:rFonts w:ascii="仿宋_GB2312" w:hAnsi="等线" w:eastAsia="仿宋_GB2312"/>
                <w:color w:val="000000"/>
                <w:sz w:val="18"/>
                <w:szCs w:val="18"/>
                <w:highlight w:val="lightGray"/>
                <w:lang w:eastAsia="zh-CN"/>
              </w:rPr>
            </w:pPr>
          </w:p>
        </w:tc>
        <w:tc>
          <w:tcPr>
            <w:tcW w:w="1412" w:type="dxa"/>
            <w:tcBorders>
              <w:tl2br w:val="nil"/>
              <w:tr2bl w:val="nil"/>
            </w:tcBorders>
            <w:shd w:val="clear" w:color="000000" w:fill="BFBFBF"/>
            <w:vAlign w:val="center"/>
          </w:tcPr>
          <w:p>
            <w:pPr>
              <w:spacing w:line="240" w:lineRule="exact"/>
              <w:jc w:val="center"/>
              <w:rPr>
                <w:rFonts w:ascii="仿宋_GB2312" w:hAnsi="等线" w:eastAsia="仿宋_GB2312"/>
                <w:color w:val="000000"/>
                <w:sz w:val="18"/>
                <w:szCs w:val="18"/>
                <w:highlight w:val="lightGray"/>
                <w:lang w:eastAsia="zh-CN"/>
              </w:rPr>
            </w:pPr>
            <w:r>
              <w:rPr>
                <w:rFonts w:hint="eastAsia" w:ascii="仿宋_GB2312" w:hAnsi="等线" w:eastAsia="仿宋_GB2312"/>
                <w:color w:val="000000"/>
                <w:sz w:val="18"/>
                <w:szCs w:val="18"/>
                <w:highlight w:val="lightGray"/>
                <w:lang w:eastAsia="zh-CN"/>
              </w:rPr>
              <w:t>　</w:t>
            </w:r>
          </w:p>
        </w:tc>
        <w:tc>
          <w:tcPr>
            <w:tcW w:w="1412" w:type="dxa"/>
            <w:tcBorders>
              <w:tl2br w:val="nil"/>
              <w:tr2bl w:val="nil"/>
            </w:tcBorders>
            <w:shd w:val="clear" w:color="000000" w:fill="BFBFBF"/>
            <w:vAlign w:val="center"/>
          </w:tcPr>
          <w:p>
            <w:pPr>
              <w:spacing w:line="240" w:lineRule="exact"/>
              <w:jc w:val="center"/>
              <w:rPr>
                <w:rFonts w:ascii="仿宋_GB2312" w:hAnsi="等线" w:eastAsia="仿宋_GB2312"/>
                <w:color w:val="000000"/>
                <w:sz w:val="18"/>
                <w:szCs w:val="18"/>
                <w:lang w:eastAsia="zh-CN"/>
              </w:rPr>
            </w:pPr>
            <w:r>
              <w:rPr>
                <w:rFonts w:hint="eastAsia" w:ascii="仿宋_GB2312" w:hAnsi="等线" w:eastAsia="仿宋_GB2312"/>
                <w:color w:val="000000"/>
                <w:sz w:val="18"/>
                <w:szCs w:val="18"/>
                <w:lang w:eastAsia="zh-CN"/>
              </w:rPr>
              <w:t>　</w:t>
            </w:r>
          </w:p>
        </w:tc>
        <w:tc>
          <w:tcPr>
            <w:tcW w:w="1413" w:type="dxa"/>
            <w:tcBorders>
              <w:tl2br w:val="nil"/>
              <w:tr2bl w:val="nil"/>
            </w:tcBorders>
            <w:shd w:val="clear" w:color="000000" w:fill="BEBEBE"/>
            <w:vAlign w:val="center"/>
          </w:tcPr>
          <w:p>
            <w:pPr>
              <w:spacing w:line="240" w:lineRule="exact"/>
              <w:jc w:val="center"/>
              <w:rPr>
                <w:rFonts w:ascii="仿宋_GB2312" w:hAnsi="等线" w:eastAsia="仿宋_GB2312"/>
                <w:color w:val="000000"/>
                <w:sz w:val="18"/>
                <w:szCs w:val="18"/>
                <w:lang w:eastAsia="zh-CN"/>
              </w:rPr>
            </w:pPr>
            <w:r>
              <w:rPr>
                <w:rFonts w:hint="eastAsia" w:ascii="仿宋_GB2312" w:hAnsi="等线" w:eastAsia="仿宋_GB2312"/>
                <w:color w:val="000000"/>
                <w:sz w:val="18"/>
                <w:szCs w:val="18"/>
                <w:lang w:eastAsia="zh-CN"/>
              </w:rPr>
              <w:t>　</w:t>
            </w:r>
          </w:p>
        </w:tc>
        <w:tc>
          <w:tcPr>
            <w:tcW w:w="1292" w:type="dxa"/>
            <w:tcBorders>
              <w:tl2br w:val="nil"/>
              <w:tr2bl w:val="nil"/>
            </w:tcBorders>
            <w:shd w:val="clear" w:color="000000" w:fill="BEBEBE"/>
            <w:vAlign w:val="center"/>
          </w:tcPr>
          <w:p>
            <w:pPr>
              <w:spacing w:line="240" w:lineRule="exact"/>
              <w:jc w:val="center"/>
              <w:rPr>
                <w:rFonts w:ascii="仿宋_GB2312" w:hAnsi="等线" w:eastAsia="仿宋_GB2312"/>
                <w:color w:val="000000"/>
                <w:sz w:val="18"/>
                <w:szCs w:val="18"/>
                <w:lang w:eastAsia="zh-CN"/>
              </w:rPr>
            </w:pPr>
            <w:r>
              <w:rPr>
                <w:rFonts w:hint="eastAsia" w:ascii="仿宋_GB2312" w:hAnsi="等线" w:eastAsia="仿宋_GB2312"/>
                <w:color w:val="000000"/>
                <w:sz w:val="18"/>
                <w:szCs w:val="18"/>
                <w:lang w:eastAsia="zh-CN"/>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54"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11</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其他各级资本要求（%）（8+9+10）</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宋体"/>
                <w:color w:val="000000" w:themeColor="text1"/>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2.50%</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2.5</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4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12</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满足最低资本要求后的可用核心一级资本净额占风险加权资产的比例（%）</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宋体"/>
                <w:color w:val="000000" w:themeColor="text1"/>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3.58%</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宋体" w:eastAsia="仿宋_GB2312" w:cs="宋体"/>
                <w:color w:val="000000" w:themeColor="text1"/>
                <w:sz w:val="21"/>
                <w:szCs w:val="21"/>
                <w:lang w:val="en-US" w:eastAsia="zh-CN"/>
              </w:rPr>
              <w:t>3.81</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3.64</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3.92</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3.99</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杠杆率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13</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调整后表内外资产余额</w:t>
            </w:r>
          </w:p>
        </w:tc>
        <w:tc>
          <w:tcPr>
            <w:tcW w:w="1412" w:type="dxa"/>
            <w:tcBorders>
              <w:tl2br w:val="nil"/>
              <w:tr2bl w:val="nil"/>
            </w:tcBorders>
            <w:vAlign w:val="center"/>
          </w:tcPr>
          <w:p>
            <w:pPr>
              <w:jc w:val="center"/>
              <w:rPr>
                <w:rFonts w:hint="eastAsia" w:ascii="仿宋_GB2312" w:hAnsi="等线" w:eastAsia="仿宋_GB2312" w:cs="宋体"/>
                <w:color w:val="000000"/>
                <w:sz w:val="21"/>
                <w:szCs w:val="21"/>
                <w:lang w:val="en-US" w:eastAsia="zh-CN"/>
              </w:rPr>
            </w:pPr>
            <w:r>
              <w:rPr>
                <w:rFonts w:hint="default" w:ascii="仿宋_GB2312" w:hAnsi="等线" w:eastAsia="仿宋_GB2312" w:cs="宋体"/>
                <w:color w:val="000000"/>
                <w:sz w:val="21"/>
                <w:szCs w:val="21"/>
                <w:lang w:val="en-US" w:eastAsia="zh-CN"/>
              </w:rPr>
              <w:t>3,552,318.39</w:t>
            </w:r>
          </w:p>
        </w:tc>
        <w:tc>
          <w:tcPr>
            <w:tcW w:w="1412" w:type="dxa"/>
            <w:tcBorders>
              <w:tl2br w:val="nil"/>
              <w:tr2bl w:val="nil"/>
            </w:tcBorders>
            <w:shd w:val="clear" w:color="auto" w:fill="auto"/>
            <w:vAlign w:val="center"/>
          </w:tcPr>
          <w:p>
            <w:pPr>
              <w:jc w:val="center"/>
              <w:rPr>
                <w:rFonts w:hint="eastAsia" w:ascii="仿宋_GB2312" w:hAnsi="等线" w:eastAsia="仿宋_GB2312" w:cs="宋体"/>
                <w:color w:val="000000"/>
                <w:sz w:val="21"/>
                <w:szCs w:val="21"/>
                <w:lang w:val="en-US" w:eastAsia="zh-CN"/>
              </w:rPr>
            </w:pPr>
            <w:r>
              <w:rPr>
                <w:rFonts w:hint="eastAsia" w:ascii="仿宋_GB2312" w:hAnsi="等线" w:eastAsia="仿宋_GB2312" w:cs="宋体"/>
                <w:color w:val="000000"/>
                <w:sz w:val="21"/>
                <w:szCs w:val="21"/>
                <w:lang w:val="en-US" w:eastAsia="zh-CN"/>
              </w:rPr>
              <w:t>3,528,678.72</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3,598,237.30</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3,509,976.88</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val="en-US" w:eastAsia="zh-CN"/>
              </w:rPr>
              <w:t>3,497,509.34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14</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杠杆率（%）</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6.58%</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6.6</w:t>
            </w:r>
            <w:r>
              <w:rPr>
                <w:rFonts w:hint="eastAsia" w:ascii="仿宋_GB2312" w:hAnsi="等线" w:eastAsia="仿宋_GB2312" w:cs="宋体"/>
                <w:color w:val="000000"/>
                <w:sz w:val="21"/>
                <w:szCs w:val="21"/>
                <w:lang w:val="en-US" w:eastAsia="zh-CN"/>
              </w:rPr>
              <w:t>1</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6.2</w:t>
            </w:r>
            <w:r>
              <w:rPr>
                <w:rFonts w:hint="eastAsia" w:ascii="仿宋_GB2312" w:hAnsi="等线" w:eastAsia="仿宋_GB2312" w:cs="宋体"/>
                <w:color w:val="000000"/>
                <w:sz w:val="21"/>
                <w:szCs w:val="21"/>
                <w:lang w:val="en-US" w:eastAsia="zh-CN"/>
              </w:rPr>
              <w:t>2</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6.3</w:t>
            </w:r>
            <w:r>
              <w:rPr>
                <w:rFonts w:hint="eastAsia" w:ascii="仿宋_GB2312" w:hAnsi="等线" w:eastAsia="仿宋_GB2312" w:cs="宋体"/>
                <w:color w:val="000000"/>
                <w:sz w:val="21"/>
                <w:szCs w:val="21"/>
                <w:lang w:val="en-US" w:eastAsia="zh-CN"/>
              </w:rPr>
              <w:t>2</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6.34</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14a</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杠杆率a（%）</w:t>
            </w:r>
          </w:p>
        </w:tc>
        <w:tc>
          <w:tcPr>
            <w:tcW w:w="1412" w:type="dxa"/>
            <w:tcBorders>
              <w:tl2br w:val="nil"/>
              <w:tr2bl w:val="nil"/>
            </w:tcBorders>
            <w:vAlign w:val="center"/>
          </w:tcPr>
          <w:p>
            <w:pPr>
              <w:keepNext w:val="0"/>
              <w:keepLines w:val="0"/>
              <w:widowControl/>
              <w:suppressLineNumbers w:val="0"/>
              <w:jc w:val="center"/>
              <w:textAlignment w:val="center"/>
              <w:rPr>
                <w:rFonts w:hint="eastAsia" w:ascii="仿宋_GB2312" w:hAnsi="等线" w:eastAsia="仿宋_GB2312" w:cs="宋体"/>
                <w:color w:val="000000"/>
                <w:sz w:val="21"/>
                <w:szCs w:val="21"/>
                <w:lang w:eastAsia="zh-CN"/>
              </w:rPr>
            </w:pPr>
            <w:r>
              <w:rPr>
                <w:rFonts w:hint="default" w:ascii="仿宋_GB2312" w:hAnsi="宋体" w:eastAsia="仿宋_GB2312" w:cs="仿宋_GB2312"/>
                <w:i w:val="0"/>
                <w:color w:val="000000"/>
                <w:kern w:val="0"/>
                <w:sz w:val="21"/>
                <w:szCs w:val="21"/>
                <w:u w:val="none"/>
                <w:lang w:val="en-US" w:eastAsia="zh-CN" w:bidi="ar"/>
              </w:rPr>
              <w:t>6.58%</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6.6</w:t>
            </w:r>
            <w:r>
              <w:rPr>
                <w:rFonts w:hint="eastAsia" w:ascii="仿宋_GB2312" w:hAnsi="等线" w:eastAsia="仿宋_GB2312" w:cs="宋体"/>
                <w:color w:val="000000"/>
                <w:sz w:val="21"/>
                <w:szCs w:val="21"/>
                <w:lang w:val="en-US" w:eastAsia="zh-CN"/>
              </w:rPr>
              <w:t>1</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6.2</w:t>
            </w:r>
            <w:r>
              <w:rPr>
                <w:rFonts w:hint="eastAsia" w:ascii="仿宋_GB2312" w:hAnsi="等线" w:eastAsia="仿宋_GB2312" w:cs="宋体"/>
                <w:color w:val="000000"/>
                <w:sz w:val="21"/>
                <w:szCs w:val="21"/>
                <w:lang w:val="en-US" w:eastAsia="zh-CN"/>
              </w:rPr>
              <w:t>2</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6.3</w:t>
            </w:r>
            <w:r>
              <w:rPr>
                <w:rFonts w:hint="eastAsia" w:ascii="仿宋_GB2312" w:hAnsi="等线" w:eastAsia="仿宋_GB2312" w:cs="宋体"/>
                <w:color w:val="000000"/>
                <w:sz w:val="21"/>
                <w:szCs w:val="21"/>
                <w:lang w:val="en-US" w:eastAsia="zh-CN"/>
              </w:rPr>
              <w:t>2</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auto" w:fill="auto"/>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6.34</w:t>
            </w:r>
            <w:r>
              <w:rPr>
                <w:rFonts w:hint="eastAsia" w:ascii="仿宋_GB2312" w:hAnsi="宋体" w:eastAsia="仿宋_GB2312" w:cs="宋体"/>
                <w:color w:val="000000" w:themeColor="text1"/>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流动性覆盖率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15</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合格优质流动性资产</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16</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现金净流出量</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17</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流动性覆盖率（%）</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9D9D9"/>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净稳定资金比例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18</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可用稳定资金合计</w:t>
            </w:r>
          </w:p>
        </w:tc>
        <w:tc>
          <w:tcPr>
            <w:tcW w:w="1412" w:type="dxa"/>
            <w:tcBorders>
              <w:tl2br w:val="nil"/>
              <w:tr2bl w:val="nil"/>
            </w:tcBorders>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19</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所需稳定资金合计</w:t>
            </w:r>
          </w:p>
        </w:tc>
        <w:tc>
          <w:tcPr>
            <w:tcW w:w="1412" w:type="dxa"/>
            <w:tcBorders>
              <w:tl2br w:val="nil"/>
              <w:tr2bl w:val="nil"/>
            </w:tcBorders>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595"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20</w:t>
            </w:r>
          </w:p>
        </w:tc>
        <w:tc>
          <w:tcPr>
            <w:tcW w:w="1524" w:type="dxa"/>
            <w:tcBorders>
              <w:tl2br w:val="nil"/>
              <w:tr2bl w:val="nil"/>
            </w:tcBorders>
            <w:shd w:val="clear" w:color="auto" w:fill="auto"/>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净稳定资金比例（%）</w:t>
            </w:r>
          </w:p>
        </w:tc>
        <w:tc>
          <w:tcPr>
            <w:tcW w:w="1412" w:type="dxa"/>
            <w:tcBorders>
              <w:tl2br w:val="nil"/>
              <w:tr2bl w:val="nil"/>
            </w:tcBorders>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413"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c>
          <w:tcPr>
            <w:tcW w:w="1292" w:type="dxa"/>
            <w:tcBorders>
              <w:tl2br w:val="nil"/>
              <w:tr2bl w:val="nil"/>
            </w:tcBorders>
            <w:shd w:val="clear" w:color="auto" w:fill="auto"/>
            <w:vAlign w:val="center"/>
          </w:tcPr>
          <w:p>
            <w:pPr>
              <w:spacing w:line="240" w:lineRule="exact"/>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atLeast"/>
        </w:trPr>
        <w:tc>
          <w:tcPr>
            <w:tcW w:w="9060" w:type="dxa"/>
            <w:gridSpan w:val="7"/>
            <w:tcBorders>
              <w:tl2br w:val="nil"/>
              <w:tr2bl w:val="nil"/>
            </w:tcBorders>
            <w:shd w:val="clear" w:color="000000" w:fill="D8D8D8"/>
            <w:vAlign w:val="center"/>
          </w:tcPr>
          <w:p>
            <w:pPr>
              <w:spacing w:line="240" w:lineRule="exact"/>
              <w:jc w:val="center"/>
              <w:rPr>
                <w:rFonts w:ascii="仿宋_GB2312" w:hAnsi="等线" w:eastAsia="仿宋_GB2312" w:cs="宋体"/>
                <w:b/>
                <w:bCs/>
                <w:color w:val="000000"/>
                <w:sz w:val="18"/>
                <w:szCs w:val="18"/>
                <w:lang w:eastAsia="zh-CN"/>
              </w:rPr>
            </w:pPr>
            <w:r>
              <w:rPr>
                <w:rFonts w:hint="eastAsia" w:ascii="仿宋_GB2312" w:hAnsi="等线" w:eastAsia="仿宋_GB2312" w:cs="宋体"/>
                <w:b/>
                <w:bCs/>
                <w:color w:val="000000"/>
                <w:sz w:val="18"/>
                <w:szCs w:val="18"/>
                <w:lang w:eastAsia="zh-CN"/>
              </w:rPr>
              <w:t>流动性比例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8" w:hRule="atLeast"/>
        </w:trPr>
        <w:tc>
          <w:tcPr>
            <w:tcW w:w="595" w:type="dxa"/>
            <w:tcBorders>
              <w:tl2br w:val="nil"/>
              <w:tr2bl w:val="nil"/>
            </w:tcBorders>
            <w:shd w:val="clear" w:color="000000" w:fill="FFFFFF"/>
            <w:vAlign w:val="center"/>
          </w:tcPr>
          <w:p>
            <w:pPr>
              <w:spacing w:line="240" w:lineRule="exact"/>
              <w:jc w:val="center"/>
              <w:rPr>
                <w:rFonts w:ascii="仿宋_GB2312" w:hAnsi="等线" w:eastAsia="仿宋_GB2312" w:cs="宋体"/>
                <w:color w:val="000000"/>
                <w:sz w:val="21"/>
                <w:szCs w:val="21"/>
                <w:lang w:eastAsia="zh-CN"/>
              </w:rPr>
            </w:pPr>
            <w:r>
              <w:rPr>
                <w:rFonts w:hint="eastAsia" w:ascii="仿宋_GB2312" w:hAnsi="等线" w:eastAsia="仿宋_GB2312" w:cs="宋体"/>
                <w:color w:val="000000"/>
                <w:sz w:val="21"/>
                <w:szCs w:val="21"/>
                <w:lang w:eastAsia="zh-CN"/>
              </w:rPr>
              <w:t>21</w:t>
            </w:r>
          </w:p>
        </w:tc>
        <w:tc>
          <w:tcPr>
            <w:tcW w:w="1524" w:type="dxa"/>
            <w:tcBorders>
              <w:tl2br w:val="nil"/>
              <w:tr2bl w:val="nil"/>
            </w:tcBorders>
            <w:shd w:val="clear" w:color="000000" w:fill="FFFFFF"/>
            <w:vAlign w:val="center"/>
          </w:tcPr>
          <w:p>
            <w:pPr>
              <w:spacing w:line="240" w:lineRule="exact"/>
              <w:rPr>
                <w:rFonts w:ascii="仿宋_GB2312" w:hAnsi="等线" w:eastAsia="仿宋_GB2312" w:cs="宋体"/>
                <w:color w:val="000000"/>
                <w:sz w:val="18"/>
                <w:szCs w:val="18"/>
                <w:lang w:eastAsia="zh-CN"/>
              </w:rPr>
            </w:pPr>
            <w:r>
              <w:rPr>
                <w:rFonts w:hint="eastAsia" w:ascii="仿宋_GB2312" w:hAnsi="等线" w:eastAsia="仿宋_GB2312" w:cs="宋体"/>
                <w:color w:val="000000"/>
                <w:sz w:val="18"/>
                <w:szCs w:val="18"/>
                <w:lang w:eastAsia="zh-CN"/>
              </w:rPr>
              <w:t>流动性比例（%）</w:t>
            </w:r>
          </w:p>
        </w:tc>
        <w:tc>
          <w:tcPr>
            <w:tcW w:w="1412" w:type="dxa"/>
            <w:tcBorders>
              <w:tl2br w:val="nil"/>
              <w:tr2bl w:val="nil"/>
            </w:tcBorders>
            <w:shd w:val="clear" w:color="000000" w:fill="FFFFFF"/>
            <w:vAlign w:val="center"/>
          </w:tcPr>
          <w:p>
            <w:pPr>
              <w:keepNext w:val="0"/>
              <w:keepLines w:val="0"/>
              <w:widowControl/>
              <w:suppressLineNumbers w:val="0"/>
              <w:jc w:val="center"/>
              <w:textAlignment w:val="center"/>
              <w:rPr>
                <w:rFonts w:ascii="仿宋_GB2312" w:hAnsi="等线" w:eastAsia="仿宋_GB2312" w:cs="宋体"/>
                <w:color w:val="000000"/>
                <w:sz w:val="18"/>
                <w:szCs w:val="18"/>
                <w:lang w:eastAsia="zh-CN"/>
              </w:rPr>
            </w:pPr>
            <w:r>
              <w:rPr>
                <w:rFonts w:hint="default" w:ascii="仿宋_GB2312" w:hAnsi="宋体" w:eastAsia="仿宋_GB2312" w:cs="仿宋_GB2312"/>
                <w:i w:val="0"/>
                <w:color w:val="000000"/>
                <w:kern w:val="0"/>
                <w:sz w:val="21"/>
                <w:szCs w:val="21"/>
                <w:u w:val="none"/>
                <w:lang w:val="en-US" w:eastAsia="zh-CN" w:bidi="ar"/>
              </w:rPr>
              <w:t>69.58%</w:t>
            </w:r>
          </w:p>
        </w:tc>
        <w:tc>
          <w:tcPr>
            <w:tcW w:w="1412" w:type="dxa"/>
            <w:tcBorders>
              <w:tl2br w:val="nil"/>
              <w:tr2bl w:val="nil"/>
            </w:tcBorders>
            <w:shd w:val="clear" w:color="000000" w:fill="FFFFFF"/>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41.16</w:t>
            </w:r>
            <w:r>
              <w:rPr>
                <w:rFonts w:hint="eastAsia" w:ascii="仿宋_GB2312" w:hAnsi="宋体" w:eastAsia="仿宋_GB2312" w:cs="宋体"/>
                <w:color w:val="000000" w:themeColor="text1"/>
                <w:sz w:val="21"/>
                <w:szCs w:val="21"/>
                <w:lang w:eastAsia="zh-CN"/>
              </w:rPr>
              <w:t>%</w:t>
            </w:r>
          </w:p>
        </w:tc>
        <w:tc>
          <w:tcPr>
            <w:tcW w:w="1412" w:type="dxa"/>
            <w:tcBorders>
              <w:tl2br w:val="nil"/>
              <w:tr2bl w:val="nil"/>
            </w:tcBorders>
            <w:shd w:val="clear" w:color="000000" w:fill="FFFFFF"/>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63.83</w:t>
            </w:r>
            <w:r>
              <w:rPr>
                <w:rFonts w:hint="eastAsia" w:ascii="仿宋_GB2312" w:hAnsi="宋体" w:eastAsia="仿宋_GB2312" w:cs="宋体"/>
                <w:color w:val="000000" w:themeColor="text1"/>
                <w:sz w:val="21"/>
                <w:szCs w:val="21"/>
                <w:lang w:eastAsia="zh-CN"/>
              </w:rPr>
              <w:t>%</w:t>
            </w:r>
          </w:p>
        </w:tc>
        <w:tc>
          <w:tcPr>
            <w:tcW w:w="1413" w:type="dxa"/>
            <w:tcBorders>
              <w:tl2br w:val="nil"/>
              <w:tr2bl w:val="nil"/>
            </w:tcBorders>
            <w:shd w:val="clear" w:color="000000" w:fill="FFFFFF"/>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56.46</w:t>
            </w:r>
            <w:r>
              <w:rPr>
                <w:rFonts w:hint="eastAsia" w:ascii="仿宋_GB2312" w:hAnsi="宋体" w:eastAsia="仿宋_GB2312" w:cs="宋体"/>
                <w:color w:val="000000" w:themeColor="text1"/>
                <w:sz w:val="21"/>
                <w:szCs w:val="21"/>
                <w:lang w:eastAsia="zh-CN"/>
              </w:rPr>
              <w:t>%</w:t>
            </w:r>
          </w:p>
        </w:tc>
        <w:tc>
          <w:tcPr>
            <w:tcW w:w="1292" w:type="dxa"/>
            <w:tcBorders>
              <w:tl2br w:val="nil"/>
              <w:tr2bl w:val="nil"/>
            </w:tcBorders>
            <w:shd w:val="clear" w:color="000000" w:fill="FFFFFF"/>
            <w:vAlign w:val="center"/>
          </w:tcPr>
          <w:p>
            <w:pPr>
              <w:jc w:val="center"/>
              <w:rPr>
                <w:rFonts w:ascii="仿宋_GB2312" w:hAnsi="等线" w:eastAsia="仿宋_GB2312" w:cs="宋体"/>
                <w:color w:val="000000"/>
                <w:sz w:val="18"/>
                <w:szCs w:val="18"/>
                <w:lang w:eastAsia="zh-CN"/>
              </w:rPr>
            </w:pPr>
            <w:r>
              <w:rPr>
                <w:rFonts w:hint="eastAsia" w:ascii="仿宋_GB2312" w:hAnsi="等线" w:eastAsia="仿宋_GB2312" w:cs="宋体"/>
                <w:color w:val="000000"/>
                <w:sz w:val="21"/>
                <w:szCs w:val="21"/>
                <w:lang w:eastAsia="zh-CN"/>
              </w:rPr>
              <w:t>45.7</w:t>
            </w:r>
            <w:r>
              <w:rPr>
                <w:rFonts w:hint="eastAsia" w:ascii="仿宋_GB2312" w:hAnsi="等线" w:eastAsia="仿宋_GB2312" w:cs="宋体"/>
                <w:color w:val="000000"/>
                <w:sz w:val="21"/>
                <w:szCs w:val="21"/>
                <w:lang w:val="en-US" w:eastAsia="zh-CN"/>
              </w:rPr>
              <w:t>4</w:t>
            </w:r>
            <w:r>
              <w:rPr>
                <w:rFonts w:hint="eastAsia" w:ascii="仿宋_GB2312" w:hAnsi="宋体" w:eastAsia="仿宋_GB2312" w:cs="宋体"/>
                <w:color w:val="000000" w:themeColor="text1"/>
                <w:sz w:val="21"/>
                <w:szCs w:val="21"/>
                <w:lang w:eastAsia="zh-CN"/>
              </w:rPr>
              <w:t>%</w:t>
            </w:r>
          </w:p>
        </w:tc>
      </w:tr>
    </w:tbl>
    <w:p>
      <w:pPr>
        <w:widowControl w:val="0"/>
        <w:spacing w:line="240" w:lineRule="exact"/>
        <w:jc w:val="both"/>
        <w:rPr>
          <w:rFonts w:ascii="宋体" w:hAnsi="宋体" w:cs="宋体"/>
          <w:color w:val="000000" w:themeColor="text1"/>
          <w:sz w:val="20"/>
          <w:szCs w:val="20"/>
          <w:lang w:eastAsia="zh-CN"/>
        </w:rPr>
      </w:pPr>
    </w:p>
    <w:p>
      <w:pPr>
        <w:widowControl w:val="0"/>
        <w:spacing w:line="240" w:lineRule="exact"/>
        <w:jc w:val="both"/>
        <w:rPr>
          <w:rFonts w:ascii="宋体" w:hAnsi="宋体" w:cs="宋体"/>
          <w:color w:val="000000" w:themeColor="text1"/>
          <w:sz w:val="20"/>
          <w:szCs w:val="20"/>
          <w:lang w:eastAsia="zh-CN"/>
        </w:rPr>
      </w:pPr>
    </w:p>
    <w:p>
      <w:pPr>
        <w:widowControl w:val="0"/>
        <w:spacing w:line="240" w:lineRule="exact"/>
        <w:jc w:val="both"/>
        <w:rPr>
          <w:rFonts w:ascii="宋体" w:hAnsi="宋体" w:cs="宋体"/>
          <w:color w:val="000000" w:themeColor="text1"/>
          <w:sz w:val="20"/>
          <w:szCs w:val="20"/>
          <w:lang w:eastAsia="zh-CN"/>
        </w:rPr>
      </w:pPr>
    </w:p>
    <w:p>
      <w:pPr>
        <w:widowControl w:val="0"/>
        <w:spacing w:line="440" w:lineRule="exact"/>
        <w:ind w:firstLine="6080" w:firstLineChars="1900"/>
        <w:jc w:val="both"/>
        <w:rPr>
          <w:rFonts w:ascii="仿宋_GB2312" w:hAnsi="宋体" w:eastAsia="仿宋_GB2312" w:cs="宋体"/>
          <w:color w:val="000000" w:themeColor="text1"/>
          <w:sz w:val="32"/>
          <w:szCs w:val="32"/>
          <w:lang w:eastAsia="zh-CN"/>
        </w:rPr>
      </w:pPr>
      <w:r>
        <w:rPr>
          <w:rFonts w:hint="eastAsia" w:ascii="仿宋_GB2312" w:hAnsi="宋体" w:eastAsia="仿宋_GB2312" w:cs="宋体"/>
          <w:color w:val="000000" w:themeColor="text1"/>
          <w:sz w:val="32"/>
          <w:szCs w:val="32"/>
          <w:lang w:val="en-US" w:eastAsia="zh-CN"/>
        </w:rPr>
        <w:t>鹰潭</w:t>
      </w:r>
      <w:r>
        <w:rPr>
          <w:rFonts w:hint="eastAsia" w:ascii="仿宋_GB2312" w:hAnsi="宋体" w:eastAsia="仿宋_GB2312" w:cs="宋体"/>
          <w:color w:val="000000" w:themeColor="text1"/>
          <w:sz w:val="32"/>
          <w:szCs w:val="32"/>
          <w:lang w:eastAsia="zh-CN"/>
        </w:rPr>
        <w:t>农商银行</w:t>
      </w:r>
    </w:p>
    <w:p>
      <w:pPr>
        <w:widowControl w:val="0"/>
        <w:spacing w:line="440" w:lineRule="exact"/>
        <w:ind w:firstLine="5760" w:firstLineChars="1800"/>
        <w:jc w:val="both"/>
        <w:rPr>
          <w:rFonts w:ascii="仿宋_GB2312" w:hAnsi="宋体" w:eastAsia="仿宋_GB2312" w:cs="宋体"/>
          <w:color w:val="000000" w:themeColor="text1"/>
          <w:sz w:val="32"/>
          <w:szCs w:val="32"/>
          <w:lang w:eastAsia="zh-CN"/>
        </w:rPr>
      </w:pPr>
      <w:r>
        <w:rPr>
          <w:rFonts w:hint="eastAsia" w:ascii="仿宋_GB2312" w:hAnsi="宋体" w:eastAsia="仿宋_GB2312" w:cs="宋体"/>
          <w:color w:val="000000" w:themeColor="text1"/>
          <w:sz w:val="32"/>
          <w:szCs w:val="32"/>
          <w:lang w:eastAsia="zh-CN"/>
        </w:rPr>
        <w:t>202</w:t>
      </w:r>
      <w:r>
        <w:rPr>
          <w:rFonts w:ascii="仿宋_GB2312" w:hAnsi="宋体" w:eastAsia="仿宋_GB2312" w:cs="宋体"/>
          <w:color w:val="000000" w:themeColor="text1"/>
          <w:sz w:val="32"/>
          <w:szCs w:val="32"/>
          <w:lang w:eastAsia="zh-CN"/>
        </w:rPr>
        <w:t>5</w:t>
      </w:r>
      <w:r>
        <w:rPr>
          <w:rFonts w:hint="eastAsia" w:ascii="仿宋_GB2312" w:hAnsi="宋体" w:eastAsia="仿宋_GB2312" w:cs="宋体"/>
          <w:color w:val="000000" w:themeColor="text1"/>
          <w:sz w:val="32"/>
          <w:szCs w:val="32"/>
          <w:lang w:eastAsia="zh-CN"/>
        </w:rPr>
        <w:t>年</w:t>
      </w:r>
      <w:r>
        <w:rPr>
          <w:rFonts w:ascii="仿宋_GB2312" w:hAnsi="宋体" w:eastAsia="仿宋_GB2312" w:cs="宋体"/>
          <w:color w:val="000000" w:themeColor="text1"/>
          <w:sz w:val="32"/>
          <w:szCs w:val="32"/>
          <w:lang w:eastAsia="zh-CN"/>
        </w:rPr>
        <w:t>4</w:t>
      </w:r>
      <w:r>
        <w:rPr>
          <w:rFonts w:hint="eastAsia" w:ascii="仿宋_GB2312" w:hAnsi="宋体" w:eastAsia="仿宋_GB2312" w:cs="宋体"/>
          <w:color w:val="000000" w:themeColor="text1"/>
          <w:sz w:val="32"/>
          <w:szCs w:val="32"/>
          <w:lang w:eastAsia="zh-CN"/>
        </w:rPr>
        <w:t>月</w:t>
      </w:r>
      <w:r>
        <w:rPr>
          <w:rFonts w:hint="eastAsia" w:ascii="仿宋_GB2312" w:hAnsi="宋体" w:eastAsia="仿宋_GB2312" w:cs="宋体"/>
          <w:color w:val="000000" w:themeColor="text1"/>
          <w:sz w:val="32"/>
          <w:szCs w:val="32"/>
          <w:lang w:val="en-US" w:eastAsia="zh-CN"/>
        </w:rPr>
        <w:t>18</w:t>
      </w:r>
      <w:r>
        <w:rPr>
          <w:rFonts w:hint="eastAsia" w:ascii="仿宋_GB2312" w:hAnsi="宋体" w:eastAsia="仿宋_GB2312" w:cs="宋体"/>
          <w:color w:val="000000" w:themeColor="text1"/>
          <w:sz w:val="32"/>
          <w:szCs w:val="32"/>
          <w:lang w:eastAsia="zh-CN"/>
        </w:rPr>
        <w:t>日</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DcyZGZhMmRiYTE1OTA0ZWJiZWE1YWU3Y2RjZjEifQ=="/>
  </w:docVars>
  <w:rsids>
    <w:rsidRoot w:val="00852BCD"/>
    <w:rsid w:val="000016D6"/>
    <w:rsid w:val="00002DDE"/>
    <w:rsid w:val="00003755"/>
    <w:rsid w:val="000046A9"/>
    <w:rsid w:val="000047BA"/>
    <w:rsid w:val="00006B9A"/>
    <w:rsid w:val="00011A9E"/>
    <w:rsid w:val="00015172"/>
    <w:rsid w:val="00015DF4"/>
    <w:rsid w:val="00016BD7"/>
    <w:rsid w:val="00020421"/>
    <w:rsid w:val="00020CC9"/>
    <w:rsid w:val="00021B90"/>
    <w:rsid w:val="000246A0"/>
    <w:rsid w:val="00027B63"/>
    <w:rsid w:val="00035883"/>
    <w:rsid w:val="000408F0"/>
    <w:rsid w:val="00040CB4"/>
    <w:rsid w:val="000418C7"/>
    <w:rsid w:val="0004386D"/>
    <w:rsid w:val="000478AF"/>
    <w:rsid w:val="0005527B"/>
    <w:rsid w:val="00055B2A"/>
    <w:rsid w:val="00055C1C"/>
    <w:rsid w:val="0006009B"/>
    <w:rsid w:val="00061E4F"/>
    <w:rsid w:val="000727EE"/>
    <w:rsid w:val="00073AD9"/>
    <w:rsid w:val="00075D31"/>
    <w:rsid w:val="00076A97"/>
    <w:rsid w:val="00085E7D"/>
    <w:rsid w:val="00086206"/>
    <w:rsid w:val="00091ACF"/>
    <w:rsid w:val="000A31A9"/>
    <w:rsid w:val="000A3936"/>
    <w:rsid w:val="000A44EF"/>
    <w:rsid w:val="000B389C"/>
    <w:rsid w:val="000B3E8D"/>
    <w:rsid w:val="000C3E7B"/>
    <w:rsid w:val="000C5FEE"/>
    <w:rsid w:val="000C76EA"/>
    <w:rsid w:val="000C7D13"/>
    <w:rsid w:val="000D1A46"/>
    <w:rsid w:val="000E0B7A"/>
    <w:rsid w:val="000E3D97"/>
    <w:rsid w:val="000E4B2E"/>
    <w:rsid w:val="000F5905"/>
    <w:rsid w:val="000F76FA"/>
    <w:rsid w:val="000F7BE5"/>
    <w:rsid w:val="00106C43"/>
    <w:rsid w:val="00106D28"/>
    <w:rsid w:val="00117571"/>
    <w:rsid w:val="001221B4"/>
    <w:rsid w:val="0012221F"/>
    <w:rsid w:val="00122EEB"/>
    <w:rsid w:val="001243A0"/>
    <w:rsid w:val="0012462A"/>
    <w:rsid w:val="001263D6"/>
    <w:rsid w:val="00132F40"/>
    <w:rsid w:val="00134922"/>
    <w:rsid w:val="00135A38"/>
    <w:rsid w:val="001462C7"/>
    <w:rsid w:val="001472F9"/>
    <w:rsid w:val="00163320"/>
    <w:rsid w:val="00165D48"/>
    <w:rsid w:val="00166585"/>
    <w:rsid w:val="00177E05"/>
    <w:rsid w:val="00183BC2"/>
    <w:rsid w:val="001853A2"/>
    <w:rsid w:val="001A05B8"/>
    <w:rsid w:val="001A3872"/>
    <w:rsid w:val="001A47CC"/>
    <w:rsid w:val="001A4956"/>
    <w:rsid w:val="001B19F1"/>
    <w:rsid w:val="001C7150"/>
    <w:rsid w:val="001D581A"/>
    <w:rsid w:val="001D672F"/>
    <w:rsid w:val="001E2D8A"/>
    <w:rsid w:val="001E7A35"/>
    <w:rsid w:val="001F304A"/>
    <w:rsid w:val="00202FD4"/>
    <w:rsid w:val="00207CD1"/>
    <w:rsid w:val="00211ED2"/>
    <w:rsid w:val="00217557"/>
    <w:rsid w:val="00221D3D"/>
    <w:rsid w:val="00222312"/>
    <w:rsid w:val="002238F7"/>
    <w:rsid w:val="00226AF9"/>
    <w:rsid w:val="00230EBB"/>
    <w:rsid w:val="0023437C"/>
    <w:rsid w:val="00235410"/>
    <w:rsid w:val="00244107"/>
    <w:rsid w:val="002469A8"/>
    <w:rsid w:val="00256C10"/>
    <w:rsid w:val="00283377"/>
    <w:rsid w:val="0028425A"/>
    <w:rsid w:val="00297957"/>
    <w:rsid w:val="002A1061"/>
    <w:rsid w:val="002A10EB"/>
    <w:rsid w:val="002A3AB6"/>
    <w:rsid w:val="002A7BB1"/>
    <w:rsid w:val="002B7EBE"/>
    <w:rsid w:val="002C0752"/>
    <w:rsid w:val="002C336A"/>
    <w:rsid w:val="002C38FC"/>
    <w:rsid w:val="002D1330"/>
    <w:rsid w:val="002D59B3"/>
    <w:rsid w:val="002D5B1A"/>
    <w:rsid w:val="002E4CBA"/>
    <w:rsid w:val="002E7246"/>
    <w:rsid w:val="002E7A13"/>
    <w:rsid w:val="002F2578"/>
    <w:rsid w:val="002F60A4"/>
    <w:rsid w:val="00305094"/>
    <w:rsid w:val="003053D2"/>
    <w:rsid w:val="00316132"/>
    <w:rsid w:val="0033436B"/>
    <w:rsid w:val="003351D8"/>
    <w:rsid w:val="003417B1"/>
    <w:rsid w:val="00352EC7"/>
    <w:rsid w:val="003571D7"/>
    <w:rsid w:val="0036462F"/>
    <w:rsid w:val="00365BB4"/>
    <w:rsid w:val="00377B1B"/>
    <w:rsid w:val="003943A1"/>
    <w:rsid w:val="0039520E"/>
    <w:rsid w:val="003B4077"/>
    <w:rsid w:val="003B4A2D"/>
    <w:rsid w:val="003C5D89"/>
    <w:rsid w:val="003D0B71"/>
    <w:rsid w:val="003D1A29"/>
    <w:rsid w:val="003E3131"/>
    <w:rsid w:val="003E6C2D"/>
    <w:rsid w:val="003F0555"/>
    <w:rsid w:val="00406CB9"/>
    <w:rsid w:val="00407FE4"/>
    <w:rsid w:val="00412A2B"/>
    <w:rsid w:val="00412B99"/>
    <w:rsid w:val="004353E7"/>
    <w:rsid w:val="00441982"/>
    <w:rsid w:val="00441B91"/>
    <w:rsid w:val="0046514E"/>
    <w:rsid w:val="0047572F"/>
    <w:rsid w:val="00477DD8"/>
    <w:rsid w:val="004934C2"/>
    <w:rsid w:val="00494ECD"/>
    <w:rsid w:val="004962B2"/>
    <w:rsid w:val="004A31BD"/>
    <w:rsid w:val="004B35E0"/>
    <w:rsid w:val="004C2991"/>
    <w:rsid w:val="004C36A6"/>
    <w:rsid w:val="004C5F39"/>
    <w:rsid w:val="004C796E"/>
    <w:rsid w:val="004D0D69"/>
    <w:rsid w:val="004D28B6"/>
    <w:rsid w:val="004D3B91"/>
    <w:rsid w:val="004D529B"/>
    <w:rsid w:val="004E0B25"/>
    <w:rsid w:val="004E242A"/>
    <w:rsid w:val="004E4678"/>
    <w:rsid w:val="004F24D7"/>
    <w:rsid w:val="004F6060"/>
    <w:rsid w:val="00517F6A"/>
    <w:rsid w:val="00523048"/>
    <w:rsid w:val="00526A35"/>
    <w:rsid w:val="00531473"/>
    <w:rsid w:val="0054107B"/>
    <w:rsid w:val="00550C68"/>
    <w:rsid w:val="00550E31"/>
    <w:rsid w:val="00570B1B"/>
    <w:rsid w:val="0057427E"/>
    <w:rsid w:val="00574FAF"/>
    <w:rsid w:val="005760FF"/>
    <w:rsid w:val="00586408"/>
    <w:rsid w:val="00594979"/>
    <w:rsid w:val="00595EFC"/>
    <w:rsid w:val="00596023"/>
    <w:rsid w:val="005A0B3F"/>
    <w:rsid w:val="005A3EF6"/>
    <w:rsid w:val="005B4E9B"/>
    <w:rsid w:val="005B50A3"/>
    <w:rsid w:val="005C002C"/>
    <w:rsid w:val="005C1940"/>
    <w:rsid w:val="005C4C83"/>
    <w:rsid w:val="005D4888"/>
    <w:rsid w:val="005D5D25"/>
    <w:rsid w:val="005D772B"/>
    <w:rsid w:val="005E0665"/>
    <w:rsid w:val="005E187B"/>
    <w:rsid w:val="005E5B60"/>
    <w:rsid w:val="005F03FE"/>
    <w:rsid w:val="00603FAE"/>
    <w:rsid w:val="006060D8"/>
    <w:rsid w:val="006071F2"/>
    <w:rsid w:val="00607CB7"/>
    <w:rsid w:val="00614F47"/>
    <w:rsid w:val="00620E5F"/>
    <w:rsid w:val="0062319B"/>
    <w:rsid w:val="00623FC2"/>
    <w:rsid w:val="006248DB"/>
    <w:rsid w:val="006272AD"/>
    <w:rsid w:val="00634F7B"/>
    <w:rsid w:val="0064469F"/>
    <w:rsid w:val="00651BCA"/>
    <w:rsid w:val="006623AA"/>
    <w:rsid w:val="00664FC9"/>
    <w:rsid w:val="00667AA9"/>
    <w:rsid w:val="006815EC"/>
    <w:rsid w:val="00692226"/>
    <w:rsid w:val="006A58BF"/>
    <w:rsid w:val="006A66B8"/>
    <w:rsid w:val="006B5616"/>
    <w:rsid w:val="006D6DDC"/>
    <w:rsid w:val="006E08E9"/>
    <w:rsid w:val="006F01B3"/>
    <w:rsid w:val="00702ABF"/>
    <w:rsid w:val="00724CEF"/>
    <w:rsid w:val="00725512"/>
    <w:rsid w:val="00742F93"/>
    <w:rsid w:val="00747252"/>
    <w:rsid w:val="00756D4D"/>
    <w:rsid w:val="00760353"/>
    <w:rsid w:val="00772D3F"/>
    <w:rsid w:val="0078521C"/>
    <w:rsid w:val="00785FE6"/>
    <w:rsid w:val="00786855"/>
    <w:rsid w:val="00786C33"/>
    <w:rsid w:val="00792873"/>
    <w:rsid w:val="0079487B"/>
    <w:rsid w:val="0079678D"/>
    <w:rsid w:val="00797AA5"/>
    <w:rsid w:val="007A273A"/>
    <w:rsid w:val="007B2FE4"/>
    <w:rsid w:val="007B5DDA"/>
    <w:rsid w:val="007C20C9"/>
    <w:rsid w:val="007D13EA"/>
    <w:rsid w:val="007E1D23"/>
    <w:rsid w:val="007E703E"/>
    <w:rsid w:val="007F5A5E"/>
    <w:rsid w:val="007F5B4A"/>
    <w:rsid w:val="00806042"/>
    <w:rsid w:val="00806582"/>
    <w:rsid w:val="00824E7B"/>
    <w:rsid w:val="00831F64"/>
    <w:rsid w:val="00846343"/>
    <w:rsid w:val="00852BCD"/>
    <w:rsid w:val="008567E3"/>
    <w:rsid w:val="008627EC"/>
    <w:rsid w:val="0086510E"/>
    <w:rsid w:val="00867172"/>
    <w:rsid w:val="008719B6"/>
    <w:rsid w:val="0087473F"/>
    <w:rsid w:val="00883ECE"/>
    <w:rsid w:val="0088647C"/>
    <w:rsid w:val="008876F1"/>
    <w:rsid w:val="00887D08"/>
    <w:rsid w:val="008A0282"/>
    <w:rsid w:val="008A0518"/>
    <w:rsid w:val="008A510B"/>
    <w:rsid w:val="008B41E8"/>
    <w:rsid w:val="008B77B0"/>
    <w:rsid w:val="008C1881"/>
    <w:rsid w:val="008C1BAC"/>
    <w:rsid w:val="008C623D"/>
    <w:rsid w:val="008C7E91"/>
    <w:rsid w:val="008D3E86"/>
    <w:rsid w:val="008D3FCE"/>
    <w:rsid w:val="008D63A4"/>
    <w:rsid w:val="008D7484"/>
    <w:rsid w:val="008E3ABD"/>
    <w:rsid w:val="008E5ABD"/>
    <w:rsid w:val="008E7E3B"/>
    <w:rsid w:val="0090263F"/>
    <w:rsid w:val="00904F01"/>
    <w:rsid w:val="00905971"/>
    <w:rsid w:val="00916929"/>
    <w:rsid w:val="00924732"/>
    <w:rsid w:val="009473BA"/>
    <w:rsid w:val="00950CB6"/>
    <w:rsid w:val="009511C9"/>
    <w:rsid w:val="00951600"/>
    <w:rsid w:val="009618CB"/>
    <w:rsid w:val="00962758"/>
    <w:rsid w:val="00963066"/>
    <w:rsid w:val="0096675C"/>
    <w:rsid w:val="009751FD"/>
    <w:rsid w:val="00975372"/>
    <w:rsid w:val="00983771"/>
    <w:rsid w:val="0099157D"/>
    <w:rsid w:val="009A004E"/>
    <w:rsid w:val="009B308E"/>
    <w:rsid w:val="009B5FEF"/>
    <w:rsid w:val="009C5DAC"/>
    <w:rsid w:val="009D1821"/>
    <w:rsid w:val="009D368F"/>
    <w:rsid w:val="009E249A"/>
    <w:rsid w:val="009E56BC"/>
    <w:rsid w:val="009F749D"/>
    <w:rsid w:val="00A02061"/>
    <w:rsid w:val="00A04754"/>
    <w:rsid w:val="00A06DE1"/>
    <w:rsid w:val="00A1307C"/>
    <w:rsid w:val="00A24216"/>
    <w:rsid w:val="00A26380"/>
    <w:rsid w:val="00A30276"/>
    <w:rsid w:val="00A322A7"/>
    <w:rsid w:val="00A463F3"/>
    <w:rsid w:val="00A57E3A"/>
    <w:rsid w:val="00A6040B"/>
    <w:rsid w:val="00A765A6"/>
    <w:rsid w:val="00A83BAC"/>
    <w:rsid w:val="00A91CA6"/>
    <w:rsid w:val="00A91E5C"/>
    <w:rsid w:val="00A93FAD"/>
    <w:rsid w:val="00AA3563"/>
    <w:rsid w:val="00AA4D97"/>
    <w:rsid w:val="00AA511B"/>
    <w:rsid w:val="00AA6BCA"/>
    <w:rsid w:val="00AA7E87"/>
    <w:rsid w:val="00AB2ED1"/>
    <w:rsid w:val="00AD00BD"/>
    <w:rsid w:val="00AE3D88"/>
    <w:rsid w:val="00AF24A2"/>
    <w:rsid w:val="00AF4BE2"/>
    <w:rsid w:val="00AF4ED2"/>
    <w:rsid w:val="00AF7AF2"/>
    <w:rsid w:val="00B03A95"/>
    <w:rsid w:val="00B054F4"/>
    <w:rsid w:val="00B10B5F"/>
    <w:rsid w:val="00B15ADE"/>
    <w:rsid w:val="00B168D0"/>
    <w:rsid w:val="00B22273"/>
    <w:rsid w:val="00B22F9E"/>
    <w:rsid w:val="00B3386A"/>
    <w:rsid w:val="00B34D64"/>
    <w:rsid w:val="00B365F6"/>
    <w:rsid w:val="00B5192C"/>
    <w:rsid w:val="00B64B9D"/>
    <w:rsid w:val="00B84BCC"/>
    <w:rsid w:val="00B85969"/>
    <w:rsid w:val="00B8719B"/>
    <w:rsid w:val="00B92BBC"/>
    <w:rsid w:val="00B9684C"/>
    <w:rsid w:val="00BB0336"/>
    <w:rsid w:val="00BB18F7"/>
    <w:rsid w:val="00BB4C29"/>
    <w:rsid w:val="00BD0073"/>
    <w:rsid w:val="00BD383B"/>
    <w:rsid w:val="00BE5F1C"/>
    <w:rsid w:val="00BE6DC1"/>
    <w:rsid w:val="00BF4768"/>
    <w:rsid w:val="00C04D53"/>
    <w:rsid w:val="00C10C14"/>
    <w:rsid w:val="00C11A90"/>
    <w:rsid w:val="00C17CB1"/>
    <w:rsid w:val="00C24EAA"/>
    <w:rsid w:val="00C25531"/>
    <w:rsid w:val="00C34274"/>
    <w:rsid w:val="00C3453F"/>
    <w:rsid w:val="00C42BBB"/>
    <w:rsid w:val="00C44CF0"/>
    <w:rsid w:val="00C60038"/>
    <w:rsid w:val="00C60E32"/>
    <w:rsid w:val="00C64156"/>
    <w:rsid w:val="00C64C54"/>
    <w:rsid w:val="00C659C1"/>
    <w:rsid w:val="00C72E21"/>
    <w:rsid w:val="00C75353"/>
    <w:rsid w:val="00C84F15"/>
    <w:rsid w:val="00C93708"/>
    <w:rsid w:val="00C95E61"/>
    <w:rsid w:val="00CC1BC5"/>
    <w:rsid w:val="00CC5D71"/>
    <w:rsid w:val="00CC6E32"/>
    <w:rsid w:val="00CD611A"/>
    <w:rsid w:val="00CD7AA4"/>
    <w:rsid w:val="00CE379C"/>
    <w:rsid w:val="00CE6B41"/>
    <w:rsid w:val="00D12949"/>
    <w:rsid w:val="00D143DE"/>
    <w:rsid w:val="00D14889"/>
    <w:rsid w:val="00D21EA4"/>
    <w:rsid w:val="00D230D6"/>
    <w:rsid w:val="00D24F92"/>
    <w:rsid w:val="00D31A11"/>
    <w:rsid w:val="00D31F6B"/>
    <w:rsid w:val="00D32FCE"/>
    <w:rsid w:val="00D33F91"/>
    <w:rsid w:val="00D37C26"/>
    <w:rsid w:val="00D43BC6"/>
    <w:rsid w:val="00D44247"/>
    <w:rsid w:val="00D50BAF"/>
    <w:rsid w:val="00D57839"/>
    <w:rsid w:val="00D5789D"/>
    <w:rsid w:val="00D6573F"/>
    <w:rsid w:val="00D70F84"/>
    <w:rsid w:val="00D749CC"/>
    <w:rsid w:val="00D7737C"/>
    <w:rsid w:val="00D77C8F"/>
    <w:rsid w:val="00D86B73"/>
    <w:rsid w:val="00D947BB"/>
    <w:rsid w:val="00D94C75"/>
    <w:rsid w:val="00DA0CF0"/>
    <w:rsid w:val="00DA0FF7"/>
    <w:rsid w:val="00DA794A"/>
    <w:rsid w:val="00DB6CFA"/>
    <w:rsid w:val="00DB745A"/>
    <w:rsid w:val="00DD24CE"/>
    <w:rsid w:val="00DD24DA"/>
    <w:rsid w:val="00DD569B"/>
    <w:rsid w:val="00DE420B"/>
    <w:rsid w:val="00DE5F9D"/>
    <w:rsid w:val="00E07915"/>
    <w:rsid w:val="00E161BD"/>
    <w:rsid w:val="00E17413"/>
    <w:rsid w:val="00E44078"/>
    <w:rsid w:val="00E44190"/>
    <w:rsid w:val="00E578C5"/>
    <w:rsid w:val="00E91B30"/>
    <w:rsid w:val="00EA0A4A"/>
    <w:rsid w:val="00EA6D0B"/>
    <w:rsid w:val="00EA7637"/>
    <w:rsid w:val="00EB0079"/>
    <w:rsid w:val="00EB309C"/>
    <w:rsid w:val="00EB4BDE"/>
    <w:rsid w:val="00EB53CC"/>
    <w:rsid w:val="00EB5F4A"/>
    <w:rsid w:val="00F01907"/>
    <w:rsid w:val="00F11C79"/>
    <w:rsid w:val="00F1284E"/>
    <w:rsid w:val="00F41FC1"/>
    <w:rsid w:val="00F51A18"/>
    <w:rsid w:val="00F64418"/>
    <w:rsid w:val="00F650E5"/>
    <w:rsid w:val="00F855E4"/>
    <w:rsid w:val="00F91745"/>
    <w:rsid w:val="00F9294D"/>
    <w:rsid w:val="00FA26AB"/>
    <w:rsid w:val="00FA2D40"/>
    <w:rsid w:val="00FC3D3C"/>
    <w:rsid w:val="00FD0375"/>
    <w:rsid w:val="00FD4737"/>
    <w:rsid w:val="00FE0474"/>
    <w:rsid w:val="00FE2886"/>
    <w:rsid w:val="00FE297F"/>
    <w:rsid w:val="00FF20E7"/>
    <w:rsid w:val="00FF21B5"/>
    <w:rsid w:val="00FF6F22"/>
    <w:rsid w:val="00FF7F77"/>
    <w:rsid w:val="052717A8"/>
    <w:rsid w:val="071621E7"/>
    <w:rsid w:val="07821700"/>
    <w:rsid w:val="08CB6266"/>
    <w:rsid w:val="0D8462F1"/>
    <w:rsid w:val="0F2E0689"/>
    <w:rsid w:val="10667A57"/>
    <w:rsid w:val="12876747"/>
    <w:rsid w:val="14826752"/>
    <w:rsid w:val="16DD60B7"/>
    <w:rsid w:val="175C146E"/>
    <w:rsid w:val="18F44E2F"/>
    <w:rsid w:val="19164053"/>
    <w:rsid w:val="1B966538"/>
    <w:rsid w:val="1C715266"/>
    <w:rsid w:val="1D5C3BB3"/>
    <w:rsid w:val="22AF11F9"/>
    <w:rsid w:val="2FB6511D"/>
    <w:rsid w:val="31A71561"/>
    <w:rsid w:val="32004C6A"/>
    <w:rsid w:val="32523278"/>
    <w:rsid w:val="33E45F18"/>
    <w:rsid w:val="35165E48"/>
    <w:rsid w:val="386F3AE1"/>
    <w:rsid w:val="3C83078E"/>
    <w:rsid w:val="420B418F"/>
    <w:rsid w:val="42771C5F"/>
    <w:rsid w:val="45592A3E"/>
    <w:rsid w:val="49AC2FF0"/>
    <w:rsid w:val="4A715DC5"/>
    <w:rsid w:val="4CE978EB"/>
    <w:rsid w:val="4EA36C51"/>
    <w:rsid w:val="52D04153"/>
    <w:rsid w:val="52F73D6A"/>
    <w:rsid w:val="55225941"/>
    <w:rsid w:val="5AFE199C"/>
    <w:rsid w:val="5BD40F1E"/>
    <w:rsid w:val="6B284443"/>
    <w:rsid w:val="6DCD08CC"/>
    <w:rsid w:val="75A4682B"/>
    <w:rsid w:val="77446DCF"/>
    <w:rsid w:val="79002061"/>
    <w:rsid w:val="79120F06"/>
    <w:rsid w:val="7A7F5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rFonts w:ascii="Times New Roman" w:hAnsi="Times New Roman" w:eastAsia="宋体" w:cs="Times New Roman"/>
      <w:kern w:val="0"/>
      <w:sz w:val="18"/>
      <w:szCs w:val="18"/>
      <w:lang w:eastAsia="en-US"/>
    </w:rPr>
  </w:style>
  <w:style w:type="paragraph" w:customStyle="1" w:styleId="10">
    <w:name w:val="Body"/>
    <w:qFormat/>
    <w:uiPriority w:val="0"/>
    <w:pPr>
      <w:spacing w:line="360" w:lineRule="auto"/>
    </w:pPr>
    <w:rPr>
      <w:rFonts w:ascii="Calibri" w:hAnsi="Calibri" w:eastAsia="Calibri" w:cs="Calibri"/>
      <w:color w:val="000000"/>
      <w:kern w:val="2"/>
      <w:sz w:val="21"/>
      <w:szCs w:val="21"/>
      <w:lang w:val="zh-TW" w:eastAsia="zh-TW" w:bidi="ar-SA"/>
    </w:rPr>
  </w:style>
  <w:style w:type="character" w:customStyle="1" w:styleId="11">
    <w:name w:val="font0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1167</Characters>
  <Lines>9</Lines>
  <Paragraphs>2</Paragraphs>
  <TotalTime>105</TotalTime>
  <ScaleCrop>false</ScaleCrop>
  <LinksUpToDate>false</LinksUpToDate>
  <CharactersWithSpaces>1369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2024-04-26T07:09:00Z</dcterms:created>
  <dc:creator>黄玉兰</dc:creator>
  <cp:lastModifiedBy>Administrator</cp:lastModifiedBy>
  <cp:lastPrinted>2024-04-29T02:43:00Z</cp:lastPrinted>
  <dcterms:modified xsi:type="dcterms:W3CDTF">2025-05-12T02:52:00Z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F2C38595A59049E4B1152FD16523AF7D</vt:lpwstr>
  </property>
</Properties>
</file>